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91"/>
        </w:tabs>
        <w:jc w:val="left"/>
        <w:rPr>
          <w:rFonts w:hint="default" w:ascii="Times New Roman" w:hAnsi="Times New Roman" w:eastAsia="方正小标宋_GBK" w:cs="Times New Roman"/>
          <w:color w:val="000000"/>
        </w:rPr>
      </w:pPr>
      <w:r>
        <w:rPr>
          <w:rFonts w:hint="default" w:ascii="Times New Roman" w:hAnsi="Times New Roman" w:eastAsia="方正黑体_GBK" w:cs="Times New Roman"/>
          <w:color w:val="000000"/>
          <w:sz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长寿区农产品（晚熟柑橘）产地集配中心建设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</w:rPr>
        <w:t>任务</w:t>
      </w:r>
      <w:r>
        <w:rPr>
          <w:rFonts w:hint="default" w:ascii="Times New Roman" w:hAnsi="Times New Roman" w:eastAsia="方正小标宋_GBK" w:cs="Times New Roman"/>
          <w:color w:val="000000"/>
          <w:sz w:val="44"/>
          <w:lang w:eastAsia="zh-CN"/>
        </w:rPr>
        <w:t>和资金计划明细表</w:t>
      </w:r>
    </w:p>
    <w:p>
      <w:pPr>
        <w:spacing w:line="594" w:lineRule="exact"/>
        <w:ind w:left="958" w:hanging="958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tbl>
      <w:tblPr>
        <w:tblStyle w:val="3"/>
        <w:tblpPr w:leftFromText="180" w:rightFromText="180" w:vertAnchor="text" w:horzAnchor="page" w:tblpX="1177" w:tblpY="23"/>
        <w:tblOverlap w:val="never"/>
        <w:tblW w:w="147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810"/>
        <w:gridCol w:w="1375"/>
        <w:gridCol w:w="725"/>
        <w:gridCol w:w="1145"/>
        <w:gridCol w:w="2876"/>
        <w:gridCol w:w="3175"/>
        <w:gridCol w:w="4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项目名称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实施单位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补助金额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建设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地点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建设内容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财政支持环节和补助标准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lang w:val="en-US" w:eastAsia="zh-CN"/>
              </w:rPr>
              <w:t>长寿区农产品（晚熟柑橘）产地集配中心建设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</w:rPr>
              <w:t>重庆市长寿区汇鸣供销合作社有限公司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lang w:val="en-US" w:eastAsia="zh-CN"/>
              </w:rPr>
              <w:t>40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lang w:val="en-US" w:eastAsia="zh-CN"/>
              </w:rPr>
              <w:t>双龙镇天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lang w:val="en-US" w:eastAsia="zh-CN"/>
              </w:rPr>
              <w:t>堂村5组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0"/>
              </w:tabs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1.新建分拣、仓储业务用房，砖混结构，面积不少于160㎡。</w:t>
            </w:r>
          </w:p>
          <w:p>
            <w:pPr>
              <w:numPr>
                <w:ilvl w:val="0"/>
                <w:numId w:val="0"/>
              </w:numPr>
              <w:tabs>
                <w:tab w:val="left" w:pos="530"/>
              </w:tabs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2.业务用房内部装修装饰。含墙体、地板粉刷、水电安装等。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3.新建农产品冷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库（不少于200立方）及其他配套设备设施。含地坪、保温、制冷体系、电气控制系统等。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4.柑橘集配中心钢结构广告宣传标识栏。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财政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补助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资金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主要支持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分拣、仓储业务用房和农产品冷藏库建设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自筹资金不低于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补助金额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（一）时效指标。在202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日前完成建设任务并验收合格，完成率的100%。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（二）效益指标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1.经济效益：当年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投入运营并实现收入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2.社会效益：服务满足当地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柑橘集配销售的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需求。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3.满意度：服务对象满意率≥90%。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594" w:lineRule="exact"/>
        <w:ind w:left="958" w:hanging="958"/>
        <w:jc w:val="left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000000"/>
          <w:sz w:val="21"/>
        </w:rPr>
        <w:t>单位：万元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E0F54"/>
    <w:rsid w:val="4B4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2022-11-28T01:46:00Z</dcterms:created>
  <dc:creator>Administrator</dc:creator>
  <cp:lastModifiedBy>Administrator</cp:lastModifiedBy>
  <dcterms:modified xsi:type="dcterms:W3CDTF">2022-11-28T01:47:08Z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