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before="0" w:beforeLines="0" w:after="0" w:afterLines="0" w:line="600" w:lineRule="exact"/>
        <w:ind w:left="0" w:leftChars="0" w:right="0" w:rightChars="0" w:firstLine="0" w:firstLineChars="0"/>
        <w:jc w:val="center"/>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 xml:space="preserve"> </w:t>
      </w:r>
    </w:p>
    <w:p>
      <w:pPr>
        <w:keepNext w:val="0"/>
        <w:keepLines w:val="0"/>
        <w:pageBreakBefore w:val="0"/>
        <w:widowControl w:val="0"/>
        <w:kinsoku/>
        <w:wordWrap/>
        <w:overflowPunct/>
        <w:topLinePunct w:val="0"/>
        <w:autoSpaceDE/>
        <w:autoSpaceDN/>
        <w:bidi w:val="0"/>
        <w:adjustRightInd/>
        <w:snapToGrid w:val="0"/>
        <w:spacing w:before="0" w:beforeLines="0" w:after="0" w:afterLines="0" w:line="600" w:lineRule="exact"/>
        <w:ind w:left="0" w:leftChars="0" w:right="0" w:rightChars="0" w:firstLine="0" w:firstLineChars="0"/>
        <w:jc w:val="center"/>
        <w:textAlignment w:val="auto"/>
        <w:outlineLvl w:val="9"/>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重庆市长寿区人民政府办公室</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关于给予乡村教师岗位生活补助的通知</w:t>
      </w:r>
    </w:p>
    <w:p>
      <w:pPr>
        <w:keepNext w:val="0"/>
        <w:keepLines w:val="0"/>
        <w:pageBreakBefore w:val="0"/>
        <w:widowControl w:val="0"/>
        <w:shd w:val="clear" w:color="auto" w:fill="FFFFFF"/>
        <w:kinsoku/>
        <w:wordWrap/>
        <w:overflowPunct/>
        <w:topLinePunct w:val="0"/>
        <w:autoSpaceDE/>
        <w:autoSpaceDN/>
        <w:bidi w:val="0"/>
        <w:adjustRightInd/>
        <w:snapToGrid/>
        <w:spacing w:line="54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长寿府办发〔</w:t>
      </w:r>
      <w:r>
        <w:rPr>
          <w:rFonts w:hint="default" w:ascii="Times New Roman" w:hAnsi="Times New Roman" w:eastAsia="方正仿宋_GBK" w:cs="Times New Roman"/>
          <w:sz w:val="32"/>
          <w:szCs w:val="32"/>
        </w:rPr>
        <w:t>2014</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92</w:t>
      </w:r>
      <w:r>
        <w:rPr>
          <w:rFonts w:hint="eastAsia" w:ascii="方正仿宋_GBK" w:hAnsi="方正仿宋_GBK" w:eastAsia="方正仿宋_GBK" w:cs="方正仿宋_GBK"/>
          <w:sz w:val="32"/>
          <w:szCs w:val="32"/>
        </w:rPr>
        <w:t>号</w:t>
      </w:r>
    </w:p>
    <w:p>
      <w:pPr>
        <w:keepNext w:val="0"/>
        <w:keepLines w:val="0"/>
        <w:pageBreakBefore w:val="0"/>
        <w:widowControl w:val="0"/>
        <w:kinsoku/>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各街道办事处、镇人民政府，区政府有关部门，有关单位：</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根据《中共中央国务院关于加快发展现代化农业进一步增强农村发展活力的若干意见》（中发〔</w:t>
      </w:r>
      <w:r>
        <w:rPr>
          <w:rFonts w:hint="default" w:ascii="Times New Roman" w:hAnsi="Times New Roman" w:eastAsia="方正仿宋_GBK" w:cs="Times New Roman"/>
          <w:sz w:val="32"/>
          <w:szCs w:val="32"/>
        </w:rPr>
        <w:t>2013</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号）、《教育部财政部关于落实</w:t>
      </w:r>
      <w:r>
        <w:rPr>
          <w:rFonts w:hint="default" w:ascii="Times New Roman" w:hAnsi="Times New Roman" w:eastAsia="方正仿宋_GBK" w:cs="Times New Roman"/>
          <w:sz w:val="32"/>
          <w:szCs w:val="32"/>
        </w:rPr>
        <w:t>2013</w:t>
      </w:r>
      <w:r>
        <w:rPr>
          <w:rFonts w:hint="eastAsia" w:ascii="方正仿宋_GBK" w:hAnsi="方正仿宋_GBK" w:eastAsia="方正仿宋_GBK" w:cs="方正仿宋_GBK"/>
          <w:sz w:val="32"/>
          <w:szCs w:val="32"/>
        </w:rPr>
        <w:t>年中央</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号文件要求对在连片特困地区工作的乡村教师</w:t>
      </w:r>
      <w:r>
        <w:rPr>
          <w:rFonts w:hint="eastAsia" w:ascii="方正仿宋_GBK" w:hAnsi="方正仿宋_GBK" w:eastAsia="方正仿宋_GBK" w:cs="方正仿宋_GBK"/>
          <w:sz w:val="32"/>
          <w:szCs w:val="32"/>
          <w:lang w:eastAsia="zh-CN"/>
        </w:rPr>
        <w:t>给予</w:t>
      </w:r>
      <w:bookmarkStart w:id="0" w:name="_GoBack"/>
      <w:bookmarkEnd w:id="0"/>
      <w:r>
        <w:rPr>
          <w:rFonts w:hint="eastAsia" w:ascii="方正仿宋_GBK" w:hAnsi="方正仿宋_GBK" w:eastAsia="方正仿宋_GBK" w:cs="方正仿宋_GBK"/>
          <w:sz w:val="32"/>
          <w:szCs w:val="32"/>
        </w:rPr>
        <w:t>生活补助的通知》（教财函〔</w:t>
      </w:r>
      <w:r>
        <w:rPr>
          <w:rFonts w:hint="default" w:ascii="Times New Roman" w:hAnsi="Times New Roman" w:eastAsia="方正仿宋_GBK" w:cs="Times New Roman"/>
          <w:sz w:val="32"/>
          <w:szCs w:val="32"/>
        </w:rPr>
        <w:t>2013</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106</w:t>
      </w:r>
      <w:r>
        <w:rPr>
          <w:rFonts w:hint="eastAsia" w:ascii="方正仿宋_GBK" w:hAnsi="方正仿宋_GBK" w:eastAsia="方正仿宋_GBK" w:cs="方正仿宋_GBK"/>
          <w:sz w:val="32"/>
          <w:szCs w:val="32"/>
        </w:rPr>
        <w:t>号）和《重庆市人民政府办公厅关于给予乡村教师岗位生活补助的通知》（渝府办发﹝</w:t>
      </w:r>
      <w:r>
        <w:rPr>
          <w:rFonts w:hint="default" w:ascii="Times New Roman" w:hAnsi="Times New Roman" w:eastAsia="方正仿宋_GBK" w:cs="Times New Roman"/>
          <w:sz w:val="32"/>
          <w:szCs w:val="32"/>
        </w:rPr>
        <w:t>2014</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75</w:t>
      </w:r>
      <w:r>
        <w:rPr>
          <w:rFonts w:hint="eastAsia" w:ascii="方正仿宋_GBK" w:hAnsi="方正仿宋_GBK" w:eastAsia="方正仿宋_GBK" w:cs="方正仿宋_GBK"/>
          <w:sz w:val="32"/>
          <w:szCs w:val="32"/>
        </w:rPr>
        <w:t>号）文件精神，为加强我区乡村教师队伍建设，增强乡村教师岗位吸引力，经区政府同意，现就给予乡村教师岗位生活补助有关事宜通知如下：</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一、补助范围和对象</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我区的村小、教学点及边远地区九年制学校（不含街镇政府所在地学校）的在编在岗教职工。</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经教育行政部门批准到补助范围学校连续工作一学期及以上的交流轮岗教师、支教人员，以及纳入补助范围学校中因公外出学习培训（</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年内）的在编教职工属于补助对象。其他在编不在岗、离退休等人员不属于补助对象。</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二、类别与标准</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根据学校（不含街镇政府所在地学校）的条件艰苦程度不同，分为四类标准：</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sz w:val="32"/>
          <w:szCs w:val="32"/>
        </w:rPr>
        <w:t>一类学校，是指我区的村小、教学点</w:t>
      </w:r>
      <w:r>
        <w:rPr>
          <w:rFonts w:hint="eastAsia" w:ascii="方正仿宋_GBK" w:hAnsi="方正仿宋_GBK" w:eastAsia="方正仿宋_GBK" w:cs="方正仿宋_GBK"/>
          <w:color w:val="000000"/>
          <w:sz w:val="32"/>
          <w:szCs w:val="32"/>
        </w:rPr>
        <w:t>（条件艰苦、边远、高寒地区除外）的在编在岗教职工，每人</w:t>
      </w:r>
      <w:r>
        <w:rPr>
          <w:rFonts w:hint="default" w:ascii="Times New Roman" w:hAnsi="Times New Roman" w:eastAsia="方正仿宋_GBK" w:cs="Times New Roman"/>
          <w:color w:val="000000"/>
          <w:sz w:val="32"/>
          <w:szCs w:val="32"/>
        </w:rPr>
        <w:t>200</w:t>
      </w:r>
      <w:r>
        <w:rPr>
          <w:rFonts w:hint="eastAsia" w:ascii="方正仿宋_GBK" w:hAnsi="方正仿宋_GBK" w:eastAsia="方正仿宋_GBK" w:cs="方正仿宋_GBK"/>
          <w:color w:val="000000"/>
          <w:sz w:val="32"/>
          <w:szCs w:val="32"/>
        </w:rPr>
        <w:t>元/月。</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二类学校，是指我区条件较为艰苦、边远、高寒地区的村小、教学点及边远地区九年制学校的在编在岗的教职工，每人</w:t>
      </w:r>
      <w:r>
        <w:rPr>
          <w:rFonts w:hint="default" w:ascii="Times New Roman" w:hAnsi="Times New Roman" w:eastAsia="方正仿宋_GBK" w:cs="Times New Roman"/>
          <w:sz w:val="32"/>
          <w:szCs w:val="32"/>
        </w:rPr>
        <w:t>350</w:t>
      </w:r>
      <w:r>
        <w:rPr>
          <w:rFonts w:hint="eastAsia" w:ascii="方正仿宋_GBK" w:hAnsi="方正仿宋_GBK" w:eastAsia="方正仿宋_GBK" w:cs="方正仿宋_GBK"/>
          <w:sz w:val="32"/>
          <w:szCs w:val="32"/>
        </w:rPr>
        <w:t>元/月。</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三类学校，是指我区条件艰苦、边远、高寒地区的村小、教学点及边远地区九年制学校的在编在岗的教职工，每人</w:t>
      </w:r>
      <w:r>
        <w:rPr>
          <w:rFonts w:hint="default" w:ascii="Times New Roman" w:hAnsi="Times New Roman" w:eastAsia="方正仿宋_GBK" w:cs="Times New Roman"/>
          <w:sz w:val="32"/>
          <w:szCs w:val="32"/>
        </w:rPr>
        <w:t>500</w:t>
      </w:r>
      <w:r>
        <w:rPr>
          <w:rFonts w:hint="eastAsia" w:ascii="方正仿宋_GBK" w:hAnsi="方正仿宋_GBK" w:eastAsia="方正仿宋_GBK" w:cs="方正仿宋_GBK"/>
          <w:sz w:val="32"/>
          <w:szCs w:val="32"/>
        </w:rPr>
        <w:t>元/月。</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四类学校，是指我区条件特别艰苦、边远、高寒地区的村小、教学点及边远地区九年制学校的在编在岗的教职工，每人</w:t>
      </w:r>
      <w:r>
        <w:rPr>
          <w:rFonts w:hint="default" w:ascii="Times New Roman" w:hAnsi="Times New Roman" w:eastAsia="方正仿宋_GBK" w:cs="Times New Roman"/>
          <w:sz w:val="32"/>
          <w:szCs w:val="32"/>
        </w:rPr>
        <w:t>800</w:t>
      </w:r>
      <w:r>
        <w:rPr>
          <w:rFonts w:hint="eastAsia" w:ascii="方正仿宋_GBK" w:hAnsi="方正仿宋_GBK" w:eastAsia="方正仿宋_GBK" w:cs="方正仿宋_GBK"/>
          <w:sz w:val="32"/>
          <w:szCs w:val="32"/>
        </w:rPr>
        <w:t>元/月。</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一至四类学校的划分，详见附件。</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三、执行时间</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2014</w:t>
      </w:r>
      <w:r>
        <w:rPr>
          <w:rFonts w:hint="eastAsia" w:ascii="方正仿宋_GBK" w:hAnsi="方正仿宋_GBK" w:eastAsia="方正仿宋_GBK" w:cs="方正仿宋_GBK"/>
          <w:sz w:val="32"/>
          <w:szCs w:val="32"/>
        </w:rPr>
        <w:t>年</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月</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日起执行。</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四、补助办法</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（一）乡村教师岗位生活补助是针对工作岗位的补助，教师在岗时享有，离岗（包括退休）后自然取消。乡村教师岗位生活补助不作为计算退休费的基数。</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（二）乡村教师岗位生活补助实行实名制管理，按月将岗位生活补助直接发放到教师个人。全年按</w:t>
      </w:r>
      <w:r>
        <w:rPr>
          <w:rFonts w:hint="default" w:ascii="Times New Roman" w:hAnsi="Times New Roman" w:eastAsia="方正仿宋_GBK" w:cs="Times New Roman"/>
          <w:sz w:val="32"/>
          <w:szCs w:val="32"/>
        </w:rPr>
        <w:t>12</w:t>
      </w:r>
      <w:r>
        <w:rPr>
          <w:rFonts w:hint="eastAsia" w:ascii="方正仿宋_GBK" w:hAnsi="方正仿宋_GBK" w:eastAsia="方正仿宋_GBK" w:cs="方正仿宋_GBK"/>
          <w:sz w:val="32"/>
          <w:szCs w:val="32"/>
        </w:rPr>
        <w:t>个月计发。</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（三）按照《教育部等五部门关于印发〈边远贫困地区、边疆少数民族地区和革命老区人才支持计划教师专项计划实施方案〉的通知（教民〔</w:t>
      </w:r>
      <w:r>
        <w:rPr>
          <w:rFonts w:hint="default" w:ascii="Times New Roman" w:hAnsi="Times New Roman" w:eastAsia="方正仿宋_GBK" w:cs="Times New Roman"/>
          <w:sz w:val="32"/>
          <w:szCs w:val="32"/>
        </w:rPr>
        <w:t>2012</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6</w:t>
      </w:r>
      <w:r>
        <w:rPr>
          <w:rFonts w:hint="eastAsia" w:ascii="方正仿宋_GBK" w:hAnsi="方正仿宋_GBK" w:eastAsia="方正仿宋_GBK" w:cs="方正仿宋_GBK"/>
          <w:sz w:val="32"/>
          <w:szCs w:val="32"/>
        </w:rPr>
        <w:t>号）规定，选派到“三区”的支教教师执行乡村教师岗位生活补助时，按“就高不就低”的原则执行，不得重复享受。</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（四）各街镇教育管理中心、直属学校要在一定范围内，公示符合补助条件的乡村教师名单，严禁虚报、冒领、套取补助资金的行为。</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五、经费保障</w:t>
      </w:r>
    </w:p>
    <w:p>
      <w:pPr>
        <w:keepNext w:val="0"/>
        <w:keepLines w:val="0"/>
        <w:pageBreakBefore w:val="0"/>
        <w:widowControl w:val="0"/>
        <w:kinsoku/>
        <w:overflowPunct/>
        <w:topLinePunct w:val="0"/>
        <w:autoSpaceDE/>
        <w:autoSpaceDN/>
        <w:bidi w:val="0"/>
        <w:adjustRightInd/>
        <w:snapToGrid/>
        <w:spacing w:line="600" w:lineRule="exact"/>
        <w:ind w:firstLine="630"/>
        <w:textAlignment w:val="auto"/>
        <w:rPr>
          <w:rFonts w:hint="eastAsia" w:ascii="方正仿宋_GBK" w:hAnsi="方正仿宋_GBK" w:eastAsia="方正仿宋_GBK" w:cs="方正仿宋_GBK"/>
          <w:spacing w:val="-9"/>
          <w:sz w:val="32"/>
          <w:szCs w:val="32"/>
        </w:rPr>
      </w:pPr>
      <w:r>
        <w:rPr>
          <w:rFonts w:hint="eastAsia" w:ascii="方正仿宋_GBK" w:hAnsi="方正仿宋_GBK" w:eastAsia="方正仿宋_GBK" w:cs="方正仿宋_GBK"/>
          <w:sz w:val="32"/>
          <w:szCs w:val="32"/>
        </w:rPr>
        <w:t>乡村教师岗位生活补助，所需资金由区财政统筹落实。</w:t>
      </w:r>
    </w:p>
    <w:p>
      <w:pPr>
        <w:keepNext w:val="0"/>
        <w:keepLines w:val="0"/>
        <w:pageBreakBefore w:val="0"/>
        <w:widowControl w:val="0"/>
        <w:kinsoku/>
        <w:overflowPunct/>
        <w:topLinePunct w:val="0"/>
        <w:autoSpaceDE/>
        <w:autoSpaceDN/>
        <w:bidi w:val="0"/>
        <w:adjustRightInd/>
        <w:snapToGrid/>
        <w:spacing w:line="600" w:lineRule="exact"/>
        <w:ind w:firstLine="604" w:firstLineChars="200"/>
        <w:textAlignment w:val="auto"/>
        <w:rPr>
          <w:rFonts w:hint="eastAsia" w:ascii="方正仿宋_GBK" w:hAnsi="方正仿宋_GBK" w:eastAsia="方正仿宋_GBK" w:cs="方正仿宋_GBK"/>
          <w:spacing w:val="-9"/>
          <w:sz w:val="32"/>
          <w:szCs w:val="32"/>
        </w:rPr>
      </w:pPr>
      <w:r>
        <w:rPr>
          <w:rFonts w:hint="eastAsia" w:ascii="方正仿宋_GBK" w:hAnsi="方正仿宋_GBK" w:eastAsia="方正仿宋_GBK" w:cs="方正仿宋_GBK"/>
          <w:spacing w:val="-9"/>
          <w:sz w:val="32"/>
          <w:szCs w:val="32"/>
        </w:rPr>
        <w:t>附件：长寿区享受乡村教师岗位生活补助的学校</w:t>
      </w:r>
    </w:p>
    <w:p>
      <w:pPr>
        <w:keepNext w:val="0"/>
        <w:keepLines w:val="0"/>
        <w:pageBreakBefore w:val="0"/>
        <w:widowControl w:val="0"/>
        <w:kinsoku/>
        <w:overflowPunct/>
        <w:topLinePunct w:val="0"/>
        <w:autoSpaceDE/>
        <w:autoSpaceDN/>
        <w:bidi w:val="0"/>
        <w:adjustRightInd/>
        <w:snapToGrid/>
        <w:spacing w:line="600" w:lineRule="exact"/>
        <w:ind w:firstLine="604" w:firstLineChars="200"/>
        <w:textAlignment w:val="auto"/>
        <w:rPr>
          <w:rFonts w:hint="eastAsia" w:ascii="方正仿宋_GBK" w:hAnsi="方正仿宋_GBK" w:eastAsia="方正仿宋_GBK" w:cs="方正仿宋_GBK"/>
          <w:spacing w:val="-9"/>
          <w:sz w:val="32"/>
          <w:szCs w:val="32"/>
        </w:rPr>
      </w:pP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pacing w:val="-9"/>
          <w:sz w:val="32"/>
          <w:szCs w:val="32"/>
        </w:rPr>
      </w:pPr>
    </w:p>
    <w:p>
      <w:pPr>
        <w:keepNext w:val="0"/>
        <w:keepLines w:val="0"/>
        <w:pageBreakBefore w:val="0"/>
        <w:widowControl w:val="0"/>
        <w:kinsoku/>
        <w:wordWrap w:val="0"/>
        <w:overflowPunct/>
        <w:topLinePunct w:val="0"/>
        <w:autoSpaceDE/>
        <w:autoSpaceDN/>
        <w:bidi w:val="0"/>
        <w:adjustRightInd/>
        <w:snapToGrid/>
        <w:spacing w:line="600" w:lineRule="exact"/>
        <w:jc w:val="right"/>
        <w:textAlignment w:val="auto"/>
        <w:rPr>
          <w:rFonts w:hint="default" w:ascii="方正仿宋_GBK" w:hAnsi="方正仿宋_GBK" w:eastAsia="方正仿宋_GBK" w:cs="方正仿宋_GBK"/>
          <w:sz w:val="32"/>
          <w:szCs w:val="20"/>
          <w:lang w:val="en-US" w:eastAsia="zh-CN"/>
        </w:rPr>
      </w:pPr>
      <w:r>
        <w:rPr>
          <w:rFonts w:hint="eastAsia" w:ascii="方正仿宋_GBK" w:hAnsi="方正仿宋_GBK" w:eastAsia="方正仿宋_GBK" w:cs="方正仿宋_GBK"/>
          <w:sz w:val="32"/>
          <w:szCs w:val="20"/>
        </w:rPr>
        <w:t xml:space="preserve">                        重庆市长寿区人民政府办公室</w:t>
      </w:r>
      <w:r>
        <w:rPr>
          <w:rFonts w:hint="eastAsia" w:ascii="方正仿宋_GBK" w:hAnsi="方正仿宋_GBK" w:eastAsia="方正仿宋_GBK" w:cs="方正仿宋_GBK"/>
          <w:sz w:val="32"/>
          <w:szCs w:val="20"/>
          <w:lang w:val="en-US" w:eastAsia="zh-CN"/>
        </w:rPr>
        <w:t xml:space="preserve">    </w:t>
      </w: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sz w:val="32"/>
          <w:szCs w:val="20"/>
        </w:rPr>
      </w:pPr>
      <w:r>
        <w:rPr>
          <w:rFonts w:hint="eastAsia" w:ascii="Times New Roman" w:hAnsi="Times New Roman" w:eastAsia="方正仿宋_GBK" w:cs="Times New Roman"/>
          <w:sz w:val="32"/>
          <w:szCs w:val="20"/>
          <w:lang w:val="en-US" w:eastAsia="zh-CN"/>
        </w:rPr>
        <w:t xml:space="preserve">                       </w:t>
      </w:r>
      <w:r>
        <w:rPr>
          <w:rFonts w:hint="default" w:ascii="Times New Roman" w:hAnsi="Times New Roman" w:eastAsia="方正仿宋_GBK" w:cs="Times New Roman"/>
          <w:sz w:val="32"/>
          <w:szCs w:val="20"/>
        </w:rPr>
        <w:t>2014</w:t>
      </w:r>
      <w:r>
        <w:rPr>
          <w:rFonts w:hint="eastAsia" w:ascii="方正仿宋_GBK" w:hAnsi="方正仿宋_GBK" w:eastAsia="方正仿宋_GBK" w:cs="方正仿宋_GBK"/>
          <w:sz w:val="32"/>
          <w:szCs w:val="20"/>
        </w:rPr>
        <w:t>年</w:t>
      </w:r>
      <w:r>
        <w:rPr>
          <w:rFonts w:hint="default" w:ascii="Times New Roman" w:hAnsi="Times New Roman" w:eastAsia="方正仿宋_GBK" w:cs="Times New Roman"/>
          <w:sz w:val="32"/>
          <w:szCs w:val="20"/>
        </w:rPr>
        <w:t>9</w:t>
      </w:r>
      <w:r>
        <w:rPr>
          <w:rFonts w:hint="eastAsia" w:ascii="方正仿宋_GBK" w:hAnsi="方正仿宋_GBK" w:eastAsia="方正仿宋_GBK" w:cs="方正仿宋_GBK"/>
          <w:sz w:val="32"/>
          <w:szCs w:val="20"/>
        </w:rPr>
        <w:t>月</w:t>
      </w:r>
      <w:r>
        <w:rPr>
          <w:rFonts w:hint="default" w:ascii="Times New Roman" w:hAnsi="Times New Roman" w:eastAsia="方正仿宋_GBK" w:cs="Times New Roman"/>
          <w:sz w:val="32"/>
          <w:szCs w:val="20"/>
        </w:rPr>
        <w:t>1</w:t>
      </w:r>
      <w:r>
        <w:rPr>
          <w:rFonts w:hint="eastAsia" w:ascii="方正仿宋_GBK" w:hAnsi="方正仿宋_GBK" w:eastAsia="方正仿宋_GBK" w:cs="方正仿宋_GBK"/>
          <w:sz w:val="32"/>
          <w:szCs w:val="20"/>
        </w:rPr>
        <w:t>日</w:t>
      </w:r>
    </w:p>
    <w:p>
      <w:pPr>
        <w:keepNext w:val="0"/>
        <w:keepLines w:val="0"/>
        <w:pageBreakBefore w:val="0"/>
        <w:widowControl w:val="0"/>
        <w:kinsoku/>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sz w:val="32"/>
          <w:szCs w:val="20"/>
        </w:rPr>
      </w:pPr>
      <w:r>
        <w:rPr>
          <w:rFonts w:hint="eastAsia" w:ascii="方正黑体_GBK" w:hAnsi="方正黑体_GBK" w:eastAsia="方正黑体_GBK" w:cs="方正黑体_GBK"/>
          <w:sz w:val="32"/>
          <w:szCs w:val="20"/>
        </w:rPr>
        <w:t>附件：</w:t>
      </w:r>
    </w:p>
    <w:p>
      <w:pPr>
        <w:keepNext w:val="0"/>
        <w:keepLines w:val="0"/>
        <w:pageBreakBefore w:val="0"/>
        <w:widowControl w:val="0"/>
        <w:kinsoku/>
        <w:overflowPunct/>
        <w:topLinePunct w:val="0"/>
        <w:autoSpaceDE/>
        <w:autoSpaceDN/>
        <w:bidi w:val="0"/>
        <w:adjustRightInd/>
        <w:snapToGrid/>
        <w:spacing w:line="600" w:lineRule="exact"/>
        <w:jc w:val="left"/>
        <w:textAlignment w:val="auto"/>
        <w:rPr>
          <w:rFonts w:hint="eastAsia" w:ascii="方正仿宋_GBK" w:hAnsi="方正仿宋_GBK" w:eastAsia="方正仿宋_GBK" w:cs="方正仿宋_GBK"/>
          <w:sz w:val="32"/>
          <w:szCs w:val="20"/>
        </w:rPr>
      </w:pPr>
    </w:p>
    <w:p>
      <w:pPr>
        <w:keepNext w:val="0"/>
        <w:keepLines w:val="0"/>
        <w:pageBreakBefore w:val="0"/>
        <w:widowControl w:val="0"/>
        <w:kinsoku/>
        <w:overflowPunct/>
        <w:topLinePunct w:val="0"/>
        <w:autoSpaceDE/>
        <w:autoSpaceDN/>
        <w:bidi w:val="0"/>
        <w:adjustRightInd/>
        <w:snapToGrid/>
        <w:spacing w:line="600" w:lineRule="exact"/>
        <w:ind w:firstLine="630"/>
        <w:jc w:val="center"/>
        <w:textAlignment w:val="auto"/>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长寿区享受乡村教师岗位生活补助的学校</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一类学校（</w:t>
      </w:r>
      <w:r>
        <w:rPr>
          <w:rFonts w:hint="default" w:ascii="Times New Roman" w:hAnsi="Times New Roman" w:eastAsia="方正黑体_GBK" w:cs="Times New Roman"/>
          <w:sz w:val="32"/>
          <w:szCs w:val="32"/>
        </w:rPr>
        <w:t>22</w:t>
      </w:r>
      <w:r>
        <w:rPr>
          <w:rFonts w:hint="eastAsia" w:ascii="方正黑体_GBK" w:hAnsi="方正黑体_GBK" w:eastAsia="方正黑体_GBK" w:cs="方正黑体_GBK"/>
          <w:sz w:val="32"/>
          <w:szCs w:val="32"/>
        </w:rPr>
        <w:t>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sz w:val="32"/>
          <w:szCs w:val="32"/>
        </w:rPr>
      </w:pP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八颗镇：梓潼小学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邻封镇：焦家小学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双龙镇：寿山小学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石堰镇：黎明小学    普子小学    石安小学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红灯小学    木耳小学    兴隆小学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葛兰镇：黄氏祠小学  天台小学    沙河桥小学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白云小学    文庙小学    兰山小学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星火小学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但渡镇：未名小学    </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凤城街道：长风小学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晏家街道：沙溪小学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渡舟街道：三平小学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长寿湖镇：红光小学  罗山小学</w:t>
      </w: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b/>
          <w:bCs/>
          <w:sz w:val="32"/>
          <w:szCs w:val="32"/>
        </w:rPr>
      </w:pP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二类学校（</w:t>
      </w:r>
      <w:r>
        <w:rPr>
          <w:rFonts w:hint="default" w:ascii="Times New Roman" w:hAnsi="Times New Roman" w:eastAsia="方正黑体_GBK" w:cs="Times New Roman"/>
          <w:sz w:val="32"/>
          <w:szCs w:val="32"/>
        </w:rPr>
        <w:t>9</w:t>
      </w:r>
      <w:r>
        <w:rPr>
          <w:rFonts w:hint="eastAsia" w:ascii="方正黑体_GBK" w:hAnsi="方正黑体_GBK" w:eastAsia="方正黑体_GBK" w:cs="方正黑体_GBK"/>
          <w:sz w:val="32"/>
          <w:szCs w:val="32"/>
        </w:rPr>
        <w:t>所）</w:t>
      </w: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洪湖镇：称沱小学    三合小学 </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云台镇：青云小学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海棠镇：建生小学    清泉小学    明金希望小学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云集镇：石塔小学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九年制学校：黄葛九年制学校    石回九年制学校</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20"/>
        </w:rPr>
      </w:pP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三类学校（</w:t>
      </w:r>
      <w:r>
        <w:rPr>
          <w:rFonts w:hint="default" w:ascii="Times New Roman" w:hAnsi="Times New Roman" w:eastAsia="方正黑体_GBK" w:cs="Times New Roman"/>
          <w:sz w:val="32"/>
          <w:szCs w:val="32"/>
        </w:rPr>
        <w:t>9</w:t>
      </w:r>
      <w:r>
        <w:rPr>
          <w:rFonts w:hint="eastAsia" w:ascii="方正黑体_GBK" w:hAnsi="方正黑体_GBK" w:eastAsia="方正黑体_GBK" w:cs="方正黑体_GBK"/>
          <w:sz w:val="32"/>
          <w:szCs w:val="32"/>
        </w:rPr>
        <w:t>所）</w:t>
      </w: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20"/>
        </w:rPr>
      </w:pPr>
      <w:r>
        <w:rPr>
          <w:rFonts w:hint="eastAsia" w:ascii="方正仿宋_GBK" w:hAnsi="方正仿宋_GBK" w:eastAsia="方正仿宋_GBK" w:cs="方正仿宋_GBK"/>
          <w:sz w:val="32"/>
          <w:szCs w:val="32"/>
        </w:rPr>
        <w:t xml:space="preserve">    万顺镇：白鹤林小学  太文希望小学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葛兰镇：大坝小学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石堰镇：义和小学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龙河镇：乐温小学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20"/>
        </w:rPr>
      </w:pPr>
      <w:r>
        <w:rPr>
          <w:rFonts w:hint="eastAsia" w:ascii="方正仿宋_GBK" w:hAnsi="方正仿宋_GBK" w:eastAsia="方正仿宋_GBK" w:cs="方正仿宋_GBK"/>
          <w:sz w:val="32"/>
          <w:szCs w:val="32"/>
        </w:rPr>
        <w:t xml:space="preserve">    云台镇：桥坝小学    鲤鱼小学</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云集镇：飞龙小学</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九年制学校：飞龙九年制学校</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四类学校（</w:t>
      </w:r>
      <w:r>
        <w:rPr>
          <w:rFonts w:hint="default" w:ascii="Times New Roman" w:hAnsi="Times New Roman" w:eastAsia="方正黑体_GBK" w:cs="Times New Roman"/>
          <w:sz w:val="32"/>
          <w:szCs w:val="32"/>
        </w:rPr>
        <w:t>2</w:t>
      </w:r>
      <w:r>
        <w:rPr>
          <w:rFonts w:hint="eastAsia" w:ascii="方正黑体_GBK" w:hAnsi="方正黑体_GBK" w:eastAsia="方正黑体_GBK" w:cs="方正黑体_GBK"/>
          <w:sz w:val="32"/>
          <w:szCs w:val="32"/>
        </w:rPr>
        <w:t>所）</w:t>
      </w: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方正黑体_GBK" w:hAnsi="方正黑体_GBK" w:eastAsia="方正黑体_GBK" w:cs="方正黑体_GBK"/>
          <w:sz w:val="32"/>
          <w:szCs w:val="32"/>
        </w:rPr>
      </w:pP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 xml:space="preserve">    云集镇：玛瑙小学    高凤小学</w:t>
      </w: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auto"/>
    <w:pitch w:val="default"/>
    <w:sig w:usb0="00000001" w:usb1="080E0000" w:usb2="00000000" w:usb3="00000000" w:csb0="00040000" w:csb1="00000000"/>
  </w:font>
  <w:font w:name="MingLiU">
    <w:panose1 w:val="02020509000000000000"/>
    <w:charset w:val="88"/>
    <w:family w:val="modern"/>
    <w:pitch w:val="default"/>
    <w:sig w:usb0="A00002FF" w:usb1="28CFFCFA" w:usb2="00000016" w:usb3="00000000" w:csb0="00100001" w:csb1="00000000"/>
  </w:font>
  <w:font w:name="方正小标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rFonts w:ascii="Calibri" w:hAnsi="Calibri" w:eastAsia="宋体" w:cs="黑体"/>
        <w:kern w:val="2"/>
        <w:sz w:val="32"/>
        <w:szCs w:val="24"/>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t>- 1 -</w:t>
                          </w:r>
                          <w:r>
                            <w:rPr>
                              <w:rFonts w:hint="eastAsia" w:ascii="宋体" w:hAnsi="宋体" w:eastAsia="宋体" w:cs="宋体"/>
                              <w:sz w:val="28"/>
                              <w:szCs w:val="28"/>
                            </w:rPr>
                            <w:fldChar w:fldCharType="end"/>
                          </w:r>
                        </w:p>
                      </w:txbxContent>
                    </wps:txbx>
                    <wps:bodyPr wrap="none" lIns="0" tIns="0" rIns="0" bIns="0" upright="1">
                      <a:spAutoFit/>
                    </wps:bodyPr>
                  </wps:wsp>
                </a:graphicData>
              </a:graphic>
            </wp:anchor>
          </w:drawing>
        </mc:Choice>
        <mc:Fallback>
          <w:pict>
            <v:rect id="文本框 8" o:spid="_x0000_s1026" o:spt="1"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uXW5UtAAAAAFAQAADwAAAAAA&#10;AAABACAAAAAiAAAAZHJzL2Rvd25yZXYueG1sUEsBAhQAFAAAAAgAh07iQKgJ+iKpAQAAQQMAAA4A&#10;AAAAAAAAAQAgAAAAHwEAAGRycy9lMm9Eb2MueG1sUEsFBgAAAAAGAAYAWQEAADoFAAAAAA==&#10;">
              <v:fill on="f" focussize="0,0"/>
              <v:stroke on="f"/>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t>- 1 -</w:t>
                    </w:r>
                    <w:r>
                      <w:rPr>
                        <w:rFonts w:hint="eastAsia" w:ascii="宋体" w:hAnsi="宋体" w:eastAsia="宋体" w:cs="宋体"/>
                        <w:sz w:val="28"/>
                        <w:szCs w:val="28"/>
                      </w:rPr>
                      <w:fldChar w:fldCharType="end"/>
                    </w:r>
                  </w:p>
                </w:txbxContent>
              </v:textbox>
            </v:rect>
          </w:pict>
        </mc:Fallback>
      </mc:AlternateContent>
    </w:r>
    <w:r>
      <w:rPr>
        <w:rFonts w:hint="eastAsia" w:eastAsia="仿宋"/>
        <w:sz w:val="32"/>
        <w:szCs w:val="48"/>
        <w:lang w:val="en-US" w:eastAsia="zh-CN"/>
      </w:rPr>
      <w:t xml:space="preserve">  </w:t>
    </w:r>
  </w:p>
  <w:p>
    <w:pPr>
      <w:pStyle w:val="6"/>
      <w:wordWrap w:val="0"/>
      <w:ind w:left="3786" w:leftChars="1803" w:firstLine="7398" w:firstLineChars="2312"/>
      <w:jc w:val="right"/>
      <w:rPr>
        <w:rFonts w:hint="eastAsia" w:ascii="宋体" w:hAnsi="宋体" w:eastAsia="宋体" w:cs="宋体"/>
        <w:b/>
        <w:bCs/>
        <w:color w:val="005192"/>
        <w:sz w:val="28"/>
        <w:szCs w:val="44"/>
        <w:lang w:val="en-US" w:eastAsia="zh-CN"/>
      </w:rPr>
    </w:pPr>
    <w:r>
      <w:rPr>
        <w:rFonts w:ascii="Calibri" w:hAnsi="Calibri" w:eastAsia="宋体" w:cs="黑体"/>
        <w:color w:val="FAFAFA"/>
        <w:kern w:val="2"/>
        <w:sz w:val="32"/>
        <w:szCs w:val="24"/>
        <w:lang w:val="en-US" w:eastAsia="zh-CN" w:bidi="ar-SA"/>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2"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cap="flat" cmpd="sng">
                        <a:solidFill>
                          <a:srgbClr val="005192"/>
                        </a:solidFill>
                        <a:prstDash val="solid"/>
                        <a:headEnd type="none" w="med" len="med"/>
                        <a:tailEnd type="none" w="med" len="med"/>
                      </a:ln>
                    </wps:spPr>
                    <wps:bodyPr upright="0"/>
                  </wps:wsp>
                </a:graphicData>
              </a:graphic>
            </wp:anchor>
          </w:drawing>
        </mc:Choice>
        <mc:Fallback>
          <w:pict>
            <v:line id="直接连接符 5" o:spid="_x0000_s1026" o:spt="20" style="position:absolute;left:0pt;margin-left:0pt;margin-top:5.85pt;height:0.15pt;width:442.25pt;z-index:251660288;mso-width-relative:page;mso-height-relative:page;" filled="f" stroked="t" coordsize="21600,21600" o:gfxdata="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v8kdX0gAAAAYBAAAPAAAAAAAA&#10;AAEAIAAAACIAAABkcnMvZG93bnJldi54bWxQSwECFAAUAAAACACHTuJAijUd2N8BAACaAwAADgAA&#10;AAAAAAABACAAAAAhAQAAZHJzL2Uyb0RvYy54bWxQSwUGAAAAAAYABgBZAQAAcgUAAAAA&#10;">
              <v:fill on="f" focussize="0,0"/>
              <v:stroke weight="1.75pt" color="#005192" joinstyle="round"/>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rPr>
      <w:t>重庆市长寿区人民政府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发布</w:t>
    </w:r>
    <w:r>
      <w:rPr>
        <w:rFonts w:hint="eastAsia" w:ascii="宋体" w:hAnsi="宋体" w:cs="宋体"/>
        <w:b/>
        <w:bCs/>
        <w:color w:val="005192"/>
        <w:sz w:val="28"/>
        <w:szCs w:val="44"/>
        <w:lang w:val="en-US" w:eastAsia="zh-CN"/>
      </w:rPr>
      <w:t xml:space="preserve">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r>
      <w:rPr>
        <w:rFonts w:hint="eastAsia" w:ascii="宋体" w:hAnsi="宋体" w:cs="宋体"/>
        <w:b/>
        <w:bCs/>
        <w:color w:val="005192"/>
        <w:sz w:val="28"/>
        <w:szCs w:val="44"/>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widowControl w:val="0"/>
      <w:wordWrap/>
      <w:adjustRightInd/>
      <w:snapToGrid w:val="0"/>
      <w:textAlignment w:val="center"/>
      <w:rPr>
        <w:rFonts w:hint="eastAsia" w:ascii="方正仿宋_GBK" w:hAnsi="方正仿宋_GBK" w:eastAsia="方正仿宋_GBK" w:cs="方正仿宋_GBK"/>
        <w:b/>
        <w:bCs/>
        <w:color w:val="000000"/>
        <w:sz w:val="32"/>
        <w:lang w:val="en-US" w:eastAsia="zh-CN"/>
      </w:rPr>
    </w:pPr>
    <w:r>
      <w:rPr>
        <w:rFonts w:hint="eastAsia" w:ascii="方正仿宋_GBK" w:hAnsi="方正仿宋_GBK" w:eastAsia="方正仿宋_GBK" w:cs="方正仿宋_GBK"/>
        <w:b/>
        <w:bCs/>
        <w:color w:val="000000"/>
        <w:kern w:val="2"/>
        <w:sz w:val="32"/>
        <w:szCs w:val="24"/>
        <w:lang w:val="en-US" w:eastAsia="zh-CN" w:bidi="ar-SA"/>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690245</wp:posOffset>
              </wp:positionV>
              <wp:extent cx="5620385" cy="635"/>
              <wp:effectExtent l="0" t="10795" r="18415" b="17145"/>
              <wp:wrapNone/>
              <wp:docPr id="1" name="直接连接符 4"/>
              <wp:cNvGraphicFramePr/>
              <a:graphic xmlns:a="http://schemas.openxmlformats.org/drawingml/2006/main">
                <a:graphicData uri="http://schemas.microsoft.com/office/word/2010/wordprocessingShape">
                  <wps:wsp>
                    <wps:cNvCnPr/>
                    <wps:spPr>
                      <a:xfrm>
                        <a:off x="0" y="0"/>
                        <a:ext cx="5620385" cy="635"/>
                      </a:xfrm>
                      <a:prstGeom prst="line">
                        <a:avLst/>
                      </a:prstGeom>
                      <a:ln w="22225" cap="flat" cmpd="sng">
                        <a:solidFill>
                          <a:srgbClr val="005192"/>
                        </a:solidFill>
                        <a:prstDash val="solid"/>
                        <a:headEnd type="none" w="med" len="med"/>
                        <a:tailEnd type="none" w="med" len="med"/>
                      </a:ln>
                    </wps:spPr>
                    <wps:bodyPr upright="0"/>
                  </wps:wsp>
                </a:graphicData>
              </a:graphic>
            </wp:anchor>
          </w:drawing>
        </mc:Choice>
        <mc:Fallback>
          <w:pict>
            <v:line id="直接连接符 4" o:spid="_x0000_s1026" o:spt="20" style="position:absolute;left:0pt;margin-left:-0.05pt;margin-top:54.35pt;height:0.05pt;width:442.55pt;z-index:251659264;mso-width-relative:page;mso-height-relative:page;" filled="f" stroked="t" coordsize="21600,21600" o:gfxdata="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OLVDydIAAAAJAQAADwAAAAAAAAAB&#10;ACAAAAAiAAAAZHJzL2Rvd25yZXYueG1sUEsBAhQAFAAAAAgAh07iQDXjSyfdAQAAmQMAAA4AAAAA&#10;AAAAAQAgAAAAIQEAAGRycy9lMm9Eb2MueG1sUEsFBgAAAAAGAAYAWQEAAHAFAAAAAA==&#10;">
              <v:fill on="f" focussize="0,0"/>
              <v:stroke weight="1.75pt" color="#005192" joinstyle="round"/>
              <v:imagedata o:title=""/>
              <o:lock v:ext="edit" aspectratio="f"/>
            </v:line>
          </w:pict>
        </mc:Fallback>
      </mc:AlternateContent>
    </w:r>
  </w:p>
  <w:p>
    <w:pPr>
      <w:pStyle w:val="6"/>
      <w:widowControl w:val="0"/>
      <w:wordWrap/>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kern w:val="2"/>
        <w:sz w:val="32"/>
        <w:szCs w:val="24"/>
        <w:lang w:val="en-US" w:eastAsia="zh-CN" w:bidi="ar-SA"/>
      </w:rPr>
      <w:drawing>
        <wp:inline distT="0" distB="0" distL="114300" distR="114300">
          <wp:extent cx="308610" cy="308610"/>
          <wp:effectExtent l="0" t="0" r="15240" b="15240"/>
          <wp:docPr id="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pic:cNvPicPr>
                    <a:picLocks noChangeAspect="1"/>
                  </pic:cNvPicPr>
                </pic:nvPicPr>
                <pic:blipFill>
                  <a:blip r:embed="rId1">
                    <a:lum/>
                  </a:blip>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rPr>
      <w:t>重庆市长寿区人民政府行政</w:t>
    </w:r>
    <w:r>
      <w:rPr>
        <w:rFonts w:hint="eastAsia" w:ascii="宋体" w:hAnsi="宋体" w:eastAsia="宋体" w:cs="宋体"/>
        <w:b/>
        <w:bCs/>
        <w:color w:val="005192"/>
        <w:sz w:val="32"/>
        <w:szCs w:val="32"/>
        <w:lang w:val="en-U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4A5EE6"/>
    <w:rsid w:val="04B679C3"/>
    <w:rsid w:val="05F07036"/>
    <w:rsid w:val="06E00104"/>
    <w:rsid w:val="080F63D8"/>
    <w:rsid w:val="09341458"/>
    <w:rsid w:val="098254C2"/>
    <w:rsid w:val="0A6A33D8"/>
    <w:rsid w:val="0A766EDE"/>
    <w:rsid w:val="0AD64BE8"/>
    <w:rsid w:val="0B0912D7"/>
    <w:rsid w:val="0B40567C"/>
    <w:rsid w:val="0D8146DD"/>
    <w:rsid w:val="0E025194"/>
    <w:rsid w:val="0E295871"/>
    <w:rsid w:val="0F277E44"/>
    <w:rsid w:val="14DF00B1"/>
    <w:rsid w:val="152D2DCA"/>
    <w:rsid w:val="164B51E6"/>
    <w:rsid w:val="187168EA"/>
    <w:rsid w:val="196673CA"/>
    <w:rsid w:val="19F17C4C"/>
    <w:rsid w:val="1B2F4AEE"/>
    <w:rsid w:val="1B7E66C0"/>
    <w:rsid w:val="1CF734C9"/>
    <w:rsid w:val="1DD4393A"/>
    <w:rsid w:val="1DEC284C"/>
    <w:rsid w:val="1E6523AC"/>
    <w:rsid w:val="22440422"/>
    <w:rsid w:val="22BB4BBB"/>
    <w:rsid w:val="292A0DEA"/>
    <w:rsid w:val="2AEB3417"/>
    <w:rsid w:val="2F3E67D0"/>
    <w:rsid w:val="31A15F24"/>
    <w:rsid w:val="324A1681"/>
    <w:rsid w:val="33103CBA"/>
    <w:rsid w:val="36FB1DF0"/>
    <w:rsid w:val="395347B5"/>
    <w:rsid w:val="39A232A0"/>
    <w:rsid w:val="39E745AA"/>
    <w:rsid w:val="3B5A6BBB"/>
    <w:rsid w:val="3B7F3B41"/>
    <w:rsid w:val="3EDA13A6"/>
    <w:rsid w:val="417B75E9"/>
    <w:rsid w:val="42F058B7"/>
    <w:rsid w:val="436109F6"/>
    <w:rsid w:val="441A38D4"/>
    <w:rsid w:val="449F146E"/>
    <w:rsid w:val="4504239D"/>
    <w:rsid w:val="46F113DF"/>
    <w:rsid w:val="46FB35DE"/>
    <w:rsid w:val="4BC77339"/>
    <w:rsid w:val="4C9236C5"/>
    <w:rsid w:val="4E250A85"/>
    <w:rsid w:val="4EED464D"/>
    <w:rsid w:val="4FFD4925"/>
    <w:rsid w:val="505C172E"/>
    <w:rsid w:val="506405EA"/>
    <w:rsid w:val="52F46F0B"/>
    <w:rsid w:val="532B6A10"/>
    <w:rsid w:val="53D8014D"/>
    <w:rsid w:val="54E77A4C"/>
    <w:rsid w:val="55E064E0"/>
    <w:rsid w:val="572C6D10"/>
    <w:rsid w:val="5A0D07CB"/>
    <w:rsid w:val="5B8D42E2"/>
    <w:rsid w:val="5DC34279"/>
    <w:rsid w:val="5FCD688E"/>
    <w:rsid w:val="5FF9BDAA"/>
    <w:rsid w:val="608816D1"/>
    <w:rsid w:val="60EF4E7F"/>
    <w:rsid w:val="62857768"/>
    <w:rsid w:val="648B0A32"/>
    <w:rsid w:val="665233C1"/>
    <w:rsid w:val="69AC0D42"/>
    <w:rsid w:val="6AD9688B"/>
    <w:rsid w:val="6B31797B"/>
    <w:rsid w:val="6D0E3F22"/>
    <w:rsid w:val="744E4660"/>
    <w:rsid w:val="753355A2"/>
    <w:rsid w:val="757F3B02"/>
    <w:rsid w:val="759F1C61"/>
    <w:rsid w:val="769F2DE8"/>
    <w:rsid w:val="76FDEB7C"/>
    <w:rsid w:val="79C65162"/>
    <w:rsid w:val="7C9011D9"/>
    <w:rsid w:val="7DC651C5"/>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link w:val="10"/>
    <w:semiHidden/>
    <w:qFormat/>
    <w:uiPriority w:val="0"/>
    <w:rPr>
      <w:rFonts w:ascii="Times New Roman" w:hAnsi="Times New Roman" w:eastAsia="宋体"/>
      <w:kern w:val="2"/>
      <w:sz w:val="32"/>
      <w:lang w:val="en-US" w:eastAsia="zh-CN" w:bidi="ar-SA"/>
    </w:rPr>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rPr>
  </w:style>
  <w:style w:type="paragraph" w:customStyle="1" w:styleId="10">
    <w:name w:val=" Char Char Char Char Char Char Char Char Char Char Char Char Char Char Char Char Char Char Char Char Char Char"/>
    <w:basedOn w:val="1"/>
    <w:link w:val="9"/>
    <w:qFormat/>
    <w:uiPriority w:val="0"/>
    <w:rPr>
      <w:sz w:val="32"/>
      <w:szCs w:val="20"/>
    </w:rPr>
  </w:style>
  <w:style w:type="character" w:styleId="11">
    <w:name w:val="Strong"/>
    <w:basedOn w:val="9"/>
    <w:qFormat/>
    <w:uiPriority w:val="0"/>
    <w:rPr>
      <w:b/>
      <w:bCs/>
    </w:rPr>
  </w:style>
  <w:style w:type="character" w:styleId="12">
    <w:name w:val="page number"/>
    <w:basedOn w:val="9"/>
    <w:qFormat/>
    <w:uiPriority w:val="0"/>
  </w:style>
  <w:style w:type="paragraph" w:customStyle="1" w:styleId="13">
    <w:name w:val="_Style 3"/>
    <w:link w:val="9"/>
    <w:qFormat/>
    <w:uiPriority w:val="0"/>
    <w:pPr>
      <w:widowControl w:val="0"/>
      <w:tabs>
        <w:tab w:val="left" w:pos="432"/>
      </w:tabs>
      <w:ind w:left="432" w:hanging="432"/>
      <w:jc w:val="both"/>
    </w:pPr>
    <w:rPr>
      <w:rFonts w:ascii="Times New Roman" w:hAnsi="Times New Roman" w:eastAsia="宋体" w:cs="Times New Roman"/>
      <w:kern w:val="2"/>
      <w:sz w:val="32"/>
      <w:lang w:val="en-US" w:eastAsia="zh-CN" w:bidi="ar-SA"/>
    </w:rPr>
  </w:style>
  <w:style w:type="paragraph" w:customStyle="1" w:styleId="14">
    <w:name w:val="p0"/>
    <w:basedOn w:val="1"/>
    <w:qFormat/>
    <w:uiPriority w:val="0"/>
    <w:pPr>
      <w:widowControl/>
    </w:pPr>
    <w:rPr>
      <w:rFonts w:ascii="Calibri" w:hAnsi="Calibri" w:eastAsia="宋体" w:cs="宋体"/>
      <w:kern w:val="0"/>
      <w:szCs w:val="32"/>
    </w:rPr>
  </w:style>
  <w:style w:type="paragraph" w:customStyle="1" w:styleId="15">
    <w:name w:val="p15"/>
    <w:basedOn w:val="1"/>
    <w:qFormat/>
    <w:uiPriority w:val="0"/>
    <w:pPr>
      <w:widowControl/>
      <w:spacing w:before="100" w:beforeLines="0" w:beforeAutospacing="0" w:after="100" w:afterLines="0" w:afterAutospacing="0" w:line="480" w:lineRule="auto"/>
      <w:jc w:val="left"/>
    </w:pPr>
    <w:rPr>
      <w:rFonts w:ascii="Times New Roman" w:hAnsi="Times New Roman" w:eastAsia="方正仿宋_GBK" w:cs="Times New Roman"/>
      <w:kern w:val="2"/>
      <w:sz w:val="24"/>
      <w:szCs w:val="24"/>
      <w:lang w:val="en-US" w:eastAsia="zh-CN" w:bidi="ar-SA"/>
    </w:rPr>
  </w:style>
  <w:style w:type="character" w:customStyle="1" w:styleId="16">
    <w:name w:val="ca-7"/>
    <w:qFormat/>
    <w:uiPriority w:val="0"/>
  </w:style>
  <w:style w:type="character" w:customStyle="1" w:styleId="17">
    <w:name w:val="15"/>
    <w:basedOn w:val="9"/>
    <w:qFormat/>
    <w:uiPriority w:val="0"/>
    <w:rPr>
      <w:rFonts w:ascii="Times New Roman" w:hAnsi="Times New Roman" w:cs="Times New Roman"/>
    </w:rPr>
  </w:style>
  <w:style w:type="character" w:customStyle="1" w:styleId="18">
    <w:name w:val="10"/>
    <w:basedOn w:val="9"/>
    <w:qFormat/>
    <w:uiPriority w:val="0"/>
    <w:rPr>
      <w:rFonts w:ascii="Times New Roman" w:hAnsi="Times New Roman" w:cs="Times New Roman"/>
    </w:rPr>
  </w:style>
  <w:style w:type="paragraph" w:customStyle="1" w:styleId="19">
    <w:name w:val="标题 #1"/>
    <w:link w:val="20"/>
    <w:qFormat/>
    <w:uiPriority w:val="99"/>
    <w:pPr>
      <w:widowControl w:val="0"/>
      <w:shd w:val="clear" w:color="auto" w:fill="FFFFFF"/>
      <w:spacing w:before="1320" w:beforeLines="0" w:after="540" w:afterLines="0" w:line="590" w:lineRule="exact"/>
      <w:jc w:val="center"/>
      <w:outlineLvl w:val="0"/>
    </w:pPr>
    <w:rPr>
      <w:rFonts w:ascii="MingLiU" w:hAnsi="Times New Roman" w:eastAsia="MingLiU" w:cs="MingLiU"/>
      <w:kern w:val="0"/>
      <w:sz w:val="44"/>
      <w:szCs w:val="44"/>
      <w:lang w:val="en-US" w:eastAsia="zh-CN" w:bidi="ar-SA"/>
    </w:rPr>
  </w:style>
  <w:style w:type="character" w:customStyle="1" w:styleId="20">
    <w:name w:val="标题 #1_"/>
    <w:link w:val="19"/>
    <w:qFormat/>
    <w:uiPriority w:val="99"/>
    <w:rPr>
      <w:rFonts w:ascii="MingLiU" w:hAnsi="Times New Roman" w:eastAsia="MingLiU" w:cs="MingLiU"/>
      <w:kern w:val="0"/>
      <w:sz w:val="44"/>
      <w:szCs w:val="44"/>
      <w:lang w:val="en-US" w:eastAsia="zh-CN" w:bidi="ar-SA"/>
    </w:rPr>
  </w:style>
  <w:style w:type="paragraph" w:customStyle="1" w:styleId="21">
    <w:name w:val="正文文本 (2)1"/>
    <w:link w:val="22"/>
    <w:qFormat/>
    <w:uiPriority w:val="99"/>
    <w:pPr>
      <w:widowControl w:val="0"/>
      <w:shd w:val="clear" w:color="auto" w:fill="FFFFFF"/>
      <w:spacing w:before="960" w:beforeLines="0" w:after="1320" w:afterLines="0" w:line="240" w:lineRule="atLeast"/>
      <w:ind w:hanging="1000"/>
      <w:jc w:val="center"/>
    </w:pPr>
    <w:rPr>
      <w:rFonts w:ascii="MingLiU" w:hAnsi="Times New Roman" w:eastAsia="MingLiU" w:cs="MingLiU"/>
      <w:spacing w:val="40"/>
      <w:kern w:val="0"/>
      <w:sz w:val="30"/>
      <w:szCs w:val="30"/>
      <w:lang w:val="en-US" w:eastAsia="zh-CN" w:bidi="ar-SA"/>
    </w:rPr>
  </w:style>
  <w:style w:type="character" w:customStyle="1" w:styleId="22">
    <w:name w:val="正文文本 (2)_"/>
    <w:link w:val="21"/>
    <w:qFormat/>
    <w:uiPriority w:val="99"/>
    <w:rPr>
      <w:rFonts w:ascii="MingLiU" w:hAnsi="Times New Roman" w:eastAsia="MingLiU" w:cs="MingLiU"/>
      <w:spacing w:val="40"/>
      <w:kern w:val="0"/>
      <w:sz w:val="30"/>
      <w:szCs w:val="30"/>
      <w:lang w:val="en-US" w:eastAsia="zh-CN" w:bidi="ar-SA"/>
    </w:rPr>
  </w:style>
  <w:style w:type="character" w:customStyle="1" w:styleId="23">
    <w:name w:val="正文文本 (2) + 粗体"/>
    <w:qFormat/>
    <w:uiPriority w:val="99"/>
    <w:rPr>
      <w:rFonts w:ascii="MingLiU" w:hAnsi="Times New Roman" w:eastAsia="MingLiU" w:cs="MingLiU"/>
      <w:b/>
      <w:bCs/>
      <w:spacing w:val="60"/>
      <w:kern w:val="0"/>
      <w:sz w:val="30"/>
      <w:szCs w:val="30"/>
    </w:rPr>
  </w:style>
  <w:style w:type="paragraph" w:customStyle="1" w:styleId="24">
    <w:name w:val="正文文本 (3)"/>
    <w:link w:val="25"/>
    <w:qFormat/>
    <w:uiPriority w:val="99"/>
    <w:pPr>
      <w:widowControl w:val="0"/>
      <w:shd w:val="clear" w:color="auto" w:fill="FFFFFF"/>
      <w:spacing w:before="480" w:beforeLines="0" w:after="840" w:afterLines="0" w:line="240" w:lineRule="atLeast"/>
      <w:jc w:val="center"/>
    </w:pPr>
    <w:rPr>
      <w:rFonts w:ascii="MingLiU" w:hAnsi="Times New Roman" w:eastAsia="MingLiU" w:cs="MingLiU"/>
      <w:b/>
      <w:bCs/>
      <w:spacing w:val="60"/>
      <w:kern w:val="0"/>
      <w:sz w:val="30"/>
      <w:szCs w:val="30"/>
      <w:lang w:val="en-US" w:eastAsia="zh-CN" w:bidi="ar-SA"/>
    </w:rPr>
  </w:style>
  <w:style w:type="character" w:customStyle="1" w:styleId="25">
    <w:name w:val="正文文本 (3)_"/>
    <w:link w:val="24"/>
    <w:qFormat/>
    <w:uiPriority w:val="99"/>
    <w:rPr>
      <w:rFonts w:ascii="MingLiU" w:hAnsi="Times New Roman" w:eastAsia="MingLiU" w:cs="MingLiU"/>
      <w:b/>
      <w:bCs/>
      <w:spacing w:val="60"/>
      <w:kern w:val="0"/>
      <w:sz w:val="30"/>
      <w:szCs w:val="30"/>
      <w:lang w:val="en-US" w:eastAsia="zh-CN" w:bidi="ar-SA"/>
    </w:rPr>
  </w:style>
  <w:style w:type="paragraph" w:customStyle="1" w:styleId="26">
    <w:name w:val="页眉或页脚1"/>
    <w:link w:val="28"/>
    <w:qFormat/>
    <w:uiPriority w:val="99"/>
    <w:pPr>
      <w:widowControl w:val="0"/>
      <w:shd w:val="clear" w:color="auto" w:fill="FFFFFF"/>
      <w:spacing w:line="240" w:lineRule="atLeast"/>
      <w:jc w:val="left"/>
    </w:pPr>
    <w:rPr>
      <w:rFonts w:ascii="MingLiU" w:hAnsi="Times New Roman" w:eastAsia="MingLiU" w:cs="MingLiU"/>
      <w:spacing w:val="60"/>
      <w:kern w:val="0"/>
      <w:sz w:val="32"/>
      <w:szCs w:val="32"/>
      <w:lang w:val="en-US" w:eastAsia="zh-CN" w:bidi="ar-SA"/>
    </w:rPr>
  </w:style>
  <w:style w:type="character" w:customStyle="1" w:styleId="27">
    <w:name w:val="页眉或页脚"/>
    <w:qFormat/>
    <w:uiPriority w:val="99"/>
    <w:rPr>
      <w:rFonts w:ascii="MingLiU" w:hAnsi="Times New Roman" w:eastAsia="MingLiU" w:cs="MingLiU"/>
      <w:spacing w:val="60"/>
      <w:kern w:val="0"/>
      <w:sz w:val="32"/>
      <w:szCs w:val="32"/>
    </w:rPr>
  </w:style>
  <w:style w:type="character" w:customStyle="1" w:styleId="28">
    <w:name w:val="页眉或页脚_"/>
    <w:link w:val="26"/>
    <w:qFormat/>
    <w:uiPriority w:val="99"/>
    <w:rPr>
      <w:rFonts w:ascii="MingLiU" w:hAnsi="Times New Roman" w:eastAsia="MingLiU" w:cs="MingLiU"/>
      <w:spacing w:val="60"/>
      <w:kern w:val="0"/>
      <w:sz w:val="32"/>
      <w:szCs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4120</Words>
  <Characters>4193</Characters>
  <Lines>1</Lines>
  <Paragraphs>1</Paragraphs>
  <TotalTime>12</TotalTime>
  <ScaleCrop>false</ScaleCrop>
  <LinksUpToDate>false</LinksUpToDate>
  <CharactersWithSpaces>4218</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2021-09-10T18:41:00Z</dcterms:created>
  <dc:creator>t</dc:creator>
  <cp:lastModifiedBy>刘先生</cp:lastModifiedBy>
  <cp:lastPrinted>2022-05-11T16:46:00Z</cp:lastPrinted>
  <dcterms:modified xsi:type="dcterms:W3CDTF">2023-10-30T03:24:37Z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48C61CB29D3F4D9384F5922CF0F7FFB4</vt:lpwstr>
  </property>
</Properties>
</file>