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</w:pPr>
      <w:r>
        <w:rPr>
          <w:rFonts w:hint="eastAsia" w:ascii="方正小标宋_GBK" w:eastAsia="方正小标宋_GBK"/>
          <w:sz w:val="44"/>
          <w:szCs w:val="44"/>
        </w:rPr>
        <w:t>重庆市长寿区人民政府办公室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关于印发重庆市</w:t>
      </w:r>
      <w:r>
        <w:rPr>
          <w:rFonts w:hint="eastAsia" w:ascii="方正小标宋_GBK" w:eastAsia="方正小标宋_GBK"/>
          <w:sz w:val="44"/>
          <w:szCs w:val="44"/>
        </w:rPr>
        <w:t>长寿区推进点多面广量大涉农项目“放管服”改革实施方案</w:t>
      </w:r>
      <w:r>
        <w:rPr>
          <w:rFonts w:hint="eastAsia" w:ascii="方正小标宋_GBK" w:eastAsia="方正小标宋_GBK"/>
          <w:spacing w:val="-2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长寿府办发〔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98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《重庆市长寿区推进点多面广量大涉农项目“放管服”改革实施方案》已经区政府同意，现印发给你们，请结合实际认真贯彻落实。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重庆市长寿区人民政府办公室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23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 w:ascii="Times New Roman"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重庆市长寿区推进点多面广量大涉农项目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“放管服”改革实施方案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为深入贯彻落实全市深化“放管服”改革转变政府职能精神，进一步调动广大农民群众和社会资本参与农业农村建设的积极性，发挥政府支农资金投资效益，促进乡村振兴，根据《重庆市人民政府办公厅 关于进一步推进点多面广量大涉农项目“放管服”改革的指导意见》（渝府办发〔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200</w:t>
      </w:r>
      <w:r>
        <w:rPr>
          <w:rFonts w:hint="eastAsia" w:ascii="方正仿宋_GBK" w:eastAsia="方正仿宋_GBK"/>
          <w:sz w:val="32"/>
          <w:szCs w:val="32"/>
        </w:rPr>
        <w:t>号）文件精神，加快推进我区点多面广量大涉农项目“放管服”改革工作，切实提高涉农项目投资管理绩效，现结合我区实际，制定本实施方案。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411"/>
        <w:jc w:val="left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黑体_GBK" w:eastAsia="方正黑体_GBK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全面贯彻党的十九大和十九届二中、三中全会精神，以习近平新时代中国特色社会主义思想为指导，紧紧围绕习近平总书记对重庆提出的“两点”定位、“两地”“两高”目标、营造良好政治生态和发挥好“三个作用”要求，深入贯彻落实党中央、国务院关于深化简政放权放管结合优化服务改革的决策部署，以提高政府投资管理效率为目标，着力转变政府职能、强化事中事后监管、提高服务效能，逐步形成决策民主、建设规范、投入高效、运行安全的建设管理机制，实现点多面广量大涉农建设项目由政府主导向政府引导转变，增强农民群众和市场主体参与农业农村建设的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黑体_GBK" w:eastAsia="方正黑体_GBK"/>
          <w:sz w:val="32"/>
          <w:szCs w:val="32"/>
        </w:rPr>
        <w:t>二、重点工作任务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（一）强化项目前期工作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强</w:t>
      </w:r>
      <w:r>
        <w:rPr>
          <w:rFonts w:hint="eastAsia" w:ascii="方正仿宋_GBK" w:eastAsia="方正仿宋_GBK"/>
          <w:b/>
          <w:bCs/>
          <w:sz w:val="32"/>
          <w:szCs w:val="32"/>
        </w:rPr>
        <w:t>化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规划引领和约束作用。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坚持先有规划后有建设，把规划作为调控投资规模、引导投资方向、指导项目实施的重要依据，以规划定项目，以项目定资金，编制各涉农专项规划，建立专项项目库，并动态管理，未纳入项目库的项目原则上不得安排政府投资，如要安排政府投资，</w:t>
      </w:r>
      <w:r>
        <w:rPr>
          <w:rFonts w:hint="eastAsia" w:ascii="方正仿宋_GBK" w:eastAsia="方正仿宋_GBK"/>
          <w:sz w:val="32"/>
          <w:szCs w:val="32"/>
        </w:rPr>
        <w:t>应有区政府同意建设该项目的相关文件。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在专项规划编制过程中，要加强与国民经济和社会发展规划以及行业发展规划、国土空间规划、生态环保规划等的衔接。</w:t>
      </w:r>
      <w:r>
        <w:rPr>
          <w:rFonts w:hint="eastAsia" w:ascii="方正仿宋_GBK" w:eastAsia="方正仿宋_GBK"/>
          <w:sz w:val="32"/>
          <w:szCs w:val="32"/>
        </w:rPr>
        <w:t>投资主管部门和行业主管部门要对规划实施过程进行监控，组织开展对规划实施情况的评估和调整。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60"/>
        <w:textAlignment w:val="auto"/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加强涉农资金整合统筹。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建立区级财政涉农资金整合工作机制，按照政府投资项目管理“大专项+任务清单”模式和“统筹规划、集中使用”原则，以乡村振兴、环境整治、农村公路、大中型水库移民后扶等涉农项目为重点，以各专项规划为引领，以重大项目建设为重点，按照“渠道不乱、用途不变、各负其责、各记其功”的原则，加强相关涉农资金全口径的整合、统筹使用，形成合力，提高涉农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6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统一专项建设标准。</w:t>
      </w:r>
      <w:r>
        <w:rPr>
          <w:rFonts w:hint="eastAsia" w:ascii="方正仿宋_GBK" w:eastAsia="方正仿宋_GBK"/>
          <w:sz w:val="32"/>
          <w:szCs w:val="32"/>
        </w:rPr>
        <w:t>区级行业主管部门要对各涉农专项（建设内容趋同的要进行整合）政府投资项目制定统一建设标准。基本建设项目（含涉农资金统筹整合项目）统一建设内容、建设标准、政府投资标准、激励机制等，赋予街镇、部门等建设主体同等地位；非基本建设项目（含涉农资金统筹整合项目）统一建设内容、建设标准、政府投资补助标准、补助方式、验收标准等赋予农业产业化企业、专业合作组织、家庭农场和农户等投资主体同等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制定完善管理办法。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区级各行业主管部门要按照涉农项目“放管服”改革要求，进一步探索创新，制定完善各专项项目管理办法，配套完善专项规划、项目储备、建设管理和资金支付等相关办法和制度，制定细化的具体操作指南，为涉农项目建设提供办法支撑和制度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eastAsia="方正楷体_GBK"/>
          <w:b/>
          <w:bCs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32"/>
          <w:szCs w:val="32"/>
        </w:rPr>
        <w:t>（二）规范项目审批工作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严格限定审批范围。</w:t>
      </w:r>
      <w:r>
        <w:rPr>
          <w:rFonts w:hint="eastAsia" w:ascii="方正仿宋_GBK" w:eastAsia="方正仿宋_GBK"/>
          <w:sz w:val="32"/>
          <w:szCs w:val="32"/>
        </w:rPr>
        <w:t>推行政府投资项目管理“任务+清单”模式，对拟安排政府投资建设项目，除国家或市政府有明确规定外，区政府只批复项目专项资金申请报告，明确总体建设任务、投资规模、补助标准等，由行业主管部门具体组织实施；对于政府补助企业投资的项目，区政府只批复项目资金申请报告，项目主管部门明确总体建设任务、投资规模、补助标准等，由镇街组织实施；落实企业（含农业产业化企业、农户、专业合作组织、家庭农场）投资自主权，企业投资项目（包括企业使用自筹资金的项目，以及使用自筹资金并申请政府投资补助或贷款贴息的项目等）除按国家和我市规定必须实行审批或核准管理的项目外，一律实行备案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精简优化审批程序。</w:t>
      </w:r>
      <w:r>
        <w:rPr>
          <w:rFonts w:hint="eastAsia" w:ascii="方正仿宋_GBK" w:eastAsia="方正仿宋_GBK"/>
          <w:sz w:val="32"/>
          <w:szCs w:val="32"/>
        </w:rPr>
        <w:t>按照“一审多用”的原则采取并联审批模式，基本建设项目（含涉农资金统筹整合项目）由投资主管部门审批，进一步简化优化总投资</w:t>
      </w:r>
      <w:r>
        <w:rPr>
          <w:rFonts w:ascii="Times New Roman" w:hAnsi="Times New Roman" w:eastAsia="方正仿宋_GBK" w:cs="Times New Roman"/>
          <w:sz w:val="32"/>
          <w:szCs w:val="32"/>
        </w:rPr>
        <w:t>400</w:t>
      </w:r>
      <w:r>
        <w:rPr>
          <w:rFonts w:hint="eastAsia" w:ascii="方正仿宋_GBK" w:eastAsia="方正仿宋_GBK"/>
          <w:sz w:val="32"/>
          <w:szCs w:val="32"/>
        </w:rPr>
        <w:t>万元以下项目审批程序，根据相关规定将项目可行性研究报告与初步设计（作业设计）合并成项目初步设计（代可研）或实施方案，由投资主管部门会同相关涉农项目管理部门联合审批，非基本建设项目（含涉农资金统筹整合项目）按各专项管理办法由有关行业主管部门审批，实行“一次编制一次审批，限时办结一窗出件”，原则上在</w:t>
      </w:r>
      <w:r>
        <w:rPr>
          <w:rFonts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eastAsia="方正仿宋_GBK"/>
          <w:sz w:val="32"/>
          <w:szCs w:val="32"/>
        </w:rPr>
        <w:t>个工作日内完成（不含委托中介机构评审时间）。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项目批复后，除法定的基本建设程序外，任何单位和个人不得以任何方式新增审查环节，政府补助投资项目不再进行招标限价财政评审。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优化前置要件审批方式。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对于法律、行政法规没有明确规定作为项目前置条件的审批手续，放在审批后、开工前完成。对于法律、行政法规明确规定作为项目前置条件的审批手续，有关行政管理部门要规范事前审查，对本部门实施的多个审批事项进行简化合并，实行一次告知一次审批并承诺审批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（三）切实增强监管能力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建立全程公示制度。</w:t>
      </w:r>
      <w:r>
        <w:rPr>
          <w:rFonts w:hint="eastAsia" w:ascii="方正仿宋_GBK" w:eastAsia="方正仿宋_GBK"/>
          <w:sz w:val="32"/>
          <w:szCs w:val="32"/>
        </w:rPr>
        <w:t>落实社会对项目建设的知情权和监督权，在项目申报、建设、竣工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个阶段，要将不涉及国家、商业等秘密的项目建设有关情况通过线上线下同步进行公示，有关信息动态向社会公开并及时更新，做到全程公开透明。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压实项目监管责任。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区级各行业主管部门以及</w:t>
      </w:r>
      <w:r>
        <w:rPr>
          <w:rFonts w:hint="eastAsia" w:ascii="方正仿宋_GBK" w:eastAsia="方正仿宋_GBK"/>
          <w:sz w:val="32"/>
          <w:szCs w:val="32"/>
        </w:rPr>
        <w:t>镇政府（街道办事处）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应切实履行相关监管职责，严格执行项目监管责任制，落实项目单位（法人）主体责任、项目日常监管直接责任、项目综合监管责任及相关责任人，构建从项目申报、审批、实施各环节职责明确、纵横联动、协同推进的监管体系。规范监管程序，对监管事项进行整合，推行跨部门联合监管，实现“一次检查、全面体检、综合会诊”，发现问题坚决纠正、整改和处理。建立问责机制，加强对违法违纪行为的追究，涉嫌违纪违法的送纪检监察机关、司法机关依纪依法处理。审计部门要加强项目实施和验收的监督，提出整改要求，督促项目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（四）优化提升服务水平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分类优化建设方式。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对属于政府国有机构（有关部门、</w:t>
      </w:r>
      <w:r>
        <w:rPr>
          <w:rFonts w:hint="eastAsia" w:ascii="方正仿宋_GBK" w:eastAsia="方正仿宋_GBK"/>
          <w:sz w:val="32"/>
          <w:szCs w:val="32"/>
        </w:rPr>
        <w:t>镇政府、街道办事处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、政府投资平台等）投资建设的非经营性项目，</w:t>
      </w:r>
      <w:r>
        <w:rPr>
          <w:rFonts w:hint="eastAsia" w:ascii="方正仿宋_GBK" w:eastAsia="方正仿宋_GBK"/>
          <w:sz w:val="32"/>
          <w:szCs w:val="32"/>
        </w:rPr>
        <w:t>尽量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通过“建设管理代理制”选择代建单位组织项目实施建设，全过程负责项目建设管理。在不拆分项目的前提下，对具备相应条件的同类项目可统一确定项目法人；对属于政府投资补助企业的项目，最大限度发挥企业投资的主体地位和作用，由项目业主按照批复的实施方案、资金申请报告组织实施。区级有关部门要严格控制政府投资概算、建设标准、补助投资限额、质量和工期等，及时拨付财政资金并按规定组织竣工验收，防止资金沉淀和挪用，提高政府投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优化招标投标管理。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对总投资在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400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万元以下、不属于必须招标范围或未达到必须招标标准的项目，按有关规定不强制实行招投标，由项目单位自行组织实施，政府补助投资按以奖代补、先建后补、进度拨款等方式加强管理。对依法必须进行招投标的项目，招标投标行政监督部门在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2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个工作日内完成招标文件备案手续。有关部门不得在法律规定的管理环节外以招标文件会审、招标报建等形式延长备案时间和增加招标人义务、成本等。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鼓励探索投资创新。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引入市场机制，构建公平的市场准入条件，鼓励利用PPP、股权化改革、资产收益扶贫等方式，吸引社会资本广泛参与。国家政策明确由村民自主实施的项目，由所在村集体经济组织实施，所在镇政府（街道办事处）要加强指导、监督和服务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方正仿宋_GBK" w:eastAsia="方正仿宋_GBK"/>
          <w:b/>
          <w:bCs/>
          <w:sz w:val="32"/>
          <w:szCs w:val="32"/>
          <w:shd w:val="clear" w:color="auto" w:fill="FFFFFF"/>
        </w:rPr>
        <w:t>创新审批服务方式。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充分运用大数据、智能化手段，依托重庆市社会公共信息资源共享平台，建立发展规划、产业政策、技术政策、准入标准和项目审批等信息互通机制，统一信息标准，推动项目信息跨地区、跨层级、跨部门互认共享，实现“一次采集、一库管理、多方使用、即调即用”。依托重庆市一体化政务服务平台，加快审批服务系统融合，实现网上预约、在线办理。运用大数据精准分析和评估审批服务办件情况，针对性改进办理流程，提高审批服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三、加强组织保障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（一）强化组织领导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各涉农管理部门、相关镇街要高度重视点多面广量大涉农项目“放管服”改革工作，将其作为推进简政放权、放管结合、优化服务的重要内容，</w:t>
      </w:r>
      <w:r>
        <w:rPr>
          <w:rFonts w:hint="eastAsia" w:ascii="方正仿宋_GBK" w:eastAsia="方正仿宋_GBK"/>
          <w:sz w:val="32"/>
          <w:szCs w:val="32"/>
        </w:rPr>
        <w:t>对标对表推进点多面广量大涉农项目“放管服”改革要求，结合实际，加强改革创新，聚焦制约项目建设和企业群众反映强烈的突出问题，明确工作任务，逐项细化工作措施，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确保各项改革任务得到落实。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32"/>
          <w:szCs w:val="32"/>
        </w:rPr>
        <w:t>（二）加强社会舆论监督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探索开展第三方评估，建立社会公众评价机制。鼓励和引导社会公众对项目建设全过程进行监督，对公民、法人和其他组织实名向有关部门投诉、检举、揭发项目建设过程中存在的不作为、乱作为和违法违规行为，相关行政管理部门必须在规定时间内公布调查处理结果，确保各项改革措施规范有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32"/>
          <w:szCs w:val="32"/>
        </w:rPr>
        <w:t>（三）加强宣传引导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区级新闻媒体要通过报刊、电视、网络等多种形式，广泛宣传对点多面广量大涉农项目“放管服”改革工作，进一步提高社会认知度、</w:t>
      </w:r>
      <w:r>
        <w:rPr>
          <w:rFonts w:hint="eastAsia" w:ascii="方正仿宋_GBK" w:eastAsia="方正仿宋_GBK"/>
          <w:sz w:val="32"/>
          <w:szCs w:val="32"/>
        </w:rPr>
        <w:t>参与度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。宣传总结其他地区已有的正面典型，推广已经形成的好经验、好做法，形成全社会关心、理解、支持改革工作的良好氛围。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eastAsia="方正黑体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黑体_GBK" w:eastAsia="方正黑体_GBK"/>
          <w:sz w:val="32"/>
          <w:szCs w:val="32"/>
          <w:shd w:val="clear" w:color="auto" w:fill="FFFFFF"/>
        </w:rPr>
        <w:t xml:space="preserve"> 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 本方案自公布之日起施行。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 xml:space="preserve">    附件:点多面广量大涉农项目“放管服”改革范围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点多面广量大涉农项目“放管服”改革范围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firstLine="0" w:firstLineChars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农村饮水安全巩固提升工程、农业综合开发生态综合治理项目和高标准农田建设项目（含中低产田土改造、农田整治）、典型流域农业面源污染综合治理项目、畜禽粪污资源化利用整县推进项目、动植物保护能力提升工程、农业技术推广体系建设项目、农村人居环境整治项目、小城镇综合整治项目、农村危房改造、农村旧房整治提升、村庄示范建设项目、小流域水土保持重点治理工程、坡耕地水土流失综合治理工程、高效节水灌溉及中型灌区示范工程、大中型水库移民后期扶持工程、水生态治理建设项目、退耕还林还草工程（含坡耕地退耕还林、荒山荒地造林和封山育林工程）、天然林资源保护工程、长江防护林体系建设工程、森林培育项目（含退化林修复、森林抚育）、森林防火项目、气象观测点项目、乡村旅游项目、农村公路项目、农村水电增效扩容改造项目、农村扶贫项目、农村一二三产业融合发展项目、田园综合体项目、现代农业园区和现代农业科技园区项目、种养业和林业良种工程、乡村振兴项目、涉农资金统筹整合等涉农项目。</w:t>
      </w:r>
    </w:p>
    <w:p>
      <w:pPr>
        <w:shd w:val="clear" w:color="auto" w:fill="FFFFFF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shape id="Quad Arrow 4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bookmarkStart w:id="0" w:name="_GoBack"/>
    <w:bookmarkEnd w:id="0"/>
    <w:r>
      <w:rPr>
        <w:color w:val="FAFAFA"/>
        <w:sz w:val="32"/>
      </w:rPr>
      <w:pict>
        <v:line id="直接连接符 5" o:spid="_x0000_s4100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v8kdX0gAAAAYBAAAPAAAAAAAAAAEAIAAAACIAAABkcnMvZG93bnJldi54bWxQSwEC&#10;FAAUAAAACACHTuJAiUkAAcEBAABQAwAADgAAAAAAAAABACAAAAAhAQAAZHJzL2Uyb0RvYy54bWxQ&#10;SwUGAAAAAAYABgBZAQAAVAUAAAAA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重庆市长寿区人民政府办公室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/>
        <w:sz w:val="32"/>
      </w:rPr>
    </w:pPr>
    <w:r>
      <w:rPr>
        <w:rFonts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Line 2" o:spid="_x0000_s4097" o:spt="20" style="position:absolute;left:0pt;margin-left:0pt;margin-top:54.35pt;height:0.05pt;width:442.5pt;z-index:251659264;mso-width-relative:page;mso-height-relative:page;" fillcolor="#FFFFFF" filled="f" o:preferrelative="t" stroked="t" coordsize="21600,21600">
          <v:path arrowok="t"/>
          <v:fill on="f" color2="#FFFFFF" focussize="0,0"/>
          <v:stroke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5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C476B"/>
    <w:rsid w:val="00333933"/>
    <w:rsid w:val="003F65EE"/>
    <w:rsid w:val="004557D7"/>
    <w:rsid w:val="00644AEE"/>
    <w:rsid w:val="00666F71"/>
    <w:rsid w:val="006C07B1"/>
    <w:rsid w:val="00912C49"/>
    <w:rsid w:val="00AC1A9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4812557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9C7762"/>
    <w:rsid w:val="5B8D42E2"/>
    <w:rsid w:val="5DC34279"/>
    <w:rsid w:val="5FCD688E"/>
    <w:rsid w:val="5FF9BDAA"/>
    <w:rsid w:val="600D36B9"/>
    <w:rsid w:val="608816D1"/>
    <w:rsid w:val="60EF4E7F"/>
    <w:rsid w:val="62857768"/>
    <w:rsid w:val="648B0A32"/>
    <w:rsid w:val="665233C1"/>
    <w:rsid w:val="69AC0D42"/>
    <w:rsid w:val="6AD9688B"/>
    <w:rsid w:val="6D0E3F22"/>
    <w:rsid w:val="744E4660"/>
    <w:rsid w:val="753355A2"/>
    <w:rsid w:val="759F1C61"/>
    <w:rsid w:val="764436BC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ca-7"/>
    <w:qFormat/>
    <w:uiPriority w:val="0"/>
  </w:style>
  <w:style w:type="character" w:customStyle="1" w:styleId="14">
    <w:name w:val="批注框文本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669</Words>
  <Characters>4276</Characters>
  <Lines>31</Lines>
  <Paragraphs>8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2023-10-23T02:36:34Z</dcterms:modified>
  <dc:title>重庆市长寿区人民政府办公室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