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widowControl w:val="0"/>
        <w:wordWrap/>
        <w:adjustRightInd/>
        <w:snapToGrid/>
        <w:spacing w:line="600" w:lineRule="exact"/>
        <w:ind w:left="0" w:leftChars="0" w:right="0" w:firstLine="0" w:firstLineChars="0"/>
        <w:jc w:val="center"/>
        <w:textAlignment w:val="auto"/>
        <w:outlineLvl w:val="9"/>
        <w:rPr>
          <w:rFonts w:hint="eastAsia" w:ascii="方正仿宋_GBK" w:hAnsi="方正仿宋_GBK" w:eastAsia="方正仿宋_GBK" w:cs="方正仿宋_GBK"/>
          <w:sz w:val="32"/>
          <w:szCs w:val="32"/>
          <w:lang w:eastAsia="zh-CN"/>
        </w:rPr>
      </w:pPr>
    </w:p>
    <w:p>
      <w:pPr>
        <w:widowControl w:val="0"/>
        <w:wordWrap/>
        <w:adjustRightInd/>
        <w:snapToGrid w:val="0"/>
        <w:spacing w:line="540" w:lineRule="exact"/>
        <w:ind w:left="0" w:leftChars="0" w:right="0" w:firstLine="0" w:firstLineChars="0"/>
        <w:jc w:val="center"/>
        <w:textAlignment w:val="auto"/>
        <w:outlineLvl w:val="9"/>
        <w:rPr>
          <w:rFonts w:hint="eastAsia" w:eastAsia="方正小标宋_GBK"/>
          <w:sz w:val="44"/>
          <w:szCs w:val="44"/>
        </w:rPr>
      </w:pPr>
      <w:r>
        <w:rPr>
          <w:rFonts w:hint="eastAsia" w:eastAsia="方正小标宋_GBK"/>
          <w:sz w:val="44"/>
          <w:szCs w:val="44"/>
        </w:rPr>
        <w:t>重庆市长寿区人民政府办公室</w:t>
      </w:r>
    </w:p>
    <w:p>
      <w:pPr>
        <w:widowControl w:val="0"/>
        <w:wordWrap/>
        <w:adjustRightInd/>
        <w:snapToGrid w:val="0"/>
        <w:spacing w:line="540" w:lineRule="exact"/>
        <w:ind w:left="0" w:leftChars="0" w:right="0" w:firstLine="0" w:firstLineChars="0"/>
        <w:jc w:val="center"/>
        <w:textAlignment w:val="auto"/>
        <w:outlineLvl w:val="9"/>
        <w:rPr>
          <w:rFonts w:hint="eastAsia" w:eastAsia="方正小标宋_GBK"/>
          <w:sz w:val="44"/>
          <w:szCs w:val="44"/>
        </w:rPr>
      </w:pPr>
      <w:r>
        <w:rPr>
          <w:rFonts w:hint="eastAsia" w:eastAsia="方正小标宋_GBK"/>
          <w:sz w:val="44"/>
          <w:szCs w:val="44"/>
        </w:rPr>
        <w:t>关于印发重庆市长寿区最低生活保障条件认定实施细则（修订）的通知</w:t>
      </w:r>
    </w:p>
    <w:p>
      <w:pPr>
        <w:widowControl w:val="0"/>
        <w:shd w:val="clear" w:color="auto" w:fill="FFFFFF"/>
        <w:wordWrap/>
        <w:adjustRightInd/>
        <w:spacing w:beforeAutospacing="0" w:afterAutospacing="0" w:line="540" w:lineRule="exact"/>
        <w:ind w:left="0" w:leftChars="0" w:right="0" w:firstLine="0" w:firstLineChars="0"/>
        <w:jc w:val="center"/>
        <w:textAlignment w:val="auto"/>
        <w:outlineLvl w:val="9"/>
        <w:rPr>
          <w:rFonts w:hint="default" w:ascii="方正仿宋_GBK" w:hAnsi="方正仿宋_GBK" w:eastAsia="方正仿宋_GBK" w:cs="方正仿宋_GBK"/>
          <w:kern w:val="2"/>
          <w:sz w:val="32"/>
          <w:szCs w:val="32"/>
          <w:shd w:val="clear" w:color="auto" w:fill="FFFFFF"/>
          <w:lang w:val="en-US" w:eastAsia="zh-CN"/>
        </w:rPr>
      </w:pPr>
      <w:r>
        <w:rPr>
          <w:rFonts w:hint="eastAsia" w:ascii="方正仿宋_GBK" w:hAnsi="方正仿宋_GBK" w:eastAsia="方正仿宋_GBK" w:cs="方正仿宋_GBK"/>
          <w:kern w:val="2"/>
          <w:sz w:val="32"/>
          <w:szCs w:val="32"/>
          <w:shd w:val="clear" w:color="auto" w:fill="FFFFFF"/>
          <w:lang w:val="en-US" w:eastAsia="zh-CN"/>
        </w:rPr>
        <w:t>长寿府办发〔</w:t>
      </w:r>
      <w:r>
        <w:rPr>
          <w:rFonts w:hint="default" w:ascii="Times New Roman" w:hAnsi="Times New Roman" w:eastAsia="方正仿宋_GBK" w:cs="Times New Roman"/>
          <w:kern w:val="2"/>
          <w:sz w:val="32"/>
          <w:szCs w:val="32"/>
          <w:shd w:val="clear" w:color="auto" w:fill="FFFFFF"/>
          <w:lang w:val="en-US" w:eastAsia="zh-CN"/>
        </w:rPr>
        <w:t>2017</w:t>
      </w:r>
      <w:r>
        <w:rPr>
          <w:rFonts w:hint="eastAsia" w:ascii="方正仿宋_GBK" w:hAnsi="方正仿宋_GBK" w:eastAsia="方正仿宋_GBK" w:cs="方正仿宋_GBK"/>
          <w:kern w:val="2"/>
          <w:sz w:val="32"/>
          <w:szCs w:val="32"/>
          <w:shd w:val="clear" w:color="auto" w:fill="FFFFFF"/>
          <w:lang w:val="en-US" w:eastAsia="zh-CN"/>
        </w:rPr>
        <w:t>〕</w:t>
      </w:r>
      <w:r>
        <w:rPr>
          <w:rFonts w:hint="default" w:ascii="Times New Roman" w:hAnsi="Times New Roman" w:eastAsia="方正仿宋_GBK" w:cs="Times New Roman"/>
          <w:kern w:val="2"/>
          <w:sz w:val="32"/>
          <w:szCs w:val="32"/>
          <w:shd w:val="clear" w:color="auto" w:fill="FFFFFF"/>
          <w:lang w:val="en-US" w:eastAsia="zh-CN"/>
        </w:rPr>
        <w:t>231</w:t>
      </w:r>
      <w:r>
        <w:rPr>
          <w:rFonts w:hint="eastAsia" w:ascii="方正仿宋_GBK" w:hAnsi="方正仿宋_GBK" w:eastAsia="方正仿宋_GBK" w:cs="方正仿宋_GBK"/>
          <w:kern w:val="2"/>
          <w:sz w:val="32"/>
          <w:szCs w:val="32"/>
          <w:shd w:val="clear" w:color="auto" w:fill="FFFFFF"/>
          <w:lang w:val="en-US" w:eastAsia="zh-CN"/>
        </w:rPr>
        <w:t>号</w:t>
      </w:r>
    </w:p>
    <w:p>
      <w:pPr>
        <w:widowControl w:val="0"/>
        <w:wordWrap/>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20"/>
        </w:rPr>
      </w:pPr>
    </w:p>
    <w:p>
      <w:pPr>
        <w:widowControl w:val="0"/>
        <w:snapToGrid/>
        <w:spacing w:beforeAutospacing="0" w:afterAutospacing="0" w:line="600" w:lineRule="exact"/>
        <w:ind w:left="0" w:right="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各街道办事处、镇人民政府，区政府各部门，有关单位：</w:t>
      </w:r>
    </w:p>
    <w:p>
      <w:pPr>
        <w:widowControl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《重庆市长寿区最低生活保障条件认定实施细则（修订）》已经区政府同意，现印发给你们，请认真贯彻执行。</w:t>
      </w:r>
    </w:p>
    <w:p>
      <w:pPr>
        <w:widowControl w:val="0"/>
        <w:snapToGrid/>
        <w:spacing w:beforeAutospacing="0" w:afterAutospacing="0" w:line="600" w:lineRule="exact"/>
        <w:ind w:left="0" w:right="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 xml:space="preserve"> </w:t>
      </w:r>
    </w:p>
    <w:p>
      <w:pPr>
        <w:widowControl w:val="0"/>
        <w:snapToGrid/>
        <w:spacing w:beforeAutospacing="0" w:afterAutospacing="0" w:line="600" w:lineRule="exact"/>
        <w:ind w:left="0" w:right="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 xml:space="preserve"> </w:t>
      </w:r>
    </w:p>
    <w:p>
      <w:pPr>
        <w:widowControl w:val="0"/>
        <w:wordWrap w:val="0"/>
        <w:snapToGrid/>
        <w:spacing w:beforeAutospacing="0" w:afterAutospacing="0" w:line="600" w:lineRule="exact"/>
        <w:ind w:left="0" w:right="0" w:firstLine="2880" w:firstLineChars="900"/>
        <w:jc w:val="right"/>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 xml:space="preserve">重庆市长寿区人民政府办公室    </w:t>
      </w:r>
    </w:p>
    <w:p>
      <w:pPr>
        <w:widowControl w:val="0"/>
        <w:wordWrap w:val="0"/>
        <w:snapToGrid/>
        <w:spacing w:beforeAutospacing="0" w:afterAutospacing="0" w:line="600" w:lineRule="exact"/>
        <w:ind w:left="0" w:right="0" w:firstLine="3840" w:firstLineChars="1200"/>
        <w:jc w:val="right"/>
        <w:textAlignment w:val="auto"/>
        <w:outlineLvl w:val="9"/>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SA"/>
        </w:rPr>
        <w:t>2017</w:t>
      </w:r>
      <w:r>
        <w:rPr>
          <w:rFonts w:hint="eastAsia" w:ascii="方正仿宋_GBK" w:hAnsi="方正仿宋_GBK" w:eastAsia="方正仿宋_GBK" w:cs="方正仿宋_GBK"/>
          <w:kern w:val="2"/>
          <w:sz w:val="32"/>
          <w:szCs w:val="32"/>
          <w:lang w:val="en-US" w:eastAsia="zh-CN" w:bidi="ar-SA"/>
        </w:rPr>
        <w:t>年</w:t>
      </w:r>
      <w:r>
        <w:rPr>
          <w:rFonts w:hint="default" w:ascii="Times New Roman" w:hAnsi="Times New Roman" w:eastAsia="方正仿宋_GBK" w:cs="Times New Roman"/>
          <w:kern w:val="2"/>
          <w:sz w:val="32"/>
          <w:szCs w:val="32"/>
          <w:lang w:val="en-US" w:eastAsia="zh-CN" w:bidi="ar-SA"/>
        </w:rPr>
        <w:t>11</w:t>
      </w:r>
      <w:r>
        <w:rPr>
          <w:rFonts w:hint="eastAsia" w:ascii="方正仿宋_GBK" w:hAnsi="方正仿宋_GBK" w:eastAsia="方正仿宋_GBK" w:cs="方正仿宋_GBK"/>
          <w:kern w:val="2"/>
          <w:sz w:val="32"/>
          <w:szCs w:val="32"/>
          <w:lang w:val="en-US" w:eastAsia="zh-CN" w:bidi="ar-SA"/>
        </w:rPr>
        <w:t>月</w:t>
      </w:r>
      <w:r>
        <w:rPr>
          <w:rFonts w:hint="default"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SA"/>
        </w:rPr>
        <w:t xml:space="preserve">日         </w:t>
      </w:r>
    </w:p>
    <w:p>
      <w:pPr>
        <w:widowControl/>
        <w:autoSpaceDE w:val="0"/>
        <w:adjustRightInd/>
        <w:snapToGrid/>
        <w:spacing w:beforeAutospacing="0" w:afterAutospacing="0" w:line="600" w:lineRule="exact"/>
        <w:ind w:left="0" w:leftChars="0" w:right="0" w:firstLine="640" w:firstLineChars="200"/>
        <w:contextualSpacing/>
        <w:jc w:val="right"/>
        <w:textAlignment w:val="auto"/>
        <w:outlineLvl w:val="9"/>
        <w:rPr>
          <w:rFonts w:hint="eastAsia" w:ascii="方正仿宋_GBK" w:hAnsi="方正仿宋_GBK" w:eastAsia="方正仿宋_GBK" w:cs="方正仿宋_GBK"/>
          <w:color w:val="FF0000"/>
          <w:kern w:val="0"/>
          <w:sz w:val="32"/>
          <w:szCs w:val="32"/>
          <w:shd w:val="clear" w:color="auto" w:fill="FFFFFF"/>
        </w:rPr>
      </w:pPr>
    </w:p>
    <w:p>
      <w:pPr>
        <w:widowControl/>
        <w:autoSpaceDE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FF0000"/>
          <w:kern w:val="0"/>
          <w:sz w:val="32"/>
          <w:szCs w:val="32"/>
          <w:shd w:val="clear" w:color="auto" w:fill="FFFFFF"/>
        </w:rPr>
      </w:pPr>
    </w:p>
    <w:p>
      <w:pPr>
        <w:widowControl/>
        <w:autoSpaceDE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FF0000"/>
          <w:kern w:val="0"/>
          <w:sz w:val="32"/>
          <w:szCs w:val="32"/>
          <w:shd w:val="clear" w:color="auto" w:fill="FFFFFF"/>
        </w:rPr>
      </w:pPr>
    </w:p>
    <w:p>
      <w:pPr>
        <w:widowControl/>
        <w:autoSpaceDE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FF0000"/>
          <w:kern w:val="0"/>
          <w:sz w:val="32"/>
          <w:szCs w:val="32"/>
          <w:shd w:val="clear" w:color="auto" w:fill="FFFFFF"/>
        </w:rPr>
      </w:pPr>
    </w:p>
    <w:p>
      <w:pPr>
        <w:widowControl/>
        <w:autoSpaceDE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FF0000"/>
          <w:kern w:val="0"/>
          <w:sz w:val="32"/>
          <w:szCs w:val="32"/>
          <w:shd w:val="clear" w:color="auto" w:fill="FFFFFF"/>
        </w:rPr>
      </w:pPr>
    </w:p>
    <w:p>
      <w:pPr>
        <w:widowControl/>
        <w:autoSpaceDE w:val="0"/>
        <w:adjustRightInd/>
        <w:snapToGrid/>
        <w:spacing w:beforeAutospacing="0" w:afterAutospacing="0" w:line="600" w:lineRule="exact"/>
        <w:ind w:left="0" w:leftChars="0" w:right="0" w:firstLine="640" w:firstLineChars="200"/>
        <w:contextualSpacing/>
        <w:jc w:val="left"/>
        <w:textAlignment w:val="auto"/>
        <w:outlineLvl w:val="9"/>
        <w:rPr>
          <w:rFonts w:hint="eastAsia" w:ascii="方正仿宋_GBK" w:hAnsi="方正仿宋_GBK" w:eastAsia="方正仿宋_GBK" w:cs="方正仿宋_GBK"/>
          <w:color w:val="FF0000"/>
          <w:kern w:val="0"/>
          <w:sz w:val="32"/>
          <w:szCs w:val="32"/>
          <w:shd w:val="clear" w:color="auto" w:fill="FFFFFF"/>
        </w:rPr>
      </w:pPr>
    </w:p>
    <w:p>
      <w:pPr>
        <w:widowControl/>
        <w:wordWrap/>
        <w:autoSpaceDE w:val="0"/>
        <w:adjustRightInd/>
        <w:snapToGrid/>
        <w:spacing w:beforeAutospacing="0" w:afterAutospacing="0" w:line="600" w:lineRule="exact"/>
        <w:ind w:right="0"/>
        <w:contextualSpacing/>
        <w:jc w:val="left"/>
        <w:textAlignment w:val="auto"/>
        <w:outlineLvl w:val="9"/>
        <w:rPr>
          <w:rFonts w:hint="eastAsia" w:ascii="方正仿宋_GBK" w:hAnsi="方正仿宋_GBK" w:eastAsia="方正仿宋_GBK" w:cs="方正仿宋_GBK"/>
          <w:color w:val="FF0000"/>
          <w:kern w:val="0"/>
          <w:sz w:val="32"/>
          <w:szCs w:val="32"/>
          <w:shd w:val="clear" w:color="auto" w:fill="FFFFFF"/>
        </w:rPr>
      </w:pPr>
    </w:p>
    <w:p>
      <w:pPr>
        <w:widowControl w:val="0"/>
        <w:snapToGrid/>
        <w:spacing w:beforeAutospacing="0" w:afterAutospacing="0" w:line="600" w:lineRule="exact"/>
        <w:ind w:left="0" w:right="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SA"/>
        </w:rPr>
        <w:t>重庆市长寿区最低生活保障条件</w:t>
      </w:r>
    </w:p>
    <w:p>
      <w:pPr>
        <w:widowControl w:val="0"/>
        <w:snapToGrid/>
        <w:spacing w:beforeAutospacing="0" w:afterAutospacing="0" w:line="600" w:lineRule="exact"/>
        <w:ind w:left="0" w:right="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SA"/>
        </w:rPr>
        <w:t>认定实施细则（修订）</w:t>
      </w:r>
    </w:p>
    <w:p>
      <w:pPr>
        <w:widowControl w:val="0"/>
        <w:snapToGrid/>
        <w:spacing w:beforeAutospacing="0" w:afterAutospacing="0" w:line="600" w:lineRule="exact"/>
        <w:ind w:left="0" w:right="0"/>
        <w:jc w:val="center"/>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 xml:space="preserve"> </w:t>
      </w:r>
    </w:p>
    <w:p>
      <w:pPr>
        <w:widowControl w:val="0"/>
        <w:adjustRightInd w:val="0"/>
        <w:snapToGrid/>
        <w:spacing w:beforeAutospacing="0" w:afterAutospacing="0" w:line="600" w:lineRule="exact"/>
        <w:ind w:left="0" w:right="0"/>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 第一章  总则</w:t>
      </w:r>
    </w:p>
    <w:p>
      <w:pPr>
        <w:widowControl w:val="0"/>
        <w:adjustRightInd w:val="0"/>
        <w:snapToGrid/>
        <w:spacing w:beforeAutospacing="0" w:afterAutospacing="0" w:line="600" w:lineRule="exact"/>
        <w:ind w:left="0" w:right="0"/>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 </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第一条</w:t>
      </w:r>
      <w:r>
        <w:rPr>
          <w:rFonts w:hint="eastAsia" w:ascii="方正仿宋_GBK" w:hAnsi="方正仿宋_GBK" w:eastAsia="方正仿宋_GBK" w:cs="方正仿宋_GBK"/>
          <w:kern w:val="2"/>
          <w:sz w:val="32"/>
          <w:szCs w:val="32"/>
          <w:shd w:val="clear" w:color="auto" w:fill="FFFFFF"/>
          <w:lang w:val="en-US" w:eastAsia="zh-CN" w:bidi="ar-SA"/>
        </w:rPr>
        <w:t xml:space="preserve">  为进一步明确最低生活保障条件，公平公正认定保障对象，依据《社会救助暂行办法》</w:t>
      </w:r>
      <w:r>
        <w:rPr>
          <w:rFonts w:hint="eastAsia" w:ascii="方正仿宋_GBK" w:hAnsi="方正仿宋_GBK" w:eastAsia="方正仿宋_GBK" w:cs="方正仿宋_GBK"/>
          <w:color w:val="000000"/>
          <w:kern w:val="0"/>
          <w:sz w:val="32"/>
          <w:szCs w:val="32"/>
          <w:shd w:val="clear" w:color="auto" w:fill="FFFFFF"/>
          <w:lang w:val="en-US" w:eastAsia="zh-CN" w:bidi="ar-SA"/>
        </w:rPr>
        <w:t>《重庆市城乡居民最低生活保障条例》</w:t>
      </w:r>
      <w:r>
        <w:rPr>
          <w:rFonts w:hint="eastAsia" w:ascii="方正仿宋_GBK" w:hAnsi="方正仿宋_GBK" w:eastAsia="方正仿宋_GBK" w:cs="方正仿宋_GBK"/>
          <w:kern w:val="2"/>
          <w:sz w:val="32"/>
          <w:szCs w:val="32"/>
          <w:shd w:val="clear" w:color="auto" w:fill="FFFFFF"/>
          <w:lang w:val="en-US" w:eastAsia="zh-CN" w:bidi="ar-SA"/>
        </w:rPr>
        <w:t>《重庆市人民政府办公厅关于印发重庆市最低生活保障条件认定办法（修订）的通知》（渝府办发〔</w:t>
      </w:r>
      <w:r>
        <w:rPr>
          <w:rFonts w:hint="default" w:ascii="Times New Roman" w:hAnsi="Times New Roman" w:eastAsia="方正仿宋_GBK" w:cs="Times New Roman"/>
          <w:kern w:val="2"/>
          <w:sz w:val="32"/>
          <w:szCs w:val="32"/>
          <w:shd w:val="clear" w:color="auto" w:fill="FFFFFF"/>
          <w:lang w:val="en-US" w:eastAsia="zh-CN" w:bidi="ar-SA"/>
        </w:rPr>
        <w:t>2017</w:t>
      </w:r>
      <w:r>
        <w:rPr>
          <w:rFonts w:hint="eastAsia" w:ascii="方正仿宋_GBK" w:hAnsi="方正仿宋_GBK" w:eastAsia="方正仿宋_GBK" w:cs="方正仿宋_GBK"/>
          <w:kern w:val="2"/>
          <w:sz w:val="32"/>
          <w:szCs w:val="32"/>
          <w:shd w:val="clear" w:color="auto" w:fill="FFFFFF"/>
          <w:lang w:val="en-US" w:eastAsia="zh-CN" w:bidi="ar-SA"/>
        </w:rPr>
        <w:t>〕</w:t>
      </w:r>
      <w:r>
        <w:rPr>
          <w:rFonts w:hint="default" w:ascii="Times New Roman" w:hAnsi="Times New Roman" w:eastAsia="方正仿宋_GBK" w:cs="Times New Roman"/>
          <w:kern w:val="2"/>
          <w:sz w:val="32"/>
          <w:szCs w:val="32"/>
          <w:shd w:val="clear" w:color="auto" w:fill="FFFFFF"/>
          <w:lang w:val="en-US" w:eastAsia="zh-CN" w:bidi="ar-SA"/>
        </w:rPr>
        <w:t>33</w:t>
      </w:r>
      <w:r>
        <w:rPr>
          <w:rFonts w:hint="eastAsia" w:ascii="方正仿宋_GBK" w:hAnsi="方正仿宋_GBK" w:eastAsia="方正仿宋_GBK" w:cs="方正仿宋_GBK"/>
          <w:kern w:val="2"/>
          <w:sz w:val="32"/>
          <w:szCs w:val="32"/>
          <w:shd w:val="clear" w:color="auto" w:fill="FFFFFF"/>
          <w:lang w:val="en-US" w:eastAsia="zh-CN" w:bidi="ar-SA"/>
        </w:rPr>
        <w:t>号）和有关规定，结合我区实际，制定本细则。</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第二条</w:t>
      </w:r>
      <w:r>
        <w:rPr>
          <w:rFonts w:hint="eastAsia" w:ascii="方正仿宋_GBK" w:hAnsi="方正仿宋_GBK" w:eastAsia="方正仿宋_GBK" w:cs="方正仿宋_GBK"/>
          <w:kern w:val="2"/>
          <w:sz w:val="32"/>
          <w:szCs w:val="32"/>
          <w:shd w:val="clear" w:color="auto" w:fill="FFFFFF"/>
          <w:lang w:val="en-US" w:eastAsia="zh-CN" w:bidi="ar-SA"/>
        </w:rPr>
        <w:t xml:space="preserve">  最低生活保障条件是指城乡居民家庭申请最低生活保障的具体条件，包括家庭成员、家庭收入、家庭财产、家庭消费支出四个方面。</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第三条</w:t>
      </w:r>
      <w:r>
        <w:rPr>
          <w:rFonts w:hint="eastAsia" w:ascii="方正仿宋_GBK" w:hAnsi="方正仿宋_GBK" w:eastAsia="方正仿宋_GBK" w:cs="方正仿宋_GBK"/>
          <w:kern w:val="2"/>
          <w:sz w:val="32"/>
          <w:szCs w:val="32"/>
          <w:shd w:val="clear" w:color="auto" w:fill="FFFFFF"/>
          <w:lang w:val="en-US" w:eastAsia="zh-CN" w:bidi="ar-SA"/>
        </w:rPr>
        <w:t xml:space="preserve">  本实施细则主要用于认定本区城乡居民家庭是否具备获得最低生活保障的资格条件。</w:t>
      </w:r>
    </w:p>
    <w:p>
      <w:pPr>
        <w:widowControl w:val="0"/>
        <w:adjustRightInd w:val="0"/>
        <w:snapToGrid/>
        <w:spacing w:beforeAutospacing="0" w:afterAutospacing="0" w:line="600" w:lineRule="exact"/>
        <w:ind w:left="0" w:right="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 xml:space="preserve"> </w:t>
      </w:r>
    </w:p>
    <w:p>
      <w:pPr>
        <w:widowControl w:val="0"/>
        <w:adjustRightInd w:val="0"/>
        <w:snapToGrid/>
        <w:spacing w:beforeAutospacing="0" w:afterAutospacing="0" w:line="600" w:lineRule="exact"/>
        <w:ind w:left="0" w:right="0"/>
        <w:jc w:val="center"/>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SA"/>
        </w:rPr>
        <w:t>第二章  家庭成员</w:t>
      </w:r>
    </w:p>
    <w:p>
      <w:pPr>
        <w:widowControl w:val="0"/>
        <w:adjustRightInd w:val="0"/>
        <w:snapToGrid/>
        <w:spacing w:beforeAutospacing="0" w:afterAutospacing="0" w:line="600" w:lineRule="exact"/>
        <w:ind w:left="0" w:right="0"/>
        <w:jc w:val="center"/>
        <w:textAlignment w:val="auto"/>
        <w:outlineLvl w:val="9"/>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SA"/>
        </w:rPr>
        <w:t xml:space="preserve"> </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第四条</w:t>
      </w:r>
      <w:r>
        <w:rPr>
          <w:rFonts w:hint="eastAsia" w:ascii="方正仿宋_GBK" w:hAnsi="方正仿宋_GBK" w:eastAsia="方正仿宋_GBK" w:cs="方正仿宋_GBK"/>
          <w:kern w:val="2"/>
          <w:sz w:val="32"/>
          <w:szCs w:val="32"/>
          <w:shd w:val="clear" w:color="auto" w:fill="FFFFFF"/>
          <w:lang w:val="en-US" w:eastAsia="zh-CN" w:bidi="ar-SA"/>
        </w:rPr>
        <w:t xml:space="preserve">  最低生活保障的家庭成员应当是具有本市居民户口且具有法定赡养、扶养、抚养义务关系的共同生活的家庭成员。</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第五条</w:t>
      </w:r>
      <w:r>
        <w:rPr>
          <w:rFonts w:hint="eastAsia" w:ascii="方正仿宋_GBK" w:hAnsi="方正仿宋_GBK" w:eastAsia="方正仿宋_GBK" w:cs="方正仿宋_GBK"/>
          <w:kern w:val="2"/>
          <w:sz w:val="32"/>
          <w:szCs w:val="32"/>
          <w:shd w:val="clear" w:color="auto" w:fill="FFFFFF"/>
          <w:lang w:val="en-US" w:eastAsia="zh-CN" w:bidi="ar-SA"/>
        </w:rPr>
        <w:t xml:space="preserve">  共同生活的家庭成员包括：</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（一）配偶。</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（二）未成年子女。</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（三）已成年但不能独立生活的子女，包括在校接受本科及其以下学历教育的成年子女。</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（四）其他具有法定赡养、扶养、抚养义务关系并共同居住</w:t>
      </w:r>
      <w:r>
        <w:rPr>
          <w:rFonts w:hint="default" w:ascii="Times New Roman" w:hAnsi="Times New Roman" w:eastAsia="方正仿宋_GBK" w:cs="Times New Roman"/>
          <w:kern w:val="2"/>
          <w:sz w:val="32"/>
          <w:szCs w:val="32"/>
          <w:shd w:val="clear" w:color="auto" w:fill="FFFFFF"/>
          <w:lang w:val="en-US" w:eastAsia="zh-CN" w:bidi="ar-SA"/>
        </w:rPr>
        <w:t>3</w:t>
      </w:r>
      <w:r>
        <w:rPr>
          <w:rFonts w:hint="eastAsia" w:ascii="方正仿宋_GBK" w:hAnsi="方正仿宋_GBK" w:eastAsia="方正仿宋_GBK" w:cs="方正仿宋_GBK"/>
          <w:kern w:val="2"/>
          <w:sz w:val="32"/>
          <w:szCs w:val="32"/>
          <w:shd w:val="clear" w:color="auto" w:fill="FFFFFF"/>
          <w:lang w:val="en-US" w:eastAsia="zh-CN" w:bidi="ar-SA"/>
        </w:rPr>
        <w:t>个月以上的人员。</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第六条</w:t>
      </w:r>
      <w:r>
        <w:rPr>
          <w:rFonts w:hint="eastAsia" w:ascii="方正仿宋_GBK" w:hAnsi="方正仿宋_GBK" w:eastAsia="方正仿宋_GBK" w:cs="方正仿宋_GBK"/>
          <w:kern w:val="2"/>
          <w:sz w:val="32"/>
          <w:szCs w:val="32"/>
          <w:shd w:val="clear" w:color="auto" w:fill="FFFFFF"/>
          <w:lang w:val="en-US" w:eastAsia="zh-CN" w:bidi="ar-SA"/>
        </w:rPr>
        <w:t xml:space="preserve">  特殊情形的共同生活家庭成员认定：</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（一）未婚现役军人，脱离家庭独立生活一年以上的宗教教职人员，在监狱内服刑的人员,不计入共同生活的家庭成员。</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（二）复员退役军人以及刑满释放、监外执行、保外就医人员回到家庭居住生活的，计入共同生活的家庭成员。</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（三）家庭月人均收入在当地最低生活保障标准</w:t>
      </w:r>
      <w:r>
        <w:rPr>
          <w:rFonts w:hint="default" w:ascii="Times New Roman" w:hAnsi="Times New Roman" w:eastAsia="方正仿宋_GBK" w:cs="Times New Roman"/>
          <w:kern w:val="2"/>
          <w:sz w:val="32"/>
          <w:szCs w:val="32"/>
          <w:shd w:val="clear" w:color="auto" w:fill="FFFFFF"/>
          <w:lang w:val="en-US" w:eastAsia="zh-CN" w:bidi="ar-SA"/>
        </w:rPr>
        <w:t>3</w:t>
      </w:r>
      <w:r>
        <w:rPr>
          <w:rFonts w:hint="eastAsia" w:ascii="方正仿宋_GBK" w:hAnsi="方正仿宋_GBK" w:eastAsia="方正仿宋_GBK" w:cs="方正仿宋_GBK"/>
          <w:kern w:val="2"/>
          <w:sz w:val="32"/>
          <w:szCs w:val="32"/>
          <w:shd w:val="clear" w:color="auto" w:fill="FFFFFF"/>
          <w:lang w:val="en-US" w:eastAsia="zh-CN" w:bidi="ar-SA"/>
        </w:rPr>
        <w:t>倍以内，已成年且丧失劳动能力的残疾人或者身患重特大疾病长期卧床不起的人员，可以与其共同生活的父母、兄弟姐妹分户计算。</w:t>
      </w:r>
    </w:p>
    <w:p>
      <w:pPr>
        <w:widowControl/>
        <w:shd w:val="clear" w:color="auto" w:fill="FFFFFF"/>
        <w:snapToGrid/>
        <w:spacing w:beforeAutospacing="0" w:afterAutospacing="0" w:line="600" w:lineRule="exact"/>
        <w:ind w:left="0" w:right="0"/>
        <w:jc w:val="center"/>
        <w:textAlignment w:val="auto"/>
        <w:outlineLvl w:val="9"/>
        <w:rPr>
          <w:rFonts w:hint="eastAsia" w:ascii="方正黑体_GBK" w:hAnsi="方正黑体_GBK" w:eastAsia="方正黑体_GBK" w:cs="方正黑体_GBK"/>
          <w:kern w:val="2"/>
          <w:sz w:val="32"/>
          <w:szCs w:val="32"/>
          <w:shd w:val="clear" w:color="auto" w:fill="FFFFFF"/>
        </w:rPr>
      </w:pPr>
      <w:r>
        <w:rPr>
          <w:rFonts w:hint="eastAsia" w:ascii="方正黑体_GBK" w:hAnsi="方正黑体_GBK" w:eastAsia="方正黑体_GBK" w:cs="方正黑体_GBK"/>
          <w:kern w:val="2"/>
          <w:sz w:val="32"/>
          <w:szCs w:val="32"/>
          <w:shd w:val="clear" w:color="auto" w:fill="FFFFFF"/>
          <w:lang w:val="en-US" w:eastAsia="zh-CN" w:bidi="ar-SA"/>
        </w:rPr>
        <w:t xml:space="preserve"> </w:t>
      </w:r>
    </w:p>
    <w:p>
      <w:pPr>
        <w:widowControl w:val="0"/>
        <w:adjustRightInd w:val="0"/>
        <w:snapToGrid/>
        <w:spacing w:beforeAutospacing="0" w:afterAutospacing="0" w:line="600" w:lineRule="exact"/>
        <w:ind w:left="0" w:right="0"/>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第三章  家庭收入</w:t>
      </w:r>
    </w:p>
    <w:p>
      <w:pPr>
        <w:widowControl w:val="0"/>
        <w:adjustRightInd w:val="0"/>
        <w:snapToGrid/>
        <w:spacing w:beforeAutospacing="0" w:afterAutospacing="0" w:line="600" w:lineRule="exact"/>
        <w:ind w:left="0" w:right="0"/>
        <w:jc w:val="center"/>
        <w:textAlignment w:val="auto"/>
        <w:outlineLvl w:val="9"/>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SA"/>
        </w:rPr>
        <w:t xml:space="preserve"> </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第七条</w:t>
      </w:r>
      <w:r>
        <w:rPr>
          <w:rFonts w:hint="eastAsia" w:ascii="方正仿宋_GBK" w:hAnsi="方正仿宋_GBK" w:eastAsia="方正仿宋_GBK" w:cs="方正仿宋_GBK"/>
          <w:kern w:val="2"/>
          <w:sz w:val="32"/>
          <w:szCs w:val="32"/>
          <w:shd w:val="clear" w:color="auto" w:fill="FFFFFF"/>
          <w:lang w:val="en-US" w:eastAsia="zh-CN" w:bidi="ar-SA"/>
        </w:rPr>
        <w:t xml:space="preserve">  家庭收入是指共同生活的家庭成员在规定期限内扣除缴纳的个人所得税、个人按规定缴纳的社会保障性支出、必要的就业成本后的全部可支配收入。</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第八条</w:t>
      </w:r>
      <w:r>
        <w:rPr>
          <w:rFonts w:hint="eastAsia" w:ascii="方正仿宋_GBK" w:hAnsi="方正仿宋_GBK" w:eastAsia="方正仿宋_GBK" w:cs="方正仿宋_GBK"/>
          <w:kern w:val="2"/>
          <w:sz w:val="32"/>
          <w:szCs w:val="32"/>
          <w:shd w:val="clear" w:color="auto" w:fill="FFFFFF"/>
          <w:lang w:val="en-US" w:eastAsia="zh-CN" w:bidi="ar-SA"/>
        </w:rPr>
        <w:t xml:space="preserve">  获得最低生活保障，家庭月人均收入应当低于重庆市人民政府发布的我区最低生活保障标准。</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家庭月人均收入，按照申请人家庭成员月收入总额除以核定家庭人口数确定。从事非农业生产的家庭成员月收入，按申请人提出申请前</w:t>
      </w:r>
      <w:r>
        <w:rPr>
          <w:rFonts w:hint="default" w:ascii="Times New Roman" w:hAnsi="Times New Roman" w:eastAsia="方正仿宋_GBK" w:cs="Times New Roman"/>
          <w:kern w:val="2"/>
          <w:sz w:val="32"/>
          <w:szCs w:val="32"/>
          <w:shd w:val="clear" w:color="auto" w:fill="FFFFFF"/>
          <w:lang w:val="en-US" w:eastAsia="zh-CN" w:bidi="ar-SA"/>
        </w:rPr>
        <w:t>1</w:t>
      </w:r>
      <w:r>
        <w:rPr>
          <w:rFonts w:hint="eastAsia" w:ascii="方正仿宋_GBK" w:hAnsi="方正仿宋_GBK" w:eastAsia="方正仿宋_GBK" w:cs="方正仿宋_GBK"/>
          <w:kern w:val="2"/>
          <w:sz w:val="32"/>
          <w:szCs w:val="32"/>
          <w:shd w:val="clear" w:color="auto" w:fill="FFFFFF"/>
          <w:lang w:val="en-US" w:eastAsia="zh-CN" w:bidi="ar-SA"/>
        </w:rPr>
        <w:t>个月核定的收入确定；从事农业生产的家庭成员月收入，按申请人提出申请前</w:t>
      </w:r>
      <w:r>
        <w:rPr>
          <w:rFonts w:hint="default" w:ascii="Times New Roman" w:hAnsi="Times New Roman" w:eastAsia="方正仿宋_GBK" w:cs="Times New Roman"/>
          <w:kern w:val="2"/>
          <w:sz w:val="32"/>
          <w:szCs w:val="32"/>
          <w:shd w:val="clear" w:color="auto" w:fill="FFFFFF"/>
          <w:lang w:val="en-US" w:eastAsia="zh-CN" w:bidi="ar-SA"/>
        </w:rPr>
        <w:t>12</w:t>
      </w:r>
      <w:r>
        <w:rPr>
          <w:rFonts w:hint="eastAsia" w:ascii="方正仿宋_GBK" w:hAnsi="方正仿宋_GBK" w:eastAsia="方正仿宋_GBK" w:cs="方正仿宋_GBK"/>
          <w:kern w:val="2"/>
          <w:sz w:val="32"/>
          <w:szCs w:val="32"/>
          <w:shd w:val="clear" w:color="auto" w:fill="FFFFFF"/>
          <w:lang w:val="en-US" w:eastAsia="zh-CN" w:bidi="ar-SA"/>
        </w:rPr>
        <w:t>个月内货币和实物的总收入（扣除直接生产经营成本）除以</w:t>
      </w:r>
      <w:r>
        <w:rPr>
          <w:rFonts w:hint="default" w:ascii="Times New Roman" w:hAnsi="Times New Roman" w:eastAsia="方正仿宋_GBK" w:cs="Times New Roman"/>
          <w:kern w:val="2"/>
          <w:sz w:val="32"/>
          <w:szCs w:val="32"/>
          <w:shd w:val="clear" w:color="auto" w:fill="FFFFFF"/>
          <w:lang w:val="en-US" w:eastAsia="zh-CN" w:bidi="ar-SA"/>
        </w:rPr>
        <w:t>12</w:t>
      </w:r>
      <w:r>
        <w:rPr>
          <w:rFonts w:hint="eastAsia" w:ascii="方正仿宋_GBK" w:hAnsi="方正仿宋_GBK" w:eastAsia="方正仿宋_GBK" w:cs="方正仿宋_GBK"/>
          <w:kern w:val="2"/>
          <w:sz w:val="32"/>
          <w:szCs w:val="32"/>
          <w:shd w:val="clear" w:color="auto" w:fill="FFFFFF"/>
          <w:lang w:val="en-US" w:eastAsia="zh-CN" w:bidi="ar-SA"/>
        </w:rPr>
        <w:t>确定。</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第九条</w:t>
      </w:r>
      <w:r>
        <w:rPr>
          <w:rFonts w:hint="eastAsia" w:ascii="方正仿宋_GBK" w:hAnsi="方正仿宋_GBK" w:eastAsia="方正仿宋_GBK" w:cs="方正仿宋_GBK"/>
          <w:kern w:val="2"/>
          <w:sz w:val="32"/>
          <w:szCs w:val="32"/>
          <w:shd w:val="clear" w:color="auto" w:fill="FFFFFF"/>
          <w:lang w:val="en-US" w:eastAsia="zh-CN" w:bidi="ar-SA"/>
        </w:rPr>
        <w:t xml:space="preserve">  家庭收入计算项目主要包括：</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（一）工资性收入。</w:t>
      </w:r>
      <w:r>
        <w:rPr>
          <w:rFonts w:hint="eastAsia" w:ascii="方正仿宋_GBK" w:hAnsi="方正仿宋_GBK" w:eastAsia="方正仿宋_GBK" w:cs="方正仿宋_GBK"/>
          <w:kern w:val="2"/>
          <w:sz w:val="32"/>
          <w:szCs w:val="32"/>
          <w:shd w:val="clear" w:color="auto" w:fill="FFFFFF"/>
          <w:lang w:val="en-US" w:eastAsia="zh-CN" w:bidi="ar-SA"/>
        </w:rPr>
        <w:t>指因任职或者受雇而取得的工资、薪金、奖金、劳动分红、津贴、补贴以及与任职或者受雇有关的其他所得。</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稳定就业或长期在外务工人员的工资性收入，按用人单位劳资部门出具的工资性收入证明计算；不能提供证明或所提供证明低于当地最低工资标准的，按当地最低工资标准计算。</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color w:val="FF0000"/>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季节性短期务工人员工资性收入，根据当地同行业收入标准，按实际务工月（天）数计算。</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工资性收入可以适当扣除必要的就业成本。在户籍地（因征地拆迁、移民搬迁造成户籍地与常住地不一致的，以常住地为准）所在镇（街道）以外地区就业且在就业地租房居住的人员的工资性收入可按照申请人申报工资收入的</w:t>
      </w:r>
      <w:r>
        <w:rPr>
          <w:rFonts w:hint="default" w:ascii="Times New Roman" w:hAnsi="Times New Roman" w:eastAsia="方正仿宋_GBK" w:cs="Times New Roman"/>
          <w:kern w:val="2"/>
          <w:sz w:val="32"/>
          <w:szCs w:val="32"/>
          <w:shd w:val="clear" w:color="auto" w:fill="FFFFFF"/>
          <w:lang w:val="en-US" w:eastAsia="zh-CN" w:bidi="ar-SA"/>
        </w:rPr>
        <w:t>20</w:t>
      </w:r>
      <w:r>
        <w:rPr>
          <w:rFonts w:hint="eastAsia" w:ascii="方正仿宋_GBK" w:hAnsi="方正仿宋_GBK" w:eastAsia="方正仿宋_GBK" w:cs="方正仿宋_GBK"/>
          <w:kern w:val="2"/>
          <w:sz w:val="32"/>
          <w:szCs w:val="32"/>
          <w:shd w:val="clear" w:color="auto" w:fill="FFFFFF"/>
          <w:lang w:val="en-US" w:eastAsia="zh-CN" w:bidi="ar-SA"/>
        </w:rPr>
        <w:t>%予以扣除就业成本，扣除金额最高不超过当地最低工资标准。</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（二）家庭经营净（纯）收入。</w:t>
      </w:r>
      <w:r>
        <w:rPr>
          <w:rFonts w:hint="eastAsia" w:ascii="方正仿宋_GBK" w:hAnsi="方正仿宋_GBK" w:eastAsia="方正仿宋_GBK" w:cs="方正仿宋_GBK"/>
          <w:kern w:val="2"/>
          <w:sz w:val="32"/>
          <w:szCs w:val="32"/>
          <w:shd w:val="clear" w:color="auto" w:fill="FFFFFF"/>
          <w:lang w:val="en-US" w:eastAsia="zh-CN" w:bidi="ar-SA"/>
        </w:rPr>
        <w:t>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从事经营活动的家庭中在法定劳动年龄内（指年满</w:t>
      </w:r>
      <w:r>
        <w:rPr>
          <w:rFonts w:hint="default" w:ascii="Times New Roman" w:hAnsi="Times New Roman" w:eastAsia="方正仿宋_GBK" w:cs="Times New Roman"/>
          <w:kern w:val="2"/>
          <w:sz w:val="32"/>
          <w:szCs w:val="32"/>
          <w:shd w:val="clear" w:color="auto" w:fill="FFFFFF"/>
          <w:lang w:val="en-US" w:eastAsia="zh-CN" w:bidi="ar-SA"/>
        </w:rPr>
        <w:t>16</w:t>
      </w:r>
      <w:r>
        <w:rPr>
          <w:rFonts w:hint="eastAsia" w:ascii="方正仿宋_GBK" w:hAnsi="方正仿宋_GBK" w:eastAsia="方正仿宋_GBK" w:cs="方正仿宋_GBK"/>
          <w:kern w:val="2"/>
          <w:sz w:val="32"/>
          <w:szCs w:val="32"/>
          <w:shd w:val="clear" w:color="auto" w:fill="FFFFFF"/>
          <w:lang w:val="en-US" w:eastAsia="zh-CN" w:bidi="ar-SA"/>
        </w:rPr>
        <w:t>周岁至退休年龄）并有劳动能力的成员核定为就业人员，收入的计算为：利用固定场所从事工商经营服务活动的收入，在街道办事处或镇人民政府驻地按照不低于本区最低工资标准的</w:t>
      </w:r>
      <w:r>
        <w:rPr>
          <w:rFonts w:hint="default" w:ascii="Times New Roman" w:hAnsi="Times New Roman" w:eastAsia="方正仿宋_GBK" w:cs="Times New Roman"/>
          <w:kern w:val="2"/>
          <w:sz w:val="32"/>
          <w:szCs w:val="32"/>
          <w:shd w:val="clear" w:color="auto" w:fill="FFFFFF"/>
          <w:lang w:val="en-US" w:eastAsia="zh-CN" w:bidi="ar-SA"/>
        </w:rPr>
        <w:t>2</w:t>
      </w:r>
      <w:r>
        <w:rPr>
          <w:rFonts w:hint="eastAsia" w:ascii="方正仿宋_GBK" w:hAnsi="方正仿宋_GBK" w:eastAsia="方正仿宋_GBK" w:cs="方正仿宋_GBK"/>
          <w:kern w:val="2"/>
          <w:sz w:val="32"/>
          <w:szCs w:val="32"/>
          <w:shd w:val="clear" w:color="auto" w:fill="FFFFFF"/>
          <w:lang w:val="en-US" w:eastAsia="zh-CN" w:bidi="ar-SA"/>
        </w:rPr>
        <w:t>倍计算，其余地方按照不低于本区最低工资标准的</w:t>
      </w:r>
      <w:r>
        <w:rPr>
          <w:rFonts w:hint="default" w:ascii="Times New Roman" w:hAnsi="Times New Roman" w:eastAsia="方正仿宋_GBK" w:cs="Times New Roman"/>
          <w:kern w:val="2"/>
          <w:sz w:val="32"/>
          <w:szCs w:val="32"/>
          <w:shd w:val="clear" w:color="auto" w:fill="FFFFFF"/>
          <w:lang w:val="en-US" w:eastAsia="zh-CN" w:bidi="ar-SA"/>
        </w:rPr>
        <w:t>1</w:t>
      </w:r>
      <w:r>
        <w:rPr>
          <w:rFonts w:hint="eastAsia" w:ascii="方正仿宋_GBK" w:hAnsi="方正仿宋_GBK" w:eastAsia="方正仿宋_GBK" w:cs="方正仿宋_GBK"/>
          <w:kern w:val="2"/>
          <w:sz w:val="32"/>
          <w:szCs w:val="32"/>
          <w:shd w:val="clear" w:color="auto" w:fill="FFFFFF"/>
          <w:lang w:val="en-US" w:eastAsia="zh-CN" w:bidi="ar-SA"/>
        </w:rPr>
        <w:t>－</w:t>
      </w:r>
      <w:r>
        <w:rPr>
          <w:rFonts w:hint="default" w:ascii="Times New Roman" w:hAnsi="Times New Roman" w:eastAsia="方正仿宋_GBK" w:cs="Times New Roman"/>
          <w:kern w:val="2"/>
          <w:sz w:val="32"/>
          <w:szCs w:val="32"/>
          <w:shd w:val="clear" w:color="auto" w:fill="FFFFFF"/>
          <w:lang w:val="en-US" w:eastAsia="zh-CN" w:bidi="ar-SA"/>
        </w:rPr>
        <w:t>1</w:t>
      </w:r>
      <w:r>
        <w:rPr>
          <w:rFonts w:hint="eastAsia" w:ascii="方正仿宋_GBK" w:hAnsi="方正仿宋_GBK" w:eastAsia="方正仿宋_GBK" w:cs="方正仿宋_GBK"/>
          <w:kern w:val="2"/>
          <w:sz w:val="32"/>
          <w:szCs w:val="32"/>
          <w:shd w:val="clear" w:color="auto" w:fill="FFFFFF"/>
          <w:lang w:val="en-US" w:eastAsia="zh-CN" w:bidi="ar-SA"/>
        </w:rPr>
        <w:t>.</w:t>
      </w:r>
      <w:r>
        <w:rPr>
          <w:rFonts w:hint="default" w:ascii="Times New Roman" w:hAnsi="Times New Roman" w:eastAsia="方正仿宋_GBK" w:cs="Times New Roman"/>
          <w:kern w:val="2"/>
          <w:sz w:val="32"/>
          <w:szCs w:val="32"/>
          <w:shd w:val="clear" w:color="auto" w:fill="FFFFFF"/>
          <w:lang w:val="en-US" w:eastAsia="zh-CN" w:bidi="ar-SA"/>
        </w:rPr>
        <w:t>5</w:t>
      </w:r>
      <w:r>
        <w:rPr>
          <w:rFonts w:hint="eastAsia" w:ascii="方正仿宋_GBK" w:hAnsi="方正仿宋_GBK" w:eastAsia="方正仿宋_GBK" w:cs="方正仿宋_GBK"/>
          <w:kern w:val="2"/>
          <w:sz w:val="32"/>
          <w:szCs w:val="32"/>
          <w:shd w:val="clear" w:color="auto" w:fill="FFFFFF"/>
          <w:lang w:val="en-US" w:eastAsia="zh-CN" w:bidi="ar-SA"/>
        </w:rPr>
        <w:t>倍计算。</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农村种植、养殖、采集及加工等农林牧渔业（规模化种植、养殖除外）收入，按照我区统计部门公布的上年度农村常住居民经营净收入中的第一产业指标为核算基数，根据家庭成员劳动力系数指标折算核定。劳动力系数指标由我区民政部门根据家庭成员劳动能力状况及丧失劳动能力程度合理确定，并考虑家庭成员间履行赡养、扶养、抚养义务的负担情况。</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凡是处于劳动年龄段有劳动能力且拥有承包土地的，均应当按照本细则第九条第二款第三项计算其农林牧渔业收入（因征地拆迁现无承包土地或长期外出务工等情况未从事农村种植、养殖、采集及加工等农林牧渔业生产经营的家庭除外）。</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（三）财产性收入。</w:t>
      </w:r>
      <w:r>
        <w:rPr>
          <w:rFonts w:hint="eastAsia" w:ascii="方正仿宋_GBK" w:hAnsi="方正仿宋_GBK" w:eastAsia="方正仿宋_GBK" w:cs="方正仿宋_GBK"/>
          <w:kern w:val="2"/>
          <w:sz w:val="32"/>
          <w:szCs w:val="32"/>
          <w:shd w:val="clear" w:color="auto" w:fill="FFFFFF"/>
          <w:lang w:val="en-US" w:eastAsia="zh-CN" w:bidi="ar-SA"/>
        </w:rPr>
        <w:t>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财产租赁、转让或变卖收入按租赁、转让或变卖协议（合同、票据）计算；不能提供租赁、转让或变卖协议（合同、票据）或租赁、转让、变卖协议（合同、票据）价明显偏低的，按当地同类财产的市场租赁、转让或变卖价格计算。</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储蓄存款利息、有价证券红利、投资股息红利、集体财产收入分红等按实际收入计算。</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土地、林地承包经营权流转收入按有关规定据实计算。</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（四）转移性收入。</w:t>
      </w:r>
      <w:r>
        <w:rPr>
          <w:rFonts w:hint="eastAsia" w:ascii="方正仿宋_GBK" w:hAnsi="方正仿宋_GBK" w:eastAsia="方正仿宋_GBK" w:cs="方正仿宋_GBK"/>
          <w:kern w:val="2"/>
          <w:sz w:val="32"/>
          <w:szCs w:val="32"/>
          <w:shd w:val="clear" w:color="auto" w:fill="FFFFFF"/>
          <w:lang w:val="en-US" w:eastAsia="zh-CN" w:bidi="ar-SA"/>
        </w:rPr>
        <w:t>指国家、单位、社会团体对居民家庭的各种转移支付和居民家庭间的收入转移。包括赡养费、扶养费、抚养费，养老金（城乡居民基本养老保险金除外）、失业保险金，一次性安置费、经济补偿金、生活补助费，遗属补助金、商业保险金、赔偿收入，接受遗产收入、接受捐赠（赠予）收入等。</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赡养、抚养、扶养费，有调解书、判决书或者协议书的，按文书确定的金额认定；无文书约定或协议确定金额明显偏低的，每位被赡养、抚养、扶养人的赡养、抚养、扶养费收入按义务人家庭人均收入减去最低生活保障标准后余额的</w:t>
      </w:r>
      <w:r>
        <w:rPr>
          <w:rFonts w:hint="default" w:ascii="Times New Roman" w:hAnsi="Times New Roman" w:eastAsia="方正仿宋_GBK" w:cs="Times New Roman"/>
          <w:kern w:val="2"/>
          <w:sz w:val="32"/>
          <w:szCs w:val="32"/>
          <w:shd w:val="clear" w:color="auto" w:fill="FFFFFF"/>
          <w:lang w:val="en-US" w:eastAsia="zh-CN" w:bidi="ar-SA"/>
        </w:rPr>
        <w:t>20</w:t>
      </w:r>
      <w:r>
        <w:rPr>
          <w:rFonts w:hint="eastAsia" w:ascii="方正仿宋_GBK" w:hAnsi="方正仿宋_GBK" w:eastAsia="方正仿宋_GBK" w:cs="方正仿宋_GBK"/>
          <w:kern w:val="2"/>
          <w:sz w:val="32"/>
          <w:szCs w:val="32"/>
          <w:shd w:val="clear" w:color="auto" w:fill="FFFFFF"/>
          <w:lang w:val="en-US" w:eastAsia="zh-CN" w:bidi="ar-SA"/>
        </w:rPr>
        <w:t>%计算。实际得到的赡养、抚养、扶养费高于上述规定的，按照实际得到的数额计算。</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法定赡养、抚养、扶养义务人有下列情形的，视为暂无赡养、抚养、扶养能力，不计算赡养、抚养、扶养费：</w:t>
      </w:r>
    </w:p>
    <w:p>
      <w:pPr>
        <w:widowControl w:val="0"/>
        <w:shd w:val="clear" w:color="auto" w:fill="FFFFFF"/>
        <w:adjustRightInd w:val="0"/>
        <w:snapToGrid/>
        <w:spacing w:beforeAutospacing="0" w:afterAutospacing="0" w:line="600" w:lineRule="exact"/>
        <w:ind w:left="628"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default" w:ascii="Times New Roman" w:hAnsi="Times New Roman" w:eastAsia="方正仿宋_GBK" w:cs="Times New Roman"/>
          <w:kern w:val="2"/>
          <w:sz w:val="32"/>
          <w:szCs w:val="32"/>
          <w:shd w:val="clear" w:color="auto" w:fill="FFFFFF"/>
          <w:lang w:val="en-US" w:eastAsia="zh-CN" w:bidi="ar-SA"/>
        </w:rPr>
        <w:t>1</w:t>
      </w:r>
      <w:r>
        <w:rPr>
          <w:rFonts w:hint="eastAsia" w:ascii="方正仿宋_GBK" w:hAnsi="方正仿宋_GBK" w:eastAsia="方正仿宋_GBK" w:cs="方正仿宋_GBK"/>
          <w:kern w:val="2"/>
          <w:sz w:val="32"/>
          <w:szCs w:val="32"/>
          <w:shd w:val="clear" w:color="auto" w:fill="FFFFFF"/>
          <w:lang w:val="en-US" w:eastAsia="zh-CN" w:bidi="ar-SA"/>
        </w:rPr>
        <w:t>．属特困供养人员；</w:t>
      </w:r>
    </w:p>
    <w:p>
      <w:pPr>
        <w:widowControl w:val="0"/>
        <w:shd w:val="clear" w:color="auto" w:fill="FFFFFF"/>
        <w:adjustRightInd w:val="0"/>
        <w:snapToGrid/>
        <w:spacing w:beforeAutospacing="0" w:afterAutospacing="0" w:line="600" w:lineRule="exact"/>
        <w:ind w:left="628"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default" w:ascii="Times New Roman" w:hAnsi="Times New Roman" w:eastAsia="方正仿宋_GBK" w:cs="Times New Roman"/>
          <w:kern w:val="2"/>
          <w:sz w:val="32"/>
          <w:szCs w:val="32"/>
          <w:shd w:val="clear" w:color="auto" w:fill="FFFFFF"/>
          <w:lang w:val="en-US" w:eastAsia="zh-CN" w:bidi="ar-SA"/>
        </w:rPr>
        <w:t>2</w:t>
      </w:r>
      <w:r>
        <w:rPr>
          <w:rFonts w:hint="eastAsia" w:ascii="方正仿宋_GBK" w:hAnsi="方正仿宋_GBK" w:eastAsia="方正仿宋_GBK" w:cs="方正仿宋_GBK"/>
          <w:kern w:val="2"/>
          <w:sz w:val="32"/>
          <w:szCs w:val="32"/>
          <w:shd w:val="clear" w:color="auto" w:fill="FFFFFF"/>
          <w:lang w:val="en-US" w:eastAsia="zh-CN" w:bidi="ar-SA"/>
        </w:rPr>
        <w:t>．家庭中有重特大疾病患者、重度残疾人，造成家庭</w:t>
      </w:r>
    </w:p>
    <w:p>
      <w:pPr>
        <w:widowControl w:val="0"/>
        <w:shd w:val="clear" w:color="auto" w:fill="FFFFFF"/>
        <w:adjustRightInd w:val="0"/>
        <w:snapToGrid/>
        <w:spacing w:beforeAutospacing="0" w:afterAutospacing="0" w:line="600" w:lineRule="exact"/>
        <w:ind w:left="0" w:right="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支出过大，实际生活困难的。</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从政府或企事业单位领取的一次性安置费、经济补偿金、生活补助费，经参保地社会保险经办机构证实，家庭成员已参加（续）基本养老保险和基本医疗保险的，应扣除参（续）保人员从参（续）保之月至达到法定领取养老保险年龄期间应缴纳的参保费用（按以个人身份参保当年的缴费标准计算）；家庭实际支付重大疾病支出和因灾支出等必要开支的，凭提供的有效支付证明予以扣除。因城建、危旧房改造、拆迁、土地征用等领取的一次性相关补偿费，应当扣除自住房屋购建重置费用。扣除后的结余部分按当地最低生活保障标准逐月分摊计算该成员收入，计完为止。</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楷体_GBK" w:hAnsi="方正楷体_GBK" w:eastAsia="方正楷体_GBK" w:cs="方正楷体_GBK"/>
          <w:kern w:val="2"/>
          <w:sz w:val="32"/>
          <w:szCs w:val="32"/>
          <w:shd w:val="clear" w:color="auto" w:fill="FFFFFF"/>
        </w:rPr>
      </w:pPr>
      <w:r>
        <w:rPr>
          <w:rFonts w:hint="eastAsia" w:ascii="方正楷体_GBK" w:hAnsi="方正楷体_GBK" w:eastAsia="方正楷体_GBK" w:cs="方正楷体_GBK"/>
          <w:kern w:val="2"/>
          <w:sz w:val="32"/>
          <w:szCs w:val="32"/>
          <w:shd w:val="clear" w:color="auto" w:fill="FFFFFF"/>
          <w:lang w:val="en-US" w:eastAsia="zh-CN" w:bidi="ar-SA"/>
        </w:rPr>
        <w:t>（五）其他应当计入家庭收入的项目。</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第十条</w:t>
      </w:r>
      <w:r>
        <w:rPr>
          <w:rFonts w:hint="eastAsia" w:ascii="方正仿宋_GBK" w:hAnsi="方正仿宋_GBK" w:eastAsia="方正仿宋_GBK" w:cs="方正仿宋_GBK"/>
          <w:kern w:val="2"/>
          <w:sz w:val="32"/>
          <w:szCs w:val="32"/>
          <w:shd w:val="clear" w:color="auto" w:fill="FFFFFF"/>
          <w:lang w:val="en-US" w:eastAsia="zh-CN" w:bidi="ar-SA"/>
        </w:rPr>
        <w:t xml:space="preserve">  不应当计入家庭收入的项目包括：</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（一）优抚对象领取的各类抚恤金、补助费、护理费，义务兵家庭优待金，退役士兵一次性经济补助金，老党员定期补助，高龄老人长寿补助，精简退职职工定期定量救济金。</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（二）因公（工）负伤人员的工伤医疗费、护理费、一次性伤残补助金、残疾辅助器具费、因公（工）死亡人员的丧葬费及死亡后的一次性抚恤费。</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（三）在校学生获得的奖学金、助学金、生活补助、困难补助、求职补助。</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（四）政府及有关单位颁发劳动模范荣誉津贴、见义勇为奖金、独生子女费、计划生育政策奖励扶助金。</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五）基本医疗保险报销费用，城乡居民基本养老保险金，高龄失能老人养老服务补贴，贫困残疾人生活补贴，重度残疾人护理补贴，各种教育救助资金、住房救助金、就业救助金、救灾救助金、医疗救助资金，政府和社会组织给予的临时性救助款物，节日慰问款物，残疾人机动轮椅车燃油补贴。</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（六）因重大疾病、重大灾害出卖唯一住房的销售款。</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（七）其他不应当计入家庭收入的项目。</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w:t>
      </w:r>
    </w:p>
    <w:p>
      <w:pPr>
        <w:widowControl w:val="0"/>
        <w:adjustRightInd w:val="0"/>
        <w:snapToGrid/>
        <w:spacing w:beforeAutospacing="0" w:afterAutospacing="0" w:line="600" w:lineRule="exact"/>
        <w:ind w:left="0" w:right="0"/>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第四章  家庭财产</w:t>
      </w:r>
    </w:p>
    <w:p>
      <w:pPr>
        <w:widowControl w:val="0"/>
        <w:shd w:val="clear" w:color="auto" w:fill="FFFFFF"/>
        <w:adjustRightInd w:val="0"/>
        <w:snapToGrid/>
        <w:spacing w:beforeAutospacing="0" w:afterAutospacing="0" w:line="600" w:lineRule="exact"/>
        <w:ind w:left="0" w:right="0"/>
        <w:jc w:val="center"/>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第十一条</w:t>
      </w:r>
      <w:r>
        <w:rPr>
          <w:rFonts w:hint="eastAsia" w:ascii="方正仿宋_GBK" w:hAnsi="方正仿宋_GBK" w:eastAsia="方正仿宋_GBK" w:cs="方正仿宋_GBK"/>
          <w:kern w:val="2"/>
          <w:sz w:val="32"/>
          <w:szCs w:val="32"/>
          <w:shd w:val="clear" w:color="auto" w:fill="FFFFFF"/>
          <w:lang w:val="en-US" w:eastAsia="zh-CN" w:bidi="ar-SA"/>
        </w:rPr>
        <w:t xml:space="preserve">  家庭财产是指共同生活的家庭成员拥有的银行存款、储蓄性保险、有价证券、机动车辆、船舶、工程机械、房屋等全部动产和不动产。家庭财产采取实名认定，根据有关部门和管理单位的登记信息和实际拥有情况确认。</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第十二条</w:t>
      </w:r>
      <w:r>
        <w:rPr>
          <w:rFonts w:hint="eastAsia" w:ascii="方正仿宋_GBK" w:hAnsi="方正仿宋_GBK" w:eastAsia="方正仿宋_GBK" w:cs="方正仿宋_GBK"/>
          <w:kern w:val="2"/>
          <w:sz w:val="32"/>
          <w:szCs w:val="32"/>
          <w:shd w:val="clear" w:color="auto" w:fill="FFFFFF"/>
          <w:lang w:val="en-US" w:eastAsia="zh-CN" w:bidi="ar-SA"/>
        </w:rPr>
        <w:t xml:space="preserve">  家庭财产状况有下列情形之一的，不能获得最低生活保障：</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（一）银行存款、有价证券、债券、储蓄性保险的总值超过共同生活的家庭成员人数乘以当地最低生活保障标准的</w:t>
      </w:r>
      <w:r>
        <w:rPr>
          <w:rFonts w:hint="default" w:ascii="Times New Roman" w:hAnsi="Times New Roman" w:eastAsia="方正仿宋_GBK" w:cs="Times New Roman"/>
          <w:kern w:val="2"/>
          <w:sz w:val="32"/>
          <w:szCs w:val="32"/>
          <w:shd w:val="clear" w:color="auto" w:fill="FFFFFF"/>
          <w:lang w:val="en-US" w:eastAsia="zh-CN" w:bidi="ar-SA"/>
        </w:rPr>
        <w:t>12</w:t>
      </w:r>
      <w:r>
        <w:rPr>
          <w:rFonts w:hint="eastAsia" w:ascii="方正仿宋_GBK" w:hAnsi="方正仿宋_GBK" w:eastAsia="方正仿宋_GBK" w:cs="方正仿宋_GBK"/>
          <w:kern w:val="2"/>
          <w:sz w:val="32"/>
          <w:szCs w:val="32"/>
          <w:shd w:val="clear" w:color="auto" w:fill="FFFFFF"/>
          <w:lang w:val="en-US" w:eastAsia="zh-CN" w:bidi="ar-SA"/>
        </w:rPr>
        <w:t>倍。银行存款、有价证券、债券、储蓄性保险以核查当日的市值和资金账户余额认定。</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（二）拥有</w:t>
      </w:r>
      <w:r>
        <w:rPr>
          <w:rFonts w:hint="default" w:ascii="Times New Roman" w:hAnsi="Times New Roman" w:eastAsia="方正仿宋_GBK" w:cs="Times New Roman"/>
          <w:kern w:val="2"/>
          <w:sz w:val="32"/>
          <w:szCs w:val="32"/>
          <w:shd w:val="clear" w:color="auto" w:fill="FFFFFF"/>
          <w:lang w:val="en-US" w:eastAsia="zh-CN" w:bidi="ar-SA"/>
        </w:rPr>
        <w:t>2</w:t>
      </w:r>
      <w:r>
        <w:rPr>
          <w:rFonts w:hint="eastAsia" w:ascii="方正仿宋_GBK" w:hAnsi="方正仿宋_GBK" w:eastAsia="方正仿宋_GBK" w:cs="方正仿宋_GBK"/>
          <w:kern w:val="2"/>
          <w:sz w:val="32"/>
          <w:szCs w:val="32"/>
          <w:shd w:val="clear" w:color="auto" w:fill="FFFFFF"/>
          <w:lang w:val="en-US" w:eastAsia="zh-CN" w:bidi="ar-SA"/>
        </w:rPr>
        <w:t>套及以上住房（C、D级危房除外），且人均拥有建筑面积超过最低住房保障标准的</w:t>
      </w:r>
      <w:r>
        <w:rPr>
          <w:rFonts w:hint="default" w:ascii="Times New Roman" w:hAnsi="Times New Roman" w:eastAsia="方正仿宋_GBK" w:cs="Times New Roman"/>
          <w:kern w:val="2"/>
          <w:sz w:val="32"/>
          <w:szCs w:val="32"/>
          <w:shd w:val="clear" w:color="auto" w:fill="FFFFFF"/>
          <w:lang w:val="en-US" w:eastAsia="zh-CN" w:bidi="ar-SA"/>
        </w:rPr>
        <w:t>3</w:t>
      </w:r>
      <w:r>
        <w:rPr>
          <w:rFonts w:hint="eastAsia" w:ascii="方正仿宋_GBK" w:hAnsi="方正仿宋_GBK" w:eastAsia="方正仿宋_GBK" w:cs="方正仿宋_GBK"/>
          <w:kern w:val="2"/>
          <w:sz w:val="32"/>
          <w:szCs w:val="32"/>
          <w:shd w:val="clear" w:color="auto" w:fill="FFFFFF"/>
          <w:lang w:val="en-US" w:eastAsia="zh-CN" w:bidi="ar-SA"/>
        </w:rPr>
        <w:t>倍。</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（三）拥有出租或自营的商业门面、店铺。</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（四）拥有机动车辆（享受燃油补贴的残疾人机动轮椅车、普通两轮摩托车除外）、船舶、工程机械以及大型农机具。</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（五）其他家庭财产状况超标的情形。</w:t>
      </w:r>
    </w:p>
    <w:p>
      <w:pPr>
        <w:widowControl w:val="0"/>
        <w:shd w:val="clear" w:color="auto" w:fill="FFFFFF"/>
        <w:adjustRightInd w:val="0"/>
        <w:snapToGrid/>
        <w:spacing w:beforeAutospacing="0" w:afterAutospacing="0" w:line="600" w:lineRule="exact"/>
        <w:ind w:left="0" w:right="0"/>
        <w:jc w:val="center"/>
        <w:textAlignment w:val="auto"/>
        <w:outlineLvl w:val="9"/>
        <w:rPr>
          <w:rFonts w:hint="eastAsia" w:ascii="方正黑体_GBK" w:hAnsi="方正黑体_GBK" w:eastAsia="方正黑体_GBK" w:cs="方正黑体_GBK"/>
          <w:kern w:val="2"/>
          <w:sz w:val="32"/>
          <w:szCs w:val="32"/>
          <w:shd w:val="clear" w:color="auto" w:fill="FFFFFF"/>
        </w:rPr>
      </w:pPr>
      <w:r>
        <w:rPr>
          <w:rFonts w:hint="eastAsia" w:ascii="方正黑体_GBK" w:hAnsi="方正黑体_GBK" w:eastAsia="方正黑体_GBK" w:cs="方正黑体_GBK"/>
          <w:kern w:val="2"/>
          <w:sz w:val="32"/>
          <w:szCs w:val="32"/>
          <w:shd w:val="clear" w:color="auto" w:fill="FFFFFF"/>
          <w:lang w:val="en-US" w:eastAsia="zh-CN" w:bidi="ar-SA"/>
        </w:rPr>
        <w:t xml:space="preserve"> </w:t>
      </w:r>
    </w:p>
    <w:p>
      <w:pPr>
        <w:widowControl w:val="0"/>
        <w:adjustRightInd w:val="0"/>
        <w:snapToGrid/>
        <w:spacing w:beforeAutospacing="0" w:afterAutospacing="0" w:line="600" w:lineRule="exact"/>
        <w:ind w:left="0" w:right="0"/>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第五章  家庭消费支出</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第十三条</w:t>
      </w:r>
      <w:r>
        <w:rPr>
          <w:rFonts w:hint="eastAsia" w:ascii="方正仿宋_GBK" w:hAnsi="方正仿宋_GBK" w:eastAsia="方正仿宋_GBK" w:cs="方正仿宋_GBK"/>
          <w:kern w:val="2"/>
          <w:sz w:val="32"/>
          <w:szCs w:val="32"/>
          <w:shd w:val="clear" w:color="auto" w:fill="FFFFFF"/>
          <w:lang w:val="en-US" w:eastAsia="zh-CN" w:bidi="ar-SA"/>
        </w:rPr>
        <w:t xml:space="preserve">  家庭消费支出是指共同生活的家庭成员在一定时期内的消费支出情况和实际生活状况。家庭消费支出根据调查核实情况认定。</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第十四条</w:t>
      </w:r>
      <w:r>
        <w:rPr>
          <w:rFonts w:hint="eastAsia" w:ascii="方正仿宋_GBK" w:hAnsi="方正仿宋_GBK" w:eastAsia="方正仿宋_GBK" w:cs="方正仿宋_GBK"/>
          <w:kern w:val="2"/>
          <w:sz w:val="32"/>
          <w:szCs w:val="32"/>
          <w:shd w:val="clear" w:color="auto" w:fill="FFFFFF"/>
          <w:lang w:val="en-US" w:eastAsia="zh-CN" w:bidi="ar-SA"/>
        </w:rPr>
        <w:t xml:space="preserve">  家庭消费支出有下列情形之一的，视为生活水平明显高于当地最低生活保障标准，不能获得最低生活保障：</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（一）</w:t>
      </w:r>
      <w:r>
        <w:rPr>
          <w:rFonts w:hint="default" w:ascii="Times New Roman" w:hAnsi="Times New Roman" w:eastAsia="方正仿宋_GBK" w:cs="Times New Roman"/>
          <w:kern w:val="2"/>
          <w:sz w:val="32"/>
          <w:szCs w:val="32"/>
          <w:shd w:val="clear" w:color="auto" w:fill="FFFFFF"/>
          <w:lang w:val="en-US" w:eastAsia="zh-CN" w:bidi="ar-SA"/>
        </w:rPr>
        <w:t>3</w:t>
      </w:r>
      <w:r>
        <w:rPr>
          <w:rFonts w:hint="eastAsia" w:ascii="方正仿宋_GBK" w:hAnsi="方正仿宋_GBK" w:eastAsia="方正仿宋_GBK" w:cs="方正仿宋_GBK"/>
          <w:kern w:val="2"/>
          <w:sz w:val="32"/>
          <w:szCs w:val="32"/>
          <w:shd w:val="clear" w:color="auto" w:fill="FFFFFF"/>
          <w:lang w:val="en-US" w:eastAsia="zh-CN" w:bidi="ar-SA"/>
        </w:rPr>
        <w:t>年内修建自有住房、按揭或全款购买商品房（不含因灾重建、排危、国家基础设施建设拆迁房屋）或高标准装修现有住房（家庭发生重大变故，造成家庭基本生活困难的除外）的。</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（二）无正当理由，家庭水电燃料费、通讯费、物业管理服务费人均月支出分别超过本区居民月最低生活保障标准</w:t>
      </w:r>
      <w:r>
        <w:rPr>
          <w:rFonts w:hint="default" w:ascii="Times New Roman" w:hAnsi="Times New Roman" w:eastAsia="方正仿宋_GBK" w:cs="Times New Roman"/>
          <w:kern w:val="2"/>
          <w:sz w:val="32"/>
          <w:szCs w:val="32"/>
          <w:shd w:val="clear" w:color="auto" w:fill="FFFFFF"/>
          <w:lang w:val="en-US" w:eastAsia="zh-CN" w:bidi="ar-SA"/>
        </w:rPr>
        <w:t>25</w:t>
      </w:r>
      <w:r>
        <w:rPr>
          <w:rFonts w:hint="eastAsia" w:ascii="方正仿宋_GBK" w:hAnsi="方正仿宋_GBK" w:eastAsia="方正仿宋_GBK" w:cs="方正仿宋_GBK"/>
          <w:kern w:val="2"/>
          <w:sz w:val="32"/>
          <w:szCs w:val="32"/>
          <w:shd w:val="clear" w:color="auto" w:fill="FFFFFF"/>
          <w:lang w:val="en-US" w:eastAsia="zh-CN" w:bidi="ar-SA"/>
        </w:rPr>
        <w:t>%的。</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（三）共同生活的家庭成员有自费出国留学、义务教育阶段缴纳低保标准</w:t>
      </w:r>
      <w:r>
        <w:rPr>
          <w:rFonts w:hint="default" w:ascii="Times New Roman" w:hAnsi="Times New Roman" w:eastAsia="方正仿宋_GBK" w:cs="Times New Roman"/>
          <w:kern w:val="2"/>
          <w:sz w:val="32"/>
          <w:szCs w:val="32"/>
          <w:shd w:val="clear" w:color="auto" w:fill="FFFFFF"/>
          <w:lang w:val="en-US" w:eastAsia="zh-CN" w:bidi="ar-SA"/>
        </w:rPr>
        <w:t>12</w:t>
      </w:r>
      <w:r>
        <w:rPr>
          <w:rFonts w:hint="eastAsia" w:ascii="方正仿宋_GBK" w:hAnsi="方正仿宋_GBK" w:eastAsia="方正仿宋_GBK" w:cs="方正仿宋_GBK"/>
          <w:kern w:val="2"/>
          <w:sz w:val="32"/>
          <w:szCs w:val="32"/>
          <w:shd w:val="clear" w:color="auto" w:fill="FFFFFF"/>
          <w:lang w:val="en-US" w:eastAsia="zh-CN" w:bidi="ar-SA"/>
        </w:rPr>
        <w:t>倍（含）以上学费（每人每年）在民办学校读书的。</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（四）购买商业保险，每人每年缴纳保险费用在低保标准</w:t>
      </w:r>
      <w:r>
        <w:rPr>
          <w:rFonts w:hint="default" w:ascii="Times New Roman" w:hAnsi="Times New Roman" w:eastAsia="方正仿宋_GBK" w:cs="Times New Roman"/>
          <w:kern w:val="2"/>
          <w:sz w:val="32"/>
          <w:szCs w:val="32"/>
          <w:shd w:val="clear" w:color="auto" w:fill="FFFFFF"/>
          <w:lang w:val="en-US" w:eastAsia="zh-CN" w:bidi="ar-SA"/>
        </w:rPr>
        <w:t>12</w:t>
      </w:r>
      <w:r>
        <w:rPr>
          <w:rFonts w:hint="eastAsia" w:ascii="方正仿宋_GBK" w:hAnsi="方正仿宋_GBK" w:eastAsia="方正仿宋_GBK" w:cs="方正仿宋_GBK"/>
          <w:kern w:val="2"/>
          <w:sz w:val="32"/>
          <w:szCs w:val="32"/>
          <w:shd w:val="clear" w:color="auto" w:fill="FFFFFF"/>
          <w:lang w:val="en-US" w:eastAsia="zh-CN" w:bidi="ar-SA"/>
        </w:rPr>
        <w:t>倍（含）以上的。</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（五）其他家庭消费支出超标的情形。</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黑体_GBK" w:hAnsi="方正黑体_GBK" w:eastAsia="方正黑体_GBK" w:cs="方正黑体_GBK"/>
          <w:sz w:val="32"/>
          <w:szCs w:val="32"/>
          <w:lang w:val="en-US" w:eastAsia="zh-CN"/>
        </w:rPr>
        <w:t>第十五条</w:t>
      </w:r>
      <w:r>
        <w:rPr>
          <w:rFonts w:hint="eastAsia" w:ascii="方正仿宋_GBK" w:hAnsi="方正仿宋_GBK" w:eastAsia="方正仿宋_GBK" w:cs="方正仿宋_GBK"/>
          <w:kern w:val="2"/>
          <w:sz w:val="32"/>
          <w:szCs w:val="32"/>
          <w:shd w:val="clear" w:color="auto" w:fill="FFFFFF"/>
          <w:lang w:val="en-US" w:eastAsia="zh-CN" w:bidi="ar-SA"/>
        </w:rPr>
        <w:t xml:space="preserve">  申请最低生活保障的家庭，其贫困状况以家庭收入、财产作为主要指标，并适当考虑家庭成员因重度残疾、患重大疾病等增加的长期刚性支出因素综合评估。</w:t>
      </w:r>
    </w:p>
    <w:p>
      <w:pPr>
        <w:widowControl w:val="0"/>
        <w:shd w:val="clear" w:color="auto" w:fill="FFFFFF"/>
        <w:adjustRightInd w:val="0"/>
        <w:snapToGrid/>
        <w:spacing w:beforeAutospacing="0" w:afterAutospacing="0" w:line="600" w:lineRule="exact"/>
        <w:ind w:left="0" w:right="0" w:firstLine="640" w:firstLineChars="200"/>
        <w:jc w:val="both"/>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 xml:space="preserve"> </w:t>
      </w:r>
    </w:p>
    <w:p>
      <w:pPr>
        <w:widowControl w:val="0"/>
        <w:adjustRightInd w:val="0"/>
        <w:snapToGrid/>
        <w:spacing w:beforeAutospacing="0" w:afterAutospacing="0" w:line="600" w:lineRule="exact"/>
        <w:ind w:left="0" w:right="0"/>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第六章  附则</w:t>
      </w:r>
    </w:p>
    <w:p>
      <w:pPr>
        <w:widowControl w:val="0"/>
        <w:adjustRightInd w:val="0"/>
        <w:snapToGrid/>
        <w:spacing w:beforeAutospacing="0" w:afterAutospacing="0" w:line="600" w:lineRule="exact"/>
        <w:ind w:left="0" w:right="0"/>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 </w:t>
      </w:r>
    </w:p>
    <w:p>
      <w:pPr>
        <w:widowControl w:val="0"/>
        <w:snapToGrid/>
        <w:spacing w:beforeAutospacing="0" w:afterAutospacing="0" w:line="600" w:lineRule="exact"/>
        <w:ind w:left="0" w:right="0" w:firstLine="640" w:firstLineChars="200"/>
        <w:jc w:val="both"/>
        <w:textAlignment w:val="auto"/>
        <w:outlineLvl w:val="9"/>
        <w:rPr>
          <w:rFonts w:hint="eastAsia" w:ascii="方正仿宋_GBK" w:hAnsi="方正仿宋_GBK" w:eastAsia="方正仿宋_GBK" w:cs="方正仿宋_GBK"/>
          <w:color w:val="FF0000"/>
          <w:kern w:val="0"/>
          <w:sz w:val="32"/>
          <w:szCs w:val="32"/>
          <w:shd w:val="clear" w:color="auto" w:fill="FFFFFF"/>
        </w:rPr>
      </w:pPr>
      <w:r>
        <w:rPr>
          <w:rFonts w:hint="eastAsia" w:ascii="方正黑体_GBK" w:hAnsi="方正黑体_GBK" w:eastAsia="方正黑体_GBK" w:cs="方正黑体_GBK"/>
          <w:sz w:val="32"/>
          <w:szCs w:val="32"/>
          <w:lang w:val="en-US" w:eastAsia="zh-CN"/>
        </w:rPr>
        <w:t>第十六条</w:t>
      </w:r>
      <w:bookmarkStart w:id="0" w:name="_GoBack"/>
      <w:bookmarkEnd w:id="0"/>
      <w:r>
        <w:rPr>
          <w:rFonts w:hint="eastAsia" w:ascii="方正仿宋_GBK" w:hAnsi="方正仿宋_GBK" w:eastAsia="方正仿宋_GBK" w:cs="方正仿宋_GBK"/>
          <w:kern w:val="2"/>
          <w:sz w:val="32"/>
          <w:szCs w:val="32"/>
          <w:lang w:val="en-US" w:eastAsia="zh-CN" w:bidi="ar-SA"/>
        </w:rPr>
        <w:t xml:space="preserve">  本细则自发布之日起施行。原《重庆市长寿区人民政府办公室关于印发重庆市长寿区最低生活保障条件认定实施细则的通知》（长寿府办发〔</w:t>
      </w:r>
      <w:r>
        <w:rPr>
          <w:rFonts w:hint="default" w:ascii="Times New Roman" w:hAnsi="Times New Roman" w:eastAsia="方正仿宋_GBK" w:cs="Times New Roman"/>
          <w:kern w:val="2"/>
          <w:sz w:val="32"/>
          <w:szCs w:val="32"/>
          <w:lang w:val="en-US" w:eastAsia="zh-CN" w:bidi="ar-SA"/>
        </w:rPr>
        <w:t>2014</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60</w:t>
      </w:r>
      <w:r>
        <w:rPr>
          <w:rFonts w:hint="eastAsia" w:ascii="方正仿宋_GBK" w:hAnsi="方正仿宋_GBK" w:eastAsia="方正仿宋_GBK" w:cs="方正仿宋_GBK"/>
          <w:kern w:val="2"/>
          <w:sz w:val="32"/>
          <w:szCs w:val="32"/>
          <w:lang w:val="en-US" w:eastAsia="zh-CN" w:bidi="ar-SA"/>
        </w:rPr>
        <w:t>号）同时废止。</w:t>
      </w:r>
    </w:p>
    <w:p>
      <w:pPr>
        <w:pStyle w:val="7"/>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leftChars="0" w:right="0" w:firstLine="640" w:firstLineChars="200"/>
        <w:jc w:val="center"/>
        <w:textAlignment w:val="auto"/>
        <w:outlineLvl w:val="9"/>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2050"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2051"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2049"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19E71BD"/>
    <w:rsid w:val="041C42DA"/>
    <w:rsid w:val="04B679C3"/>
    <w:rsid w:val="05F07036"/>
    <w:rsid w:val="06E00104"/>
    <w:rsid w:val="080F63D8"/>
    <w:rsid w:val="09341458"/>
    <w:rsid w:val="098254C2"/>
    <w:rsid w:val="0A766EDE"/>
    <w:rsid w:val="0AD64BE8"/>
    <w:rsid w:val="0B0912D7"/>
    <w:rsid w:val="0D8146DD"/>
    <w:rsid w:val="0E025194"/>
    <w:rsid w:val="0E295871"/>
    <w:rsid w:val="0F277E44"/>
    <w:rsid w:val="14974FB9"/>
    <w:rsid w:val="152D2DCA"/>
    <w:rsid w:val="164B51E6"/>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F113DF"/>
    <w:rsid w:val="4BC77339"/>
    <w:rsid w:val="4C9236C5"/>
    <w:rsid w:val="4E250A85"/>
    <w:rsid w:val="4EED464D"/>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15"/>
    <w:basedOn w:val="9"/>
    <w:uiPriority w:val="0"/>
    <w:rPr>
      <w:rFonts w:ascii="Times New Roman" w:hAnsi="Times New Roman" w:cs="Times New Roman"/>
    </w:rPr>
  </w:style>
  <w:style w:type="character" w:customStyle="1" w:styleId="15">
    <w:name w:val="10"/>
    <w:basedOn w:val="9"/>
    <w:qFormat/>
    <w:uiPriority w:val="0"/>
    <w:rPr>
      <w:rFonts w:ascii="Times New Roman" w:hAnsi="Times New Roman" w:cs="Times New Roman"/>
    </w:rPr>
  </w:style>
  <w:style w:type="paragraph" w:customStyle="1" w:styleId="16">
    <w:name w:val="p15"/>
    <w:basedOn w:val="1"/>
    <w:qFormat/>
    <w:uiPriority w:val="0"/>
    <w:pPr>
      <w:widowControl/>
      <w:spacing w:before="100" w:beforeLines="0" w:beforeAutospacing="0" w:after="100" w:afterLines="0" w:afterAutospacing="0" w:line="480" w:lineRule="auto"/>
      <w:jc w:val="left"/>
    </w:pPr>
    <w:rPr>
      <w:rFonts w:ascii="Times New Roman" w:hAnsi="Times New Roman" w:eastAsia="方正仿宋_GBK"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2854</Characters>
  <Lines>1</Lines>
  <Paragraphs>1</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2022-06-10T05:39:44Z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