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pict>
          <v:shape id="AutoShape 2" o:spid="_x0000_s1028" o:spt="136" alt="重庆市长寿区人民政府办公室电子来文" type="#_x0000_t136" style="position:absolute;left:0pt;margin-left:95.6pt;margin-top:90.25pt;height:51pt;width:411pt;mso-position-horizontal-relative:page;mso-position-vertical-relative:margin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长寿区人民政府办公室文件" style="font-family:方正小标宋_GBK;font-size:36pt;font-weight:bold;v-text-align:center;"/>
          </v:shape>
        </w:pic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GoBack"/>
      <w:bookmarkEnd w:id="4"/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长寿府办发〔20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〕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pict>
          <v:line id="Line 3" o:spid="_x0000_s1029" o:spt="20" style="position:absolute;left:0pt;margin-left:76.55pt;margin-top:235.15pt;height:0pt;width:442.2pt;mso-position-horizontal-relative:page;mso-position-vertical-relative:margin;z-index:251662336;mso-width-relative:page;mso-height-relative:page;" filled="f" coordsize="21600,21600">
            <v:path arrowok="t"/>
            <v:fill on="f" focussize="0,0"/>
            <v:stroke weight="1.75pt" color="#FF0000"/>
            <v:imagedata o:title=""/>
            <o:lock v:ext="edit" grouping="f" rotation="f" text="f" aspectratio="f"/>
          </v:line>
        </w:pic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重庆市长寿区人民政府办公室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印发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长寿区优化营商环境促进民营经济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高质量发展若干措施</w:t>
      </w:r>
      <w:r>
        <w:rPr>
          <w:rFonts w:hint="eastAsia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通知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各街道办事处、镇人民政府，区政府各部门，有关单位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28" w:firstLineChars="2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《长寿区优化营商环境促进民营经济高质量发展若干措施》已经区政府同意，现印发给你们，请认真贯彻执行。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28" w:firstLineChars="2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28" w:firstLineChars="2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321" w:firstLineChars="1376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重庆市长寿区人民政府办公室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56" w:rightChars="400"/>
        <w:jc w:val="righ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center"/>
        <w:textAlignment w:val="auto"/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长寿区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优化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营商环境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促进民营经济高质量发展若干措施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8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8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贯彻落实重庆市深入推动民营经济高质量发展大会部署，进一步优化民营企业发展环境，稳定预期、激发活力，支持民营企业存量做强、增量做大、质量做优，根据《重庆市打造民营经济发展高地若干措施》（渝府办发〔2025〕12号），结合我区实际，制定以下措施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8" w:firstLineChars="200"/>
        <w:textAlignment w:val="auto"/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一、强化投资推介与招商联动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OLE_LINK2"/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投资机会清单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》和《招商引资项目发展机会清单》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向民营企业推介投资机会，支持民营企业参与区级重大项目，保持民间投资占比达到40%以上。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支持推动民营企业与长寿区驻外招商分局（北京、上海、深圳等）联系，共享招商引资信息，加强招商引资推介。</w:t>
      </w:r>
      <w:bookmarkEnd w:id="0"/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（责任单位：区发展改革委、区财政局、区生态环境局、区城市管理局、区交通运输委、区招商投资局、</w:t>
      </w:r>
      <w:r>
        <w:rPr>
          <w:rFonts w:hint="eastAsia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长寿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经开区建管局、长寿发展集团、长寿开投集团、长寿乡建集团）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8" w:firstLineChars="200"/>
        <w:textAlignment w:val="auto"/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二、加大政府采购和招标投标支持。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限额标准以上，200万元以下的货物和服务采购项目适宜由中小企业提供的，专门面向中小企业采购；超过200万元的货物和服务采购项目中适宜由中小企业提供的，预留该部分采购项目预算总额的30%以上专门面向中小企业采购，其中预留给小微企业的比例不低于60%。对工程建设领域招标投标红名单企业，给予投标保证金减半优惠。依法必须进行招标的工程项目（包括建筑物和构筑物的新建、改建、扩建及其相关的装修、拆除、修缮等</w:t>
      </w:r>
      <w:r>
        <w:rPr>
          <w:rFonts w:hint="eastAsia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，适宜由中小企业提供的，预留该部分项目预算总额的30%以上（在2026年底前阶段性提高至40%以上）专门面向中小企业采购，其中预留给小微企业的比例不低于60%。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（责任单位：区发展改革委、区财政局、区经济信息委、各相关单位）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28" w:firstLineChars="200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bookmarkStart w:id="1" w:name="OLE_LINK4"/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bookmarkEnd w:id="1"/>
      <w:bookmarkStart w:id="2" w:name="OLE_LINK3"/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建立涉企财政补助资金及时拨付机制。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力支持民营企业争取超长期特别国债支持设备更新、中央预算内、各行业领域专项补助资金等各类上级资金。加强民营企业科技创新项目支持力度，分级分类给予资金补助。切实发挥财政补助资金使用绩效，市级以上涉企专项资金及纳入部门预算的区级涉企补助资金，坚持高效审核、及时兑付。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（责任单位：区财政局、区发展改革委、区科技局、区经济信息委、区生态环境局、区农业农村委、区商务委、各相关单位）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8" w:firstLineChars="200"/>
        <w:textAlignment w:val="auto"/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四、深化涉企行政执法改革。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全量梳理涉企行政检查事项，出台行业合规指导手册，探索建立“承诺免检”制度，推行“非现场检查”。推行柔性执法，落实不予、从轻、减轻处罚和不予行政强制“四张清单”，完善涉企经济影响评估和涉企行政执法评价和快速响应机制。推广“执法+监督”数字应用，推行“执法码”“企业码”，实施“大综合一体化”行政执法改革，扩面试点“长亲不扰”涉企执法监管改革，积极推广执法监管“一件事”，实施“综合查一次”组团式执法。开展涉企执法专项行动，排查整治突出问题。力争涉企行政检查频次减少30%以上，高频涉企行政处罚事项裁量基准匹配率达100%，行政执法企业满意率达92%以上。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（责任单位：区司法局、区经济信息委、区公安局、区人力社保局、区生态环境局、区住房城乡建委、区城市管理局、区交通运输委、区农业农村委、区商务委、区文化旅游委、区卫生健康委、</w:t>
      </w:r>
      <w:r>
        <w:rPr>
          <w:rFonts w:hint="eastAsia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区应急管理局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、区市场监管局、区消防救援局、各相关单位）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8" w:firstLineChars="200"/>
        <w:textAlignment w:val="auto"/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五、深化审批集成改革与跨域服务。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推行社会投资建设项目用地规划许可证“免申即领”，开展建设工程规划许可“无纸化”改革。推进“承诺+容缺受理</w:t>
      </w:r>
      <w:r>
        <w:rPr>
          <w:rFonts w:hint="eastAsia" w:cs="方正仿宋_GBK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技审分离</w:t>
      </w:r>
      <w:r>
        <w:rPr>
          <w:rFonts w:hint="eastAsia" w:cs="方正仿宋_GBK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以函代证”等工作机制，缩短企业投资项目审批时限。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推进线上线下水电气网联合报装“一件事一次办”，实现水电气网联合报装、联合勘验、联合验收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梳理企业投资项目涉及中介服务事项清单，探索建立中介机构服务效能星级评价机制，提升企业投资项目前期工作质量。探索企业服务专员跨省域跨区域协同联动服务和信用红黑名单共享，服务重要产业链上下游协同发展。</w:t>
      </w:r>
      <w:bookmarkEnd w:id="2"/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（责任单位：区规划自然资源局、区发展改革委、区经济信息委、区生态环境局、区住房城乡建委、区城市管理局、区交通运输委、区卫生健康委、区水利局、</w:t>
      </w:r>
      <w:r>
        <w:rPr>
          <w:rFonts w:hint="eastAsia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区应急管理局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、区林业局、区政务服务管理办、各相关单位）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8" w:firstLineChars="200"/>
        <w:textAlignment w:val="auto"/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六、强化各类要素保障。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广“码上施策”惠企政策精准直达应用，提高惠企政策宣传推送及时性、准确性，力争惠企政策通达率达到80%以上。常态化收集融资需求清单，大力推动供需双方全对接，力争对接率达100%，满意率达98%以上。支持扩大“无还本续贷”政策覆盖面，推动续贷对象拓展至所有小微企业、阶段性扩大到中型企业。鼓励银行机构综合运用企业创新积分等多方信息，提升科技型企业“首贷率”。加快实施企业上市“千里马”行动，解决企业上市过程中面临的各类问题，支持优质民营企业境内外上市融资、民营上市公司并购重组和再融资。对民间资本建设养老、普惠托育服务机构等用水、用电、用气价格执行居民类价格。对符合条件的工业企业日均超过1万方的用气量，执行0.1</w:t>
      </w:r>
      <w:r>
        <w:rPr>
          <w:rFonts w:hint="eastAsia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0.3元/方的配气价格优惠。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推进工业用地空间治理精细化，对民营企业合理新增项目用地需求应保尽保，持续引导民营企业参与盘活存量国有土地资产。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（责任单位：区政府办、区发展改革委、区科技局、区经济信息委、区生态环境局、区农业农村委、区商务委、区规划自然资源局、人行长寿分行、各相关单位）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8" w:firstLineChars="200"/>
        <w:textAlignment w:val="auto"/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七、完善涉企信用体系建设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3" w:name="OLE_LINK5"/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生态环保、医疗保障等20个重点领域开展信用分级分类监管，实现A级企业抽查检查占比低于3%，对守信者“无事不扰”。推进“信用+行政审批”场景应用，为民营企业提供信用评价结果认证和授权查询服务。推动信用修复“一件事一次办”，快速办理符合条件的信用修复诉求，重塑企业信用。</w:t>
      </w:r>
      <w:bookmarkEnd w:id="3"/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（责任单位：区发展改革委、区法院、区教委、区公安局、区民政局、区司法局、区生态环境局、区住房城乡建委、区城市管理局、区交通运输委、区农业农村委、区文化旅游委、区卫生健康委、</w:t>
      </w:r>
      <w:r>
        <w:rPr>
          <w:rFonts w:hint="eastAsia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区应急管理局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、区林业局、区消防救援局、区规划自然资源局、区市场监管局、各相关单位）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8" w:firstLineChars="200"/>
        <w:textAlignment w:val="auto"/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提升外贸服务优化市场准入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创建内外贸一体化示范区基地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实施“百团千企”国际市场开拓计划，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鼓励民营企业与外资企业合资合作，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扩大贸易增量。开通出入境绿色通道，开设“助企专场”，优化企业出境商务洽谈、参加各类经贸活动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外籍企业高管和技术人员出入境等服务水平。严格履行公平竞争审查程序，探索实施跨区域、跨部门和第三方独立审查的公平竞争审查机制，完善公平竞争审查行纪衔接、责任追究等机制，为民营企业营造公平竞争的市场环境。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（责任单位：区商务委、区市场监管局、区公安局、区政务服务管理办、</w:t>
      </w:r>
      <w:r>
        <w:rPr>
          <w:rFonts w:hint="eastAsia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长寿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经开区经贸局、各相关单位）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8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九、构建亲清政商关系。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常态化开展优秀民营企业、优秀民营企业家推介。深入推进清廉民营企业等清廉单元建设，支持民营企业探索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“小切口</w:t>
      </w:r>
      <w:r>
        <w:rPr>
          <w:rFonts w:hint="eastAsia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首创性</w:t>
      </w:r>
      <w:r>
        <w:rPr>
          <w:rFonts w:hint="eastAsia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差异化”的改革创新。畅通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政企沟通交流渠道，深化常态化“三服务”服务企业工作质效，用好“企业吹哨</w:t>
      </w:r>
      <w:r>
        <w:rPr>
          <w:rFonts w:hint="eastAsia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部门报到</w:t>
      </w:r>
      <w:r>
        <w:rPr>
          <w:rFonts w:hint="eastAsia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渝商e服务</w:t>
      </w:r>
      <w:r>
        <w:rPr>
          <w:rFonts w:hint="eastAsia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常青树”等平台，完善区级领导定期接待民营企业家等机制，形成民营企业“有诉必应</w:t>
      </w:r>
      <w:r>
        <w:rPr>
          <w:rFonts w:hint="eastAsia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有应必答”诉求处理工作闭环。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（责任单位：区工商联、区发展改革委、区经济信息委、各相关单位）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pBdr>
          <w:bottom w:val="single" w:color="auto" w:sz="6" w:space="1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pBdr>
          <w:bottom w:val="single" w:color="auto" w:sz="8" w:space="1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274" w:firstLineChars="100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重庆市长寿区人民政府办公室               20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74" w:gutter="0"/>
      <w:pgNumType w:fmt="decimal"/>
      <w:cols w:space="720" w:num="1"/>
      <w:docGrid w:type="linesAndChars" w:linePitch="57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ascii="宋体" w:hAnsi="宋体" w:eastAsia="宋体"/>
        <w:sz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317" w:right="317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ascii="宋体" w:hAnsi="宋体" w:eastAsia="宋体"/>
        <w:sz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mirrorMargins w:val="true"/>
  <w:bordersDoNotSurroundHeader w:val="true"/>
  <w:bordersDoNotSurroundFooter w:val="true"/>
  <w:attachedTemplate r:id="rId1"/>
  <w:documentProtection w:enforcement="0"/>
  <w:defaultTabStop w:val="425"/>
  <w:drawingGridHorizontalSpacing w:val="157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1B82574"/>
    <w:rsid w:val="00000382"/>
    <w:rsid w:val="000011A2"/>
    <w:rsid w:val="00001B7B"/>
    <w:rsid w:val="000026B7"/>
    <w:rsid w:val="00003093"/>
    <w:rsid w:val="0000329F"/>
    <w:rsid w:val="00004CD7"/>
    <w:rsid w:val="00005B3A"/>
    <w:rsid w:val="000065A2"/>
    <w:rsid w:val="00007FC6"/>
    <w:rsid w:val="00010674"/>
    <w:rsid w:val="0001145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2CF5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CD8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305"/>
    <w:rsid w:val="00080EFD"/>
    <w:rsid w:val="00084781"/>
    <w:rsid w:val="000858A8"/>
    <w:rsid w:val="000878C1"/>
    <w:rsid w:val="0009144C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451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0F676F"/>
    <w:rsid w:val="00101AA1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764F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47B9F"/>
    <w:rsid w:val="001508A5"/>
    <w:rsid w:val="001509A5"/>
    <w:rsid w:val="00153246"/>
    <w:rsid w:val="0015389A"/>
    <w:rsid w:val="00153A3D"/>
    <w:rsid w:val="00154DD1"/>
    <w:rsid w:val="00155095"/>
    <w:rsid w:val="00155775"/>
    <w:rsid w:val="00155ED3"/>
    <w:rsid w:val="0015694C"/>
    <w:rsid w:val="001578D5"/>
    <w:rsid w:val="00160456"/>
    <w:rsid w:val="00160E8A"/>
    <w:rsid w:val="00160F7A"/>
    <w:rsid w:val="00162C80"/>
    <w:rsid w:val="001644EB"/>
    <w:rsid w:val="00164615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6FD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07AD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BF0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5EE8"/>
    <w:rsid w:val="002666D4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8593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8C5"/>
    <w:rsid w:val="002A0EE7"/>
    <w:rsid w:val="002A1DED"/>
    <w:rsid w:val="002A1ED7"/>
    <w:rsid w:val="002A297C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275F"/>
    <w:rsid w:val="00304155"/>
    <w:rsid w:val="003046F3"/>
    <w:rsid w:val="003059DD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6EF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B1E"/>
    <w:rsid w:val="00343210"/>
    <w:rsid w:val="00343C8C"/>
    <w:rsid w:val="00343ECD"/>
    <w:rsid w:val="00344BEE"/>
    <w:rsid w:val="00346317"/>
    <w:rsid w:val="00350771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971F1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5E5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3B24"/>
    <w:rsid w:val="004148F8"/>
    <w:rsid w:val="0041595F"/>
    <w:rsid w:val="00415A2B"/>
    <w:rsid w:val="00415B16"/>
    <w:rsid w:val="00416796"/>
    <w:rsid w:val="004169F1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661"/>
    <w:rsid w:val="00445B10"/>
    <w:rsid w:val="00445FC8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3A1A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586A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8D3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42B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76E80"/>
    <w:rsid w:val="0058062E"/>
    <w:rsid w:val="00580F0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B"/>
    <w:rsid w:val="005C447E"/>
    <w:rsid w:val="005C4556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332C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30F1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3EA4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87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39D"/>
    <w:rsid w:val="006B0914"/>
    <w:rsid w:val="006B0CB0"/>
    <w:rsid w:val="006B2BBC"/>
    <w:rsid w:val="006B2E8D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2CB2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6C32"/>
    <w:rsid w:val="00727DED"/>
    <w:rsid w:val="007303B8"/>
    <w:rsid w:val="007310BE"/>
    <w:rsid w:val="00731F8D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2604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8A5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96F3E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62A"/>
    <w:rsid w:val="007C1885"/>
    <w:rsid w:val="007C1B38"/>
    <w:rsid w:val="007C1BA0"/>
    <w:rsid w:val="007C1C0A"/>
    <w:rsid w:val="007C2446"/>
    <w:rsid w:val="007C3278"/>
    <w:rsid w:val="007C370D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5BBE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3627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5D61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3E5F"/>
    <w:rsid w:val="008C4082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D690E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19BE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D3F"/>
    <w:rsid w:val="009778FB"/>
    <w:rsid w:val="00980A97"/>
    <w:rsid w:val="00981222"/>
    <w:rsid w:val="00981814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049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091D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159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9EF"/>
    <w:rsid w:val="00AB2B4D"/>
    <w:rsid w:val="00AB322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C51D4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52BC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26E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2B3A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6BC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676CF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40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7034"/>
    <w:rsid w:val="00CB7680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1E3B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971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399A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18F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CA5"/>
    <w:rsid w:val="00E10F9F"/>
    <w:rsid w:val="00E115FE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06F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0F8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5E8B"/>
    <w:rsid w:val="00EB64F6"/>
    <w:rsid w:val="00EB66F6"/>
    <w:rsid w:val="00EB79E0"/>
    <w:rsid w:val="00EC0064"/>
    <w:rsid w:val="00EC00A4"/>
    <w:rsid w:val="00EC062B"/>
    <w:rsid w:val="00EC1522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767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93D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6A3"/>
    <w:rsid w:val="00F66E71"/>
    <w:rsid w:val="00F67769"/>
    <w:rsid w:val="00F67AF9"/>
    <w:rsid w:val="00F7023B"/>
    <w:rsid w:val="00F71CA5"/>
    <w:rsid w:val="00F721BB"/>
    <w:rsid w:val="00F7259E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59B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13D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ABD00DE"/>
    <w:rsid w:val="0E806DD8"/>
    <w:rsid w:val="4407145C"/>
    <w:rsid w:val="51B82574"/>
    <w:rsid w:val="53D02E0F"/>
    <w:rsid w:val="54DA32C1"/>
    <w:rsid w:val="56D706E8"/>
    <w:rsid w:val="571F34FB"/>
    <w:rsid w:val="57F22CDC"/>
    <w:rsid w:val="5AD05E8B"/>
    <w:rsid w:val="607B1C59"/>
    <w:rsid w:val="72206680"/>
    <w:rsid w:val="D6F9B1CB"/>
    <w:rsid w:val="EFFBF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link w:val="3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est/C:\Users\Administrator\Desktop\0526&#20248;&#21270;&#33829;&#21830;&#29615;&#22659;&#20419;&#36827;&#27665;&#33829;&#32463;&#27982;&#39640;&#36136;&#37327;&#21457;&#23637;&#33509;&#24178;&#25514;&#26045;-&#19978;&#20250;\2.2015&#24180;&#38271;&#23551;&#24220;&#21150;&#21457;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2.2015年长寿府办发公文模板.dot</Template>
  <Pages>4</Pages>
  <Words>891</Words>
  <Characters>932</Characters>
  <Lines>7</Lines>
  <Paragraphs>2</Paragraphs>
  <TotalTime>20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2025-05-27T18:07:00Z</dcterms:created>
  <dc:creator>Administrator</dc:creator>
  <cp:lastModifiedBy>guest</cp:lastModifiedBy>
  <dcterms:modified xsi:type="dcterms:W3CDTF">2025-05-29T17:10:14Z</dcterms:modified>
  <dc:title>（来文单位：□□□□）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