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bookmarkStart w:id="0" w:name="_Toc359484386"/>
      <w:r>
        <w:rPr>
          <w:rFonts w:hint="eastAsia" w:ascii="Times New Roman" w:hAnsi="Times New Roman" w:eastAsia="方正小标宋_GBK"/>
          <w:bCs/>
          <w:kern w:val="44"/>
          <w:sz w:val="44"/>
          <w:szCs w:val="44"/>
        </w:rPr>
        <w:t>重庆市长寿区生态环境</w:t>
      </w:r>
      <w:r>
        <w:rPr>
          <w:rFonts w:hint="eastAsia" w:ascii="Times New Roman" w:hAnsi="Times New Roman" w:eastAsia="方正小标宋_GBK"/>
          <w:bCs/>
          <w:kern w:val="44"/>
          <w:sz w:val="44"/>
          <w:szCs w:val="44"/>
          <w:lang w:eastAsia="zh-CN"/>
        </w:rPr>
        <w:t>局</w:t>
      </w:r>
    </w:p>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行 政 处 罚 决 定 书</w:t>
      </w:r>
      <w:bookmarkEnd w:id="0"/>
    </w:p>
    <w:p>
      <w:pPr>
        <w:widowControl w:val="0"/>
        <w:wordWrap/>
        <w:adjustRightInd/>
        <w:snapToGrid w:val="0"/>
        <w:spacing w:before="318" w:beforeLines="100" w:line="500" w:lineRule="exact"/>
        <w:ind w:left="0" w:leftChars="0" w:right="0" w:firstLine="0" w:firstLineChars="0"/>
        <w:jc w:val="right"/>
        <w:textAlignment w:val="auto"/>
        <w:outlineLvl w:val="9"/>
        <w:rPr>
          <w:rFonts w:ascii="Times New Roman" w:hAnsi="Times New Roman" w:eastAsia="方正仿宋_GBK"/>
          <w:bCs/>
          <w:kern w:val="44"/>
          <w:sz w:val="32"/>
          <w:szCs w:val="24"/>
        </w:rPr>
      </w:pPr>
      <w:r>
        <w:rPr>
          <w:rFonts w:hint="eastAsia" w:ascii="Times New Roman" w:hAnsi="Times New Roman" w:eastAsia="方正仿宋_GBK"/>
          <w:bCs/>
          <w:kern w:val="44"/>
          <w:sz w:val="32"/>
          <w:szCs w:val="32"/>
        </w:rPr>
        <w:t>长环罚〔202</w:t>
      </w:r>
      <w:r>
        <w:rPr>
          <w:rFonts w:hint="eastAsia" w:ascii="Times New Roman" w:hAnsi="Times New Roman" w:eastAsia="方正仿宋_GBK"/>
          <w:bCs/>
          <w:kern w:val="44"/>
          <w:sz w:val="32"/>
          <w:szCs w:val="32"/>
          <w:lang w:val="en-US" w:eastAsia="zh-CN"/>
        </w:rPr>
        <w:t>5</w:t>
      </w:r>
      <w:r>
        <w:rPr>
          <w:rFonts w:hint="eastAsia" w:ascii="Times New Roman" w:hAnsi="Times New Roman" w:eastAsia="方正仿宋_GBK"/>
          <w:bCs/>
          <w:kern w:val="44"/>
          <w:sz w:val="32"/>
          <w:szCs w:val="32"/>
        </w:rPr>
        <w:t>〕</w:t>
      </w:r>
      <w:r>
        <w:rPr>
          <w:rFonts w:hint="eastAsia" w:ascii="Times New Roman" w:hAnsi="Times New Roman" w:eastAsia="方正仿宋_GBK"/>
          <w:bCs/>
          <w:kern w:val="44"/>
          <w:sz w:val="32"/>
          <w:szCs w:val="32"/>
          <w:lang w:val="en-US" w:eastAsia="zh-CN"/>
        </w:rPr>
        <w:t>20</w:t>
      </w:r>
      <w:r>
        <w:rPr>
          <w:rFonts w:hint="eastAsia" w:ascii="Times New Roman" w:hAnsi="Times New Roman" w:eastAsia="方正仿宋_GBK"/>
          <w:bCs/>
          <w:kern w:val="44"/>
          <w:sz w:val="32"/>
          <w:szCs w:val="32"/>
        </w:rPr>
        <w:t>号</w:t>
      </w:r>
    </w:p>
    <w:p>
      <w:pPr>
        <w:widowControl w:val="0"/>
        <w:wordWrap/>
        <w:adjustRightInd/>
        <w:snapToGrid w:val="0"/>
        <w:spacing w:before="318" w:beforeLines="100" w:line="500" w:lineRule="exact"/>
        <w:ind w:left="0" w:leftChars="0" w:right="0" w:firstLine="0" w:firstLineChars="0"/>
        <w:jc w:val="right"/>
        <w:textAlignment w:val="auto"/>
        <w:outlineLvl w:val="9"/>
        <w:rPr>
          <w:rFonts w:hint="eastAsia" w:ascii="Times New Roman" w:hAnsi="Times New Roman" w:eastAsia="方正仿宋_GBK"/>
          <w:bCs/>
          <w:kern w:val="44"/>
          <w:sz w:val="32"/>
          <w:szCs w:val="32"/>
          <w:lang w:val="en-US" w:eastAsia="zh-CN"/>
        </w:rPr>
      </w:pPr>
    </w:p>
    <w:p>
      <w:pPr>
        <w:widowControl w:val="0"/>
        <w:wordWrap/>
        <w:adjustRightInd/>
        <w:snapToGrid w:val="0"/>
        <w:spacing w:line="594" w:lineRule="exact"/>
        <w:ind w:left="0" w:leftChars="0"/>
        <w:jc w:val="left"/>
        <w:textAlignment w:val="auto"/>
        <w:outlineLvl w:val="9"/>
        <w:rPr>
          <w:rFonts w:hint="eastAsia" w:ascii="Times New Roman" w:hAnsi="Times New Roman" w:eastAsia="方正仿宋_GBK"/>
          <w:sz w:val="32"/>
          <w:szCs w:val="32"/>
          <w:u w:val="none" w:color="auto"/>
          <w:lang w:val="en-US" w:eastAsia="zh-CN"/>
        </w:rPr>
      </w:pPr>
      <w:r>
        <w:rPr>
          <w:rFonts w:hint="eastAsia" w:ascii="Times New Roman" w:hAnsi="Times New Roman" w:eastAsia="方正仿宋_GBK"/>
          <w:sz w:val="32"/>
          <w:szCs w:val="24"/>
          <w:lang w:eastAsia="zh-CN"/>
        </w:rPr>
        <w:t>被处罚单位</w:t>
      </w:r>
      <w:r>
        <w:rPr>
          <w:rFonts w:hint="eastAsia" w:ascii="Times New Roman" w:hAnsi="Times New Roman" w:eastAsia="方正仿宋_GBK"/>
          <w:sz w:val="32"/>
          <w:szCs w:val="32"/>
          <w:u w:val="none" w:color="auto"/>
          <w:lang w:val="en-US" w:eastAsia="zh-CN"/>
        </w:rPr>
        <w:t>：</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p>
    <w:p>
      <w:pPr>
        <w:widowControl w:val="0"/>
        <w:wordWrap/>
        <w:adjustRightInd/>
        <w:snapToGrid w:val="0"/>
        <w:spacing w:line="594" w:lineRule="exact"/>
        <w:ind w:left="0" w:leftChars="0"/>
        <w:jc w:val="left"/>
        <w:textAlignment w:val="auto"/>
        <w:outlineLvl w:val="9"/>
        <w:rPr>
          <w:rFonts w:hint="default" w:ascii="Times New Roman" w:hAnsi="Times New Roman" w:eastAsia="方正仿宋_GBK"/>
          <w:sz w:val="32"/>
          <w:szCs w:val="32"/>
          <w:u w:val="none" w:color="auto"/>
          <w:lang w:val="en-US" w:eastAsia="zh-CN"/>
        </w:rPr>
      </w:pPr>
      <w:r>
        <w:rPr>
          <w:rFonts w:hint="eastAsia" w:ascii="Times New Roman" w:hAnsi="Times New Roman" w:eastAsia="方正仿宋_GBK"/>
          <w:sz w:val="32"/>
          <w:szCs w:val="32"/>
          <w:u w:val="none" w:color="auto"/>
          <w:lang w:val="en-US" w:eastAsia="zh-CN"/>
        </w:rPr>
        <w:t>法定代表人：</w:t>
      </w:r>
      <w:r>
        <w:rPr>
          <w:rFonts w:hint="eastAsia" w:eastAsia="方正仿宋_GBK"/>
          <w:sz w:val="32"/>
          <w:szCs w:val="32"/>
          <w:u w:val="none" w:color="auto"/>
          <w:lang w:val="en-US" w:eastAsia="zh-CN"/>
        </w:rPr>
        <w:t>蒋德龙</w:t>
      </w:r>
      <w:r>
        <w:rPr>
          <w:rFonts w:hint="eastAsia" w:ascii="Times New Roman" w:hAnsi="Times New Roman" w:eastAsia="方正仿宋_GBK"/>
          <w:sz w:val="32"/>
          <w:szCs w:val="32"/>
          <w:u w:val="none" w:color="auto"/>
          <w:lang w:val="en-US" w:eastAsia="zh-CN"/>
        </w:rPr>
        <w:t xml:space="preserve">                        </w:t>
      </w:r>
    </w:p>
    <w:p>
      <w:pPr>
        <w:widowControl w:val="0"/>
        <w:wordWrap/>
        <w:adjustRightInd/>
        <w:snapToGrid w:val="0"/>
        <w:spacing w:line="594" w:lineRule="exact"/>
        <w:ind w:left="0" w:leftChars="0"/>
        <w:jc w:val="left"/>
        <w:textAlignment w:val="auto"/>
        <w:outlineLvl w:val="9"/>
        <w:rPr>
          <w:rFonts w:hint="default" w:ascii="Times New Roman" w:hAnsi="Times New Roman" w:eastAsia="方正仿宋_GBK"/>
          <w:sz w:val="32"/>
          <w:szCs w:val="32"/>
          <w:u w:val="none" w:color="auto"/>
          <w:lang w:val="en-US" w:eastAsia="zh-CN"/>
        </w:rPr>
      </w:pPr>
      <w:r>
        <w:rPr>
          <w:rFonts w:hint="eastAsia" w:ascii="Times New Roman" w:hAnsi="Times New Roman" w:eastAsia="方正仿宋_GBK"/>
          <w:sz w:val="32"/>
          <w:szCs w:val="32"/>
          <w:u w:val="none" w:color="auto"/>
          <w:lang w:val="en-US" w:eastAsia="zh-CN"/>
        </w:rPr>
        <w:t>统一社会信用代码：</w:t>
      </w:r>
      <w:r>
        <w:rPr>
          <w:rFonts w:hint="default" w:ascii="Times New Roman" w:hAnsi="Times New Roman" w:eastAsia="方正仿宋_GBK"/>
          <w:sz w:val="32"/>
          <w:szCs w:val="32"/>
          <w:u w:val="none" w:color="auto"/>
          <w:lang w:val="en-US" w:eastAsia="zh-CN"/>
        </w:rPr>
        <w:t>91500115</w:t>
      </w:r>
      <w:r>
        <w:rPr>
          <w:rFonts w:hint="eastAsia" w:ascii="Times New Roman" w:hAnsi="Times New Roman" w:eastAsia="方正仿宋_GBK"/>
          <w:sz w:val="32"/>
          <w:szCs w:val="32"/>
          <w:u w:val="none" w:color="auto"/>
          <w:lang w:val="en-US" w:eastAsia="zh-CN"/>
        </w:rPr>
        <w:t xml:space="preserve">MAC5MKF70L  </w:t>
      </w:r>
      <w:r>
        <w:rPr>
          <w:rFonts w:hint="eastAsia" w:eastAsia="方正仿宋_GBK"/>
          <w:sz w:val="32"/>
          <w:szCs w:val="32"/>
          <w:u w:val="none" w:color="auto"/>
          <w:lang w:val="en-US" w:eastAsia="zh-CN"/>
        </w:rPr>
        <w:t xml:space="preserve"> </w:t>
      </w:r>
    </w:p>
    <w:p>
      <w:pPr>
        <w:widowControl w:val="0"/>
        <w:wordWrap/>
        <w:adjustRightInd/>
        <w:snapToGrid w:val="0"/>
        <w:spacing w:line="594" w:lineRule="exact"/>
        <w:ind w:left="0" w:leftChars="0"/>
        <w:jc w:val="left"/>
        <w:textAlignment w:val="auto"/>
        <w:outlineLvl w:val="9"/>
        <w:rPr>
          <w:rFonts w:hint="default" w:ascii="Times New Roman" w:hAnsi="Times New Roman" w:eastAsia="方正仿宋_GBK" w:cs="Times New Roman"/>
          <w:sz w:val="32"/>
          <w:szCs w:val="32"/>
          <w:u w:val="none" w:color="auto"/>
          <w:lang w:val="en-US" w:eastAsia="zh-CN"/>
        </w:rPr>
      </w:pPr>
      <w:r>
        <w:rPr>
          <w:rFonts w:hint="eastAsia" w:ascii="Times New Roman" w:hAnsi="Times New Roman" w:eastAsia="方正仿宋_GBK"/>
          <w:sz w:val="32"/>
          <w:szCs w:val="32"/>
          <w:u w:val="none" w:color="auto"/>
          <w:lang w:val="en-US" w:eastAsia="zh-CN"/>
        </w:rPr>
        <w:t>地址：</w:t>
      </w:r>
      <w:r>
        <w:rPr>
          <w:rFonts w:hint="default" w:ascii="Times New Roman" w:hAnsi="Times New Roman" w:eastAsia="方正仿宋_GBK"/>
          <w:sz w:val="32"/>
          <w:szCs w:val="32"/>
          <w:u w:val="none" w:color="auto"/>
          <w:lang w:val="en-US" w:eastAsia="zh-CN"/>
        </w:rPr>
        <w:t>重庆市长寿</w:t>
      </w:r>
      <w:r>
        <w:rPr>
          <w:rFonts w:hint="eastAsia" w:ascii="Times New Roman" w:hAnsi="Times New Roman" w:eastAsia="方正仿宋_GBK"/>
          <w:sz w:val="32"/>
          <w:szCs w:val="32"/>
          <w:u w:val="none" w:color="auto"/>
          <w:lang w:val="en-US" w:eastAsia="zh-CN"/>
        </w:rPr>
        <w:t xml:space="preserve">区晏家街道齐心大道20号3-1 </w:t>
      </w:r>
    </w:p>
    <w:p>
      <w:pPr>
        <w:spacing w:line="500" w:lineRule="exact"/>
        <w:jc w:val="left"/>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 xml:space="preserve">  </w:t>
      </w:r>
    </w:p>
    <w:p>
      <w:pPr>
        <w:spacing w:line="500" w:lineRule="exact"/>
        <w:ind w:firstLine="640" w:firstLineChars="200"/>
        <w:jc w:val="left"/>
        <w:rPr>
          <w:rFonts w:hint="eastAsia" w:ascii="Times New Roman" w:hAnsi="Times New Roman" w:eastAsia="方正仿宋_GBK"/>
          <w:sz w:val="32"/>
          <w:szCs w:val="24"/>
          <w:lang w:val="en-US" w:eastAsia="zh-CN"/>
        </w:rPr>
      </w:pPr>
      <w:r>
        <w:rPr>
          <w:rFonts w:hint="eastAsia" w:ascii="Times New Roman" w:hAnsi="Times New Roman" w:eastAsia="方正仿宋_GBK" w:cs="Times New Roman"/>
          <w:sz w:val="32"/>
          <w:szCs w:val="32"/>
          <w:u w:val="none" w:color="auto"/>
          <w:lang w:val="en-US" w:eastAsia="zh-CN"/>
        </w:rPr>
        <w:t xml:space="preserve"> </w:t>
      </w:r>
      <w:r>
        <w:rPr>
          <w:rFonts w:hint="eastAsia" w:ascii="Times New Roman" w:hAnsi="Times New Roman" w:eastAsia="方正仿宋_GBK"/>
          <w:sz w:val="32"/>
          <w:szCs w:val="24"/>
          <w:lang w:eastAsia="zh-CN"/>
        </w:rPr>
        <w:t xml:space="preserve"> </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一、环境违法事实、证据和陈述申辩（听证）意见、采纳情况及裁量理由</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2025年7月10日，</w:t>
      </w:r>
      <w:r>
        <w:rPr>
          <w:rFonts w:hint="default" w:ascii="Times New Roman" w:hAnsi="Times New Roman" w:eastAsia="方正仿宋_GBK" w:cs="Times New Roman"/>
          <w:sz w:val="32"/>
          <w:szCs w:val="32"/>
          <w:u w:val="none" w:color="auto"/>
          <w:lang w:val="en-US" w:eastAsia="zh-CN"/>
        </w:rPr>
        <w:t>重庆市长寿区生态环境局执法人员</w:t>
      </w:r>
      <w:r>
        <w:rPr>
          <w:rFonts w:hint="eastAsia" w:ascii="Times New Roman" w:hAnsi="Times New Roman" w:eastAsia="方正仿宋_GBK" w:cs="Times New Roman"/>
          <w:sz w:val="32"/>
          <w:szCs w:val="32"/>
          <w:u w:val="none" w:color="auto"/>
          <w:lang w:val="en-US" w:eastAsia="zh-CN"/>
        </w:rPr>
        <w:t>现场检查发现，</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ascii="Times New Roman" w:hAnsi="Times New Roman" w:eastAsia="方正仿宋_GBK"/>
          <w:sz w:val="32"/>
          <w:szCs w:val="32"/>
          <w:u w:val="none" w:color="auto"/>
          <w:lang w:eastAsia="zh-CN"/>
        </w:rPr>
        <w:t>新建年产</w:t>
      </w:r>
      <w:r>
        <w:rPr>
          <w:rFonts w:hint="eastAsia" w:ascii="Times New Roman" w:hAnsi="Times New Roman" w:eastAsia="方正仿宋_GBK"/>
          <w:sz w:val="32"/>
          <w:szCs w:val="32"/>
          <w:u w:val="none" w:color="auto"/>
          <w:lang w:val="en-US" w:eastAsia="zh-CN"/>
        </w:rPr>
        <w:t>20000吨负极材料炭黑项目尚未取得环境影响评价批复</w:t>
      </w:r>
      <w:r>
        <w:rPr>
          <w:rFonts w:hint="eastAsia" w:eastAsia="方正仿宋_GBK"/>
          <w:sz w:val="32"/>
          <w:szCs w:val="32"/>
          <w:u w:val="none" w:color="auto"/>
          <w:lang w:eastAsia="zh-CN"/>
        </w:rPr>
        <w:t>已开工</w:t>
      </w:r>
      <w:r>
        <w:rPr>
          <w:rFonts w:hint="eastAsia" w:ascii="Times New Roman" w:hAnsi="Times New Roman" w:eastAsia="方正仿宋_GBK"/>
          <w:sz w:val="32"/>
          <w:szCs w:val="32"/>
          <w:u w:val="none" w:color="auto"/>
          <w:lang w:val="en-US" w:eastAsia="zh-CN"/>
        </w:rPr>
        <w:t>建设，已安装有反应炉、造粒机、筛分机等设备，主体已建成并进行设备调试</w:t>
      </w:r>
      <w:r>
        <w:rPr>
          <w:rFonts w:hint="eastAsia" w:ascii="Times New Roman" w:hAnsi="Times New Roman" w:eastAsia="方正仿宋_GBK" w:cs="Times New Roman"/>
          <w:sz w:val="32"/>
          <w:szCs w:val="32"/>
          <w:u w:val="none" w:color="auto"/>
          <w:lang w:val="en-US" w:eastAsia="zh-CN"/>
        </w:rPr>
        <w:t>。</w:t>
      </w:r>
    </w:p>
    <w:p>
      <w:pPr>
        <w:widowControl w:val="0"/>
        <w:wordWrap/>
        <w:adjustRightInd/>
        <w:spacing w:line="594" w:lineRule="exact"/>
        <w:ind w:left="0" w:leftChars="0" w:firstLine="640" w:firstLineChars="200"/>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上述行为违反了</w:t>
      </w:r>
      <w:r>
        <w:rPr>
          <w:rFonts w:hint="eastAsia" w:ascii="Times New Roman" w:hAnsi="Times New Roman" w:eastAsia="方正仿宋_GBK" w:cs="方正仿宋_GBK"/>
          <w:kern w:val="2"/>
          <w:sz w:val="32"/>
          <w:szCs w:val="32"/>
          <w:u w:val="none" w:color="auto"/>
          <w:lang w:val="en-US" w:eastAsia="zh-CN" w:bidi="ar-SA"/>
        </w:rPr>
        <w:t>《中华人民共和国环境影响评价法》第二十</w:t>
      </w:r>
      <w:r>
        <w:rPr>
          <w:rFonts w:hint="eastAsia" w:eastAsia="方正仿宋_GBK" w:cs="方正仿宋_GBK"/>
          <w:kern w:val="2"/>
          <w:sz w:val="32"/>
          <w:szCs w:val="32"/>
          <w:u w:val="none" w:color="auto"/>
          <w:lang w:val="en-US" w:eastAsia="zh-CN" w:bidi="ar-SA"/>
        </w:rPr>
        <w:t>二</w:t>
      </w:r>
      <w:r>
        <w:rPr>
          <w:rFonts w:hint="eastAsia" w:ascii="Times New Roman" w:hAnsi="Times New Roman" w:eastAsia="方正仿宋_GBK" w:cs="方正仿宋_GBK"/>
          <w:kern w:val="2"/>
          <w:sz w:val="32"/>
          <w:szCs w:val="32"/>
          <w:u w:val="none" w:color="auto"/>
          <w:lang w:val="en-US" w:eastAsia="zh-CN" w:bidi="ar-SA"/>
        </w:rPr>
        <w:t>条第一款</w:t>
      </w:r>
      <w:r>
        <w:rPr>
          <w:rFonts w:hint="eastAsia" w:eastAsia="方正仿宋_GBK" w:cs="Times New Roman"/>
          <w:sz w:val="32"/>
          <w:szCs w:val="32"/>
          <w:u w:val="none" w:color="auto"/>
          <w:lang w:eastAsia="zh-CN"/>
        </w:rPr>
        <w:t>“</w:t>
      </w:r>
      <w:r>
        <w:rPr>
          <w:rFonts w:hint="default" w:ascii="Times New Roman" w:hAnsi="Times New Roman" w:eastAsia="方正仿宋_GBK" w:cs="Times New Roman"/>
          <w:sz w:val="32"/>
          <w:szCs w:val="32"/>
          <w:u w:val="none" w:color="auto"/>
          <w:lang w:eastAsia="zh-CN"/>
        </w:rPr>
        <w:t>建设项目的环境影响报告书、报告表，由建设单位按照国务院的规定报有审批权的环境保护行政主管部门审批</w:t>
      </w:r>
      <w:r>
        <w:rPr>
          <w:rFonts w:hint="eastAsia" w:eastAsia="方正仿宋_GBK" w:cs="Times New Roman"/>
          <w:sz w:val="32"/>
          <w:szCs w:val="32"/>
          <w:u w:val="none" w:color="auto"/>
          <w:lang w:eastAsia="zh-CN"/>
        </w:rPr>
        <w:t>”</w:t>
      </w:r>
      <w:r>
        <w:rPr>
          <w:rFonts w:hint="eastAsia" w:ascii="Times New Roman" w:hAnsi="Times New Roman" w:eastAsia="方正仿宋_GBK" w:cs="方正仿宋_GBK"/>
          <w:kern w:val="2"/>
          <w:sz w:val="32"/>
          <w:szCs w:val="32"/>
          <w:u w:val="none" w:color="auto"/>
          <w:lang w:val="en-US" w:eastAsia="zh-CN" w:bidi="ar-SA"/>
        </w:rPr>
        <w:t>和第二十五条“建设项目的环境影响评价文件未依法经审批部门审查或者审查后未予批准的，建设单位不得开工建设。</w:t>
      </w:r>
      <w:r>
        <w:rPr>
          <w:rFonts w:hint="eastAsia" w:eastAsia="方正仿宋_GBK" w:cs="方正仿宋_GBK"/>
          <w:kern w:val="2"/>
          <w:sz w:val="32"/>
          <w:szCs w:val="32"/>
          <w:u w:val="none" w:color="auto"/>
          <w:lang w:val="en-US" w:eastAsia="zh-CN" w:bidi="ar-SA"/>
        </w:rPr>
        <w:t>”的规定</w:t>
      </w:r>
      <w:r>
        <w:rPr>
          <w:rFonts w:hint="eastAsia" w:ascii="Times New Roman" w:hAnsi="Times New Roman" w:eastAsia="方正仿宋_GBK" w:cs="Times New Roman"/>
          <w:sz w:val="32"/>
          <w:szCs w:val="32"/>
          <w:u w:val="none" w:color="auto"/>
          <w:lang w:val="en-US" w:eastAsia="zh-CN"/>
        </w:rPr>
        <w:t>，构成未批先建</w:t>
      </w:r>
      <w:r>
        <w:rPr>
          <w:rFonts w:hint="eastAsia" w:ascii="Times New Roman" w:hAnsi="Times New Roman" w:eastAsia="方正仿宋_GBK"/>
          <w:sz w:val="32"/>
          <w:szCs w:val="24"/>
          <w:lang w:val="en-US" w:eastAsia="zh-CN"/>
        </w:rPr>
        <w:t>的环境违法行为</w:t>
      </w:r>
      <w:r>
        <w:rPr>
          <w:rFonts w:hint="eastAsia" w:ascii="Times New Roman" w:hAnsi="Times New Roman" w:eastAsia="方正仿宋_GBK" w:cs="Times New Roman"/>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有下列证据为证：</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ascii="Times New Roman" w:hAnsi="Times New Roman" w:eastAsia="方正仿宋_GBK" w:cs="方正仿宋_GBK"/>
          <w:sz w:val="32"/>
          <w:szCs w:val="32"/>
          <w:u w:val="none" w:color="auto"/>
          <w:lang w:val="en-US" w:eastAsia="zh-CN"/>
        </w:rPr>
        <w:t>1、</w:t>
      </w:r>
      <w:r>
        <w:rPr>
          <w:rFonts w:hint="eastAsia" w:eastAsia="方正仿宋_GBK" w:cs="方正仿宋_GBK"/>
          <w:sz w:val="32"/>
          <w:szCs w:val="32"/>
          <w:u w:val="none" w:color="auto"/>
          <w:lang w:val="en-US" w:eastAsia="zh-CN"/>
        </w:rPr>
        <w:t>2025年7月10日，</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提供的营业执照复印件、李X与邓XX的授权委托书2份。</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证据1证明违法主体是</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，蒋德龙是该公司法定代表人，李X与邓XX是该公司员工。</w:t>
      </w:r>
    </w:p>
    <w:p>
      <w:pPr>
        <w:widowControl w:val="0"/>
        <w:wordWrap/>
        <w:adjustRightInd/>
        <w:spacing w:line="594" w:lineRule="exact"/>
        <w:ind w:left="0" w:leftChars="0" w:firstLine="640" w:firstLineChars="200"/>
        <w:textAlignment w:val="auto"/>
        <w:outlineLvl w:val="9"/>
        <w:rPr>
          <w:rFonts w:hint="eastAsia" w:ascii="Times New Roman" w:hAnsi="Times New Roman"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2、</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10</w:t>
      </w:r>
      <w:r>
        <w:rPr>
          <w:rFonts w:hint="eastAsia" w:ascii="Times New Roman" w:hAnsi="Times New Roman" w:eastAsia="方正仿宋_GBK" w:cs="方正仿宋_GBK"/>
          <w:sz w:val="32"/>
          <w:szCs w:val="32"/>
          <w:u w:val="none" w:color="auto"/>
          <w:lang w:val="en-US" w:eastAsia="zh-CN"/>
        </w:rPr>
        <w:t>日，执法人员对</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ascii="Times New Roman" w:hAnsi="Times New Roman" w:eastAsia="方正仿宋_GBK" w:cs="方正仿宋_GBK"/>
          <w:sz w:val="32"/>
          <w:szCs w:val="32"/>
          <w:u w:val="none" w:color="auto"/>
          <w:lang w:val="en-US" w:eastAsia="zh-CN"/>
        </w:rPr>
        <w:t>所做的《现场检查（勘察）笔录》；</w:t>
      </w:r>
    </w:p>
    <w:p>
      <w:pPr>
        <w:widowControl w:val="0"/>
        <w:wordWrap/>
        <w:adjustRightInd/>
        <w:spacing w:line="594" w:lineRule="exact"/>
        <w:ind w:left="0" w:leftChars="0" w:firstLine="640" w:firstLineChars="200"/>
        <w:textAlignment w:val="auto"/>
        <w:outlineLvl w:val="9"/>
        <w:rPr>
          <w:rFonts w:hint="eastAsia" w:ascii="Times New Roman" w:hAnsi="Times New Roman"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3</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10</w:t>
      </w:r>
      <w:r>
        <w:rPr>
          <w:rFonts w:hint="eastAsia" w:ascii="Times New Roman" w:hAnsi="Times New Roman" w:eastAsia="方正仿宋_GBK" w:cs="方正仿宋_GBK"/>
          <w:sz w:val="32"/>
          <w:szCs w:val="32"/>
          <w:u w:val="none" w:color="auto"/>
          <w:lang w:val="en-US" w:eastAsia="zh-CN"/>
        </w:rPr>
        <w:t>日，执法人员对</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李X所做的</w:t>
      </w:r>
      <w:r>
        <w:rPr>
          <w:rFonts w:hint="eastAsia" w:ascii="Times New Roman" w:hAnsi="Times New Roman" w:eastAsia="方正仿宋_GBK" w:cs="方正仿宋_GBK"/>
          <w:sz w:val="32"/>
          <w:szCs w:val="32"/>
          <w:u w:val="none" w:color="auto"/>
          <w:lang w:val="en-US" w:eastAsia="zh-CN"/>
        </w:rPr>
        <w:t>《调查询问笔录》</w:t>
      </w:r>
      <w:r>
        <w:rPr>
          <w:rFonts w:hint="eastAsia" w:eastAsia="方正仿宋_GBK" w:cs="方正仿宋_GBK"/>
          <w:sz w:val="32"/>
          <w:szCs w:val="32"/>
          <w:u w:val="none" w:color="auto"/>
          <w:lang w:val="en-US" w:eastAsia="zh-CN"/>
        </w:rPr>
        <w:t>及其提供的身份证复印件</w:t>
      </w:r>
      <w:r>
        <w:rPr>
          <w:rFonts w:hint="eastAsia" w:ascii="Times New Roman" w:hAnsi="Times New Roman" w:eastAsia="方正仿宋_GBK" w:cs="方正仿宋_GBK"/>
          <w:sz w:val="32"/>
          <w:szCs w:val="32"/>
          <w:u w:val="none" w:color="auto"/>
          <w:lang w:val="en-US" w:eastAsia="zh-CN"/>
        </w:rPr>
        <w:t>；</w:t>
      </w:r>
    </w:p>
    <w:p>
      <w:pPr>
        <w:widowControl w:val="0"/>
        <w:wordWrap/>
        <w:adjustRightInd/>
        <w:spacing w:line="594" w:lineRule="exact"/>
        <w:ind w:left="0" w:leftChars="0" w:firstLine="640" w:firstLineChars="200"/>
        <w:textAlignment w:val="auto"/>
        <w:outlineLvl w:val="9"/>
        <w:rPr>
          <w:rFonts w:hint="eastAsia" w:ascii="Times New Roman" w:hAnsi="Times New Roman"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4</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10</w:t>
      </w:r>
      <w:r>
        <w:rPr>
          <w:rFonts w:hint="eastAsia" w:ascii="Times New Roman" w:hAnsi="Times New Roman" w:eastAsia="方正仿宋_GBK" w:cs="方正仿宋_GBK"/>
          <w:sz w:val="32"/>
          <w:szCs w:val="32"/>
          <w:u w:val="none" w:color="auto"/>
          <w:lang w:val="en-US" w:eastAsia="zh-CN"/>
        </w:rPr>
        <w:t>日，执法人员对</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邓XX</w:t>
      </w:r>
      <w:bookmarkStart w:id="1" w:name="_GoBack"/>
      <w:bookmarkEnd w:id="1"/>
      <w:r>
        <w:rPr>
          <w:rFonts w:hint="eastAsia" w:eastAsia="方正仿宋_GBK" w:cs="方正仿宋_GBK"/>
          <w:sz w:val="32"/>
          <w:szCs w:val="32"/>
          <w:u w:val="none" w:color="auto"/>
          <w:lang w:val="en-US" w:eastAsia="zh-CN"/>
        </w:rPr>
        <w:t>所做的</w:t>
      </w:r>
      <w:r>
        <w:rPr>
          <w:rFonts w:hint="eastAsia" w:ascii="Times New Roman" w:hAnsi="Times New Roman" w:eastAsia="方正仿宋_GBK" w:cs="方正仿宋_GBK"/>
          <w:sz w:val="32"/>
          <w:szCs w:val="32"/>
          <w:u w:val="none" w:color="auto"/>
          <w:lang w:val="en-US" w:eastAsia="zh-CN"/>
        </w:rPr>
        <w:t>《调查询问笔录》</w:t>
      </w:r>
      <w:r>
        <w:rPr>
          <w:rFonts w:hint="eastAsia" w:eastAsia="方正仿宋_GBK" w:cs="方正仿宋_GBK"/>
          <w:sz w:val="32"/>
          <w:szCs w:val="32"/>
          <w:u w:val="none" w:color="auto"/>
          <w:lang w:val="en-US" w:eastAsia="zh-CN"/>
        </w:rPr>
        <w:t>及其提供的身份证复印件</w:t>
      </w:r>
      <w:r>
        <w:rPr>
          <w:rFonts w:hint="eastAsia" w:ascii="Times New Roman" w:hAnsi="Times New Roman" w:eastAsia="方正仿宋_GBK" w:cs="方正仿宋_GBK"/>
          <w:sz w:val="32"/>
          <w:szCs w:val="32"/>
          <w:u w:val="none" w:color="auto"/>
          <w:lang w:val="en-US" w:eastAsia="zh-CN"/>
        </w:rPr>
        <w:t>；</w:t>
      </w:r>
    </w:p>
    <w:p>
      <w:pPr>
        <w:widowControl w:val="0"/>
        <w:wordWrap/>
        <w:adjustRightInd/>
        <w:spacing w:line="594" w:lineRule="exact"/>
        <w:ind w:left="0" w:leftChars="0" w:firstLine="640" w:firstLineChars="200"/>
        <w:textAlignment w:val="auto"/>
        <w:outlineLvl w:val="9"/>
        <w:rPr>
          <w:rFonts w:hint="eastAsia" w:ascii="Times New Roman" w:hAnsi="Times New Roman"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10</w:t>
      </w:r>
      <w:r>
        <w:rPr>
          <w:rFonts w:hint="eastAsia" w:ascii="Times New Roman" w:hAnsi="Times New Roman" w:eastAsia="方正仿宋_GBK" w:cs="方正仿宋_GBK"/>
          <w:sz w:val="32"/>
          <w:szCs w:val="32"/>
          <w:u w:val="none" w:color="auto"/>
          <w:lang w:val="en-US" w:eastAsia="zh-CN"/>
        </w:rPr>
        <w:t>日，</w:t>
      </w:r>
      <w:r>
        <w:rPr>
          <w:rFonts w:hint="eastAsia" w:eastAsia="方正仿宋_GBK" w:cs="方正仿宋_GBK"/>
          <w:sz w:val="32"/>
          <w:szCs w:val="32"/>
          <w:u w:val="none" w:color="auto"/>
          <w:lang w:val="en-US" w:eastAsia="zh-CN"/>
        </w:rPr>
        <w:t>执法人员</w:t>
      </w:r>
      <w:r>
        <w:rPr>
          <w:rFonts w:hint="eastAsia" w:ascii="Times New Roman" w:hAnsi="Times New Roman" w:eastAsia="方正仿宋_GBK" w:cs="方正仿宋_GBK"/>
          <w:sz w:val="32"/>
          <w:szCs w:val="32"/>
          <w:u w:val="none" w:color="auto"/>
          <w:lang w:val="en-US" w:eastAsia="zh-CN"/>
        </w:rPr>
        <w:t>现场检查</w:t>
      </w:r>
      <w:r>
        <w:rPr>
          <w:rFonts w:hint="eastAsia" w:eastAsia="方正仿宋_GBK" w:cs="方正仿宋_GBK"/>
          <w:sz w:val="32"/>
          <w:szCs w:val="32"/>
          <w:u w:val="none" w:color="auto"/>
          <w:lang w:val="en-US" w:eastAsia="zh-CN"/>
        </w:rPr>
        <w:t>时的</w:t>
      </w:r>
      <w:r>
        <w:rPr>
          <w:rFonts w:hint="eastAsia" w:ascii="Times New Roman" w:hAnsi="Times New Roman" w:eastAsia="方正仿宋_GBK" w:cs="方正仿宋_GBK"/>
          <w:sz w:val="32"/>
          <w:szCs w:val="32"/>
          <w:u w:val="none" w:color="auto"/>
          <w:lang w:val="en-US" w:eastAsia="zh-CN"/>
        </w:rPr>
        <w:t>《视听资料》</w:t>
      </w:r>
      <w:r>
        <w:rPr>
          <w:rFonts w:hint="eastAsia" w:eastAsia="方正仿宋_GBK" w:cs="方正仿宋_GBK"/>
          <w:sz w:val="32"/>
          <w:szCs w:val="32"/>
          <w:u w:val="none" w:color="auto"/>
          <w:lang w:val="en-US" w:eastAsia="zh-CN"/>
        </w:rPr>
        <w:t>一套</w:t>
      </w:r>
      <w:r>
        <w:rPr>
          <w:rFonts w:hint="eastAsia" w:ascii="Times New Roman" w:hAnsi="Times New Roman" w:eastAsia="方正仿宋_GBK" w:cs="方正仿宋_GBK"/>
          <w:sz w:val="32"/>
          <w:szCs w:val="32"/>
          <w:u w:val="none" w:color="auto"/>
          <w:lang w:val="en-US" w:eastAsia="zh-CN"/>
        </w:rPr>
        <w:t>；</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6、</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10</w:t>
      </w:r>
      <w:r>
        <w:rPr>
          <w:rFonts w:hint="eastAsia" w:ascii="Times New Roman" w:hAnsi="Times New Roman" w:eastAsia="方正仿宋_GBK" w:cs="方正仿宋_GBK"/>
          <w:sz w:val="32"/>
          <w:szCs w:val="32"/>
          <w:u w:val="none" w:color="auto"/>
          <w:lang w:val="en-US" w:eastAsia="zh-CN"/>
        </w:rPr>
        <w:t>日</w:t>
      </w:r>
      <w:r>
        <w:rPr>
          <w:rFonts w:hint="eastAsia" w:eastAsia="方正仿宋_GBK" w:cs="方正仿宋_GBK"/>
          <w:sz w:val="32"/>
          <w:szCs w:val="32"/>
          <w:u w:val="none" w:color="auto"/>
          <w:lang w:val="en-US" w:eastAsia="zh-CN"/>
        </w:rPr>
        <w:t>，</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提供的《重庆市企业投资项目备案证》复印件；</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202</w:t>
      </w:r>
      <w:r>
        <w:rPr>
          <w:rFonts w:hint="eastAsia" w:eastAsia="方正仿宋_GBK" w:cs="方正仿宋_GBK"/>
          <w:sz w:val="32"/>
          <w:szCs w:val="32"/>
          <w:u w:val="none" w:color="auto"/>
          <w:lang w:val="en-US" w:eastAsia="zh-CN"/>
        </w:rPr>
        <w:t>5</w:t>
      </w:r>
      <w:r>
        <w:rPr>
          <w:rFonts w:hint="eastAsia" w:ascii="Times New Roman" w:hAnsi="Times New Roman" w:eastAsia="方正仿宋_GBK" w:cs="方正仿宋_GBK"/>
          <w:sz w:val="32"/>
          <w:szCs w:val="32"/>
          <w:u w:val="none" w:color="auto"/>
          <w:lang w:val="en-US" w:eastAsia="zh-CN"/>
        </w:rPr>
        <w:t>年</w:t>
      </w:r>
      <w:r>
        <w:rPr>
          <w:rFonts w:hint="eastAsia" w:eastAsia="方正仿宋_GBK" w:cs="方正仿宋_GBK"/>
          <w:sz w:val="32"/>
          <w:szCs w:val="32"/>
          <w:u w:val="none" w:color="auto"/>
          <w:lang w:val="en-US" w:eastAsia="zh-CN"/>
        </w:rPr>
        <w:t>7</w:t>
      </w:r>
      <w:r>
        <w:rPr>
          <w:rFonts w:hint="eastAsia" w:ascii="Times New Roman" w:hAnsi="Times New Roman" w:eastAsia="方正仿宋_GBK" w:cs="方正仿宋_GBK"/>
          <w:sz w:val="32"/>
          <w:szCs w:val="32"/>
          <w:u w:val="none" w:color="auto"/>
          <w:lang w:val="en-US" w:eastAsia="zh-CN"/>
        </w:rPr>
        <w:t>月</w:t>
      </w:r>
      <w:r>
        <w:rPr>
          <w:rFonts w:hint="eastAsia" w:eastAsia="方正仿宋_GBK" w:cs="方正仿宋_GBK"/>
          <w:sz w:val="32"/>
          <w:szCs w:val="32"/>
          <w:u w:val="none" w:color="auto"/>
          <w:lang w:val="en-US" w:eastAsia="zh-CN"/>
        </w:rPr>
        <w:t>15</w:t>
      </w:r>
      <w:r>
        <w:rPr>
          <w:rFonts w:hint="eastAsia" w:ascii="Times New Roman" w:hAnsi="Times New Roman" w:eastAsia="方正仿宋_GBK" w:cs="方正仿宋_GBK"/>
          <w:sz w:val="32"/>
          <w:szCs w:val="32"/>
          <w:u w:val="none" w:color="auto"/>
          <w:lang w:val="en-US" w:eastAsia="zh-CN"/>
        </w:rPr>
        <w:t>日，</w:t>
      </w:r>
      <w:r>
        <w:rPr>
          <w:rFonts w:hint="eastAsia" w:eastAsia="方正仿宋_GBK" w:cs="方正仿宋_GBK"/>
          <w:sz w:val="32"/>
          <w:szCs w:val="32"/>
          <w:u w:val="none" w:color="auto"/>
          <w:lang w:val="en-US" w:eastAsia="zh-CN"/>
        </w:rPr>
        <w:t>执法人员提取的建设项目环境影响评价分类管理名录（节选）及该公司年产20000吨负极材料炭黑项目环评受理公示截图；</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证据3-7证明</w:t>
      </w:r>
      <w:r>
        <w:rPr>
          <w:rFonts w:hint="default" w:ascii="Times New Roman" w:hAnsi="Times New Roman" w:eastAsia="方正仿宋_GBK"/>
          <w:sz w:val="32"/>
          <w:szCs w:val="32"/>
          <w:u w:val="none" w:color="auto"/>
          <w:lang w:val="en-US" w:eastAsia="zh-CN"/>
        </w:rPr>
        <w:t>重庆</w:t>
      </w:r>
      <w:r>
        <w:rPr>
          <w:rFonts w:hint="eastAsia" w:ascii="Times New Roman" w:hAnsi="Times New Roman" w:eastAsia="方正仿宋_GBK"/>
          <w:sz w:val="32"/>
          <w:szCs w:val="32"/>
          <w:u w:val="none" w:color="auto"/>
          <w:lang w:val="en-US" w:eastAsia="zh-CN"/>
        </w:rPr>
        <w:t>锂特律新材料有限</w:t>
      </w:r>
      <w:r>
        <w:rPr>
          <w:rFonts w:hint="default" w:ascii="Times New Roman" w:hAnsi="Times New Roman" w:eastAsia="方正仿宋_GBK"/>
          <w:sz w:val="32"/>
          <w:szCs w:val="32"/>
          <w:u w:val="none" w:color="auto"/>
          <w:lang w:val="en-US" w:eastAsia="zh-CN"/>
        </w:rPr>
        <w:t>公司</w:t>
      </w:r>
      <w:r>
        <w:rPr>
          <w:rFonts w:hint="eastAsia" w:eastAsia="方正仿宋_GBK" w:cs="方正仿宋_GBK"/>
          <w:sz w:val="32"/>
          <w:szCs w:val="32"/>
          <w:u w:val="none" w:color="auto"/>
          <w:lang w:val="en-US" w:eastAsia="zh-CN"/>
        </w:rPr>
        <w:t>年产20000吨负极材料炭黑项目属于化工行业应办环境影响评价报告书，实际尚未取得环评批复便开工建设，并进行设备调试，项目总投资额980万。</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8、2025年7月24日，执法人员提取的2025年5月14日《现场检查（勘察）笔录》和《企业守诺书》；</w:t>
      </w:r>
    </w:p>
    <w:p>
      <w:pPr>
        <w:widowControl w:val="0"/>
        <w:wordWrap/>
        <w:adjustRightInd/>
        <w:spacing w:line="594" w:lineRule="exact"/>
        <w:ind w:left="0" w:leftChars="0" w:firstLine="640" w:firstLineChars="200"/>
        <w:textAlignment w:val="auto"/>
        <w:outlineLvl w:val="9"/>
        <w:rPr>
          <w:rFonts w:hint="default"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证据8证明重庆锂特律新材料有限公司曾承诺停止建设且未取得环境影响评价书前不开工建设。</w:t>
      </w:r>
    </w:p>
    <w:p>
      <w:pPr>
        <w:widowControl w:val="0"/>
        <w:wordWrap/>
        <w:adjustRightInd/>
        <w:spacing w:line="594" w:lineRule="exact"/>
        <w:ind w:left="0" w:leftChars="0" w:firstLine="640" w:firstLineChars="200"/>
        <w:textAlignment w:val="auto"/>
        <w:outlineLvl w:val="9"/>
        <w:rPr>
          <w:rFonts w:hint="eastAsia"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9、2025年7月24日，重庆锂特律新材料有限公司提供的整改报告。</w:t>
      </w:r>
    </w:p>
    <w:p>
      <w:pPr>
        <w:widowControl w:val="0"/>
        <w:wordWrap/>
        <w:adjustRightInd/>
        <w:spacing w:line="594" w:lineRule="exact"/>
        <w:ind w:left="0" w:leftChars="0" w:firstLine="640" w:firstLineChars="200"/>
        <w:textAlignment w:val="auto"/>
        <w:outlineLvl w:val="9"/>
        <w:rPr>
          <w:rFonts w:hint="default" w:eastAsia="方正仿宋_GBK" w:cs="方正仿宋_GBK"/>
          <w:sz w:val="32"/>
          <w:szCs w:val="32"/>
          <w:u w:val="none" w:color="auto"/>
          <w:lang w:val="en-US" w:eastAsia="zh-CN"/>
        </w:rPr>
      </w:pPr>
      <w:r>
        <w:rPr>
          <w:rFonts w:hint="eastAsia" w:eastAsia="方正仿宋_GBK" w:cs="方正仿宋_GBK"/>
          <w:sz w:val="32"/>
          <w:szCs w:val="32"/>
          <w:u w:val="none" w:color="auto"/>
          <w:lang w:val="en-US" w:eastAsia="zh-CN"/>
        </w:rPr>
        <w:t>证据9证明重庆锂特律新材料有限公司已停止建设。</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根据查明的事实，重庆市长寿区生态环境局于2025年9月  5日向</w:t>
      </w:r>
      <w:r>
        <w:rPr>
          <w:rFonts w:hint="eastAsia" w:eastAsia="方正仿宋_GBK" w:cs="方正仿宋_GBK"/>
          <w:sz w:val="32"/>
          <w:szCs w:val="32"/>
          <w:u w:val="none" w:color="auto"/>
          <w:lang w:val="en-US" w:eastAsia="zh-CN"/>
        </w:rPr>
        <w:t>重庆锂特律新材料有限公司</w:t>
      </w:r>
      <w:r>
        <w:rPr>
          <w:rFonts w:hint="eastAsia" w:ascii="Times New Roman" w:hAnsi="Times New Roman" w:eastAsia="方正仿宋_GBK" w:cs="Times New Roman"/>
          <w:sz w:val="32"/>
          <w:szCs w:val="32"/>
          <w:u w:val="none" w:color="auto"/>
          <w:lang w:val="en-US" w:eastAsia="zh-CN"/>
        </w:rPr>
        <w:t>直接送达了《行政处罚事先（听证）告知书》（长环告〔2025〕20号），告知陈述申辩权和听证权。</w:t>
      </w:r>
      <w:r>
        <w:rPr>
          <w:rFonts w:hint="eastAsia" w:eastAsia="方正仿宋_GBK" w:cs="方正仿宋_GBK"/>
          <w:sz w:val="32"/>
          <w:szCs w:val="32"/>
          <w:u w:val="none" w:color="auto"/>
          <w:lang w:val="en-US" w:eastAsia="zh-CN"/>
        </w:rPr>
        <w:t>重庆锂特律新材料有限公司</w:t>
      </w:r>
      <w:r>
        <w:rPr>
          <w:rFonts w:hint="eastAsia" w:ascii="Times New Roman" w:hAnsi="Times New Roman" w:eastAsia="方正仿宋_GBK" w:cs="Times New Roman"/>
          <w:sz w:val="32"/>
          <w:szCs w:val="32"/>
          <w:u w:val="none" w:color="auto"/>
          <w:lang w:val="en-US" w:eastAsia="zh-CN"/>
        </w:rPr>
        <w:t>在告知期限内未进行陈述申辩，未提出听证申请。</w:t>
      </w:r>
    </w:p>
    <w:p>
      <w:pPr>
        <w:widowControl w:val="0"/>
        <w:wordWrap/>
        <w:adjustRightInd w:val="0"/>
        <w:snapToGrid w:val="0"/>
        <w:spacing w:line="594" w:lineRule="exact"/>
        <w:ind w:left="0" w:leftChars="0" w:right="0" w:firstLine="640" w:firstLineChars="200"/>
        <w:jc w:val="both"/>
        <w:textAlignment w:val="auto"/>
        <w:outlineLvl w:val="9"/>
        <w:rPr>
          <w:rFonts w:hint="eastAsia" w:eastAsia="方正仿宋_GBK" w:cs="方正仿宋_GBK"/>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重庆市长寿区生态环境局认为：</w:t>
      </w:r>
      <w:r>
        <w:rPr>
          <w:rFonts w:hint="eastAsia" w:eastAsia="方正仿宋_GBK" w:cs="方正仿宋_GBK"/>
          <w:sz w:val="32"/>
          <w:szCs w:val="32"/>
          <w:u w:val="none" w:color="auto"/>
          <w:lang w:val="en-US" w:eastAsia="zh-CN"/>
        </w:rPr>
        <w:t>重庆锂特律新材料有限公司</w:t>
      </w:r>
      <w:r>
        <w:rPr>
          <w:rFonts w:hint="eastAsia" w:ascii="Times New Roman" w:hAnsi="Times New Roman" w:eastAsia="方正仿宋_GBK" w:cs="Times New Roman"/>
          <w:sz w:val="32"/>
          <w:szCs w:val="32"/>
          <w:u w:val="none" w:color="auto"/>
          <w:lang w:val="en-US" w:eastAsia="zh-CN"/>
        </w:rPr>
        <w:t>未批先建</w:t>
      </w:r>
      <w:r>
        <w:rPr>
          <w:rFonts w:hint="eastAsia" w:ascii="Times New Roman" w:hAnsi="Times New Roman" w:eastAsia="方正仿宋_GBK"/>
          <w:sz w:val="32"/>
          <w:szCs w:val="24"/>
          <w:lang w:val="en-US" w:eastAsia="zh-CN"/>
        </w:rPr>
        <w:t>的环境违法行为</w:t>
      </w:r>
      <w:r>
        <w:rPr>
          <w:rFonts w:hint="eastAsia" w:ascii="Times New Roman" w:hAnsi="Times New Roman" w:eastAsia="方正仿宋_GBK" w:cs="Times New Roman"/>
          <w:sz w:val="32"/>
          <w:szCs w:val="32"/>
          <w:u w:val="none" w:color="auto"/>
          <w:lang w:val="en-US" w:eastAsia="zh-CN"/>
        </w:rPr>
        <w:t>事实清楚，违反了</w:t>
      </w:r>
      <w:r>
        <w:rPr>
          <w:rFonts w:hint="eastAsia" w:ascii="Times New Roman" w:hAnsi="Times New Roman" w:eastAsia="方正仿宋_GBK" w:cs="方正仿宋_GBK"/>
          <w:kern w:val="2"/>
          <w:sz w:val="32"/>
          <w:szCs w:val="32"/>
          <w:u w:val="none" w:color="auto"/>
          <w:lang w:val="en-US" w:eastAsia="zh-CN" w:bidi="ar-SA"/>
        </w:rPr>
        <w:t>《中华人民共和国环境影响评价法》第二十</w:t>
      </w:r>
      <w:r>
        <w:rPr>
          <w:rFonts w:hint="eastAsia" w:eastAsia="方正仿宋_GBK" w:cs="方正仿宋_GBK"/>
          <w:kern w:val="2"/>
          <w:sz w:val="32"/>
          <w:szCs w:val="32"/>
          <w:u w:val="none" w:color="auto"/>
          <w:lang w:val="en-US" w:eastAsia="zh-CN" w:bidi="ar-SA"/>
        </w:rPr>
        <w:t>二</w:t>
      </w:r>
      <w:r>
        <w:rPr>
          <w:rFonts w:hint="eastAsia" w:ascii="Times New Roman" w:hAnsi="Times New Roman" w:eastAsia="方正仿宋_GBK" w:cs="方正仿宋_GBK"/>
          <w:kern w:val="2"/>
          <w:sz w:val="32"/>
          <w:szCs w:val="32"/>
          <w:u w:val="none" w:color="auto"/>
          <w:lang w:val="en-US" w:eastAsia="zh-CN" w:bidi="ar-SA"/>
        </w:rPr>
        <w:t>条第一款和第二十五条</w:t>
      </w:r>
      <w:r>
        <w:rPr>
          <w:rFonts w:hint="eastAsia" w:ascii="Times New Roman" w:hAnsi="Times New Roman" w:eastAsia="方正仿宋_GBK" w:cs="Times New Roman"/>
          <w:sz w:val="32"/>
          <w:szCs w:val="32"/>
          <w:u w:val="none" w:color="auto"/>
          <w:lang w:val="en-US" w:eastAsia="zh-CN"/>
        </w:rPr>
        <w:t>的规定，应当承担相应的法律责任。针对本次违法行为，重庆市长寿区生态环境局依</w:t>
      </w:r>
      <w:r>
        <w:rPr>
          <w:rFonts w:hint="eastAsia" w:ascii="Times New Roman" w:hAnsi="Times New Roman" w:eastAsia="方正仿宋_GBK" w:cs="Times New Roman"/>
          <w:sz w:val="32"/>
          <w:szCs w:val="32"/>
          <w:lang w:val="en-US" w:eastAsia="zh-CN"/>
        </w:rPr>
        <w:t>据</w:t>
      </w:r>
      <w:r>
        <w:rPr>
          <w:rFonts w:hint="eastAsia" w:ascii="Times New Roman" w:hAnsi="Times New Roman" w:eastAsia="方正仿宋_GBK" w:cs="方正仿宋_GBK"/>
          <w:kern w:val="2"/>
          <w:sz w:val="32"/>
          <w:szCs w:val="32"/>
          <w:u w:val="none" w:color="auto"/>
          <w:lang w:val="en-US" w:eastAsia="zh-CN" w:bidi="ar-SA"/>
        </w:rPr>
        <w:t>《中华人民共和国环境影响评价法》第三十一条第一款</w:t>
      </w:r>
      <w:r>
        <w:rPr>
          <w:rFonts w:hint="eastAsia" w:ascii="Times New Roman" w:hAnsi="Times New Roman" w:eastAsia="方正仿宋_GBK" w:cs="Times New Roman"/>
          <w:sz w:val="32"/>
          <w:szCs w:val="32"/>
          <w:lang w:val="en-US" w:eastAsia="zh-CN"/>
        </w:rPr>
        <w:t>的规定</w:t>
      </w:r>
      <w:r>
        <w:rPr>
          <w:rFonts w:hint="eastAsia" w:ascii="Times New Roman" w:hAnsi="Times New Roman" w:eastAsia="方正仿宋_GBK" w:cs="Times New Roman"/>
          <w:sz w:val="32"/>
          <w:szCs w:val="32"/>
          <w:u w:val="none" w:color="auto"/>
          <w:lang w:val="en-US" w:eastAsia="zh-CN"/>
        </w:rPr>
        <w:t>予以处罚。</w:t>
      </w:r>
      <w:r>
        <w:rPr>
          <w:rFonts w:hint="default" w:eastAsia="方正仿宋_GBK" w:cs="方正仿宋_GBK"/>
          <w:sz w:val="32"/>
          <w:szCs w:val="32"/>
          <w:u w:val="none" w:color="auto"/>
          <w:lang w:val="en-US" w:eastAsia="zh-CN"/>
        </w:rPr>
        <w:t>参照《重庆市生态环境行政处罚裁量基准（2022年版）》裁量认定结果：</w:t>
      </w:r>
      <w:r>
        <w:rPr>
          <w:rFonts w:hint="eastAsia" w:ascii="Times New Roman" w:hAnsi="Times New Roman" w:eastAsia="方正仿宋_GBK" w:cs="方正仿宋_GBK"/>
          <w:kern w:val="2"/>
          <w:sz w:val="32"/>
          <w:szCs w:val="32"/>
          <w:u w:val="none" w:color="auto"/>
          <w:lang w:val="en-US" w:eastAsia="zh-CN" w:bidi="ar-SA"/>
        </w:rPr>
        <w:t>项目建设进程处于调试阶段，裁量等级3；项目环评类型是化工行业的报告书，裁量等级5；两年内未受过行政处罚，裁量等级1；罚款10万以下、警告等，裁量等级1；积极配合调查，裁量等级1；整改措施已落实，裁量等级-2；一般企事业单位，裁量等级0；主观过错程度为故意，裁量等级1等情节，无其他法定从轻从重情节，通过《生态环境行政处罚裁量因子及计算公式》计算处罚金额</w:t>
      </w:r>
      <w:r>
        <w:rPr>
          <w:rFonts w:hint="eastAsia" w:eastAsia="方正仿宋_GBK" w:cs="方正仿宋_GBK"/>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eastAsia="方正仿宋_GBK" w:cs="方正仿宋_GBK"/>
          <w:sz w:val="32"/>
          <w:szCs w:val="32"/>
          <w:u w:val="none" w:color="auto"/>
          <w:lang w:val="en-US" w:eastAsia="zh-CN"/>
        </w:rPr>
        <w:t>重庆锂特律新材料有限公司</w:t>
      </w:r>
      <w:r>
        <w:rPr>
          <w:rFonts w:hint="eastAsia" w:ascii="Times New Roman" w:hAnsi="Times New Roman" w:eastAsia="方正仿宋_GBK" w:cs="Times New Roman"/>
          <w:sz w:val="32"/>
          <w:szCs w:val="32"/>
          <w:u w:val="none" w:color="auto"/>
          <w:lang w:val="en-US" w:eastAsia="zh-CN"/>
        </w:rPr>
        <w:t>在本次处罚后应当引以为戒，认真学习并严格遵守环保法律法规，同时加强管理，落实各项措施，杜绝违法行为再次发生，为我市生态文明建设作出贡献。</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二、行政处罚的依据、种类及其履行方式、期限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根据</w:t>
      </w:r>
      <w:r>
        <w:rPr>
          <w:rFonts w:hint="eastAsia" w:ascii="Times New Roman" w:hAnsi="Times New Roman" w:eastAsia="方正仿宋_GBK" w:cs="方正仿宋_GBK"/>
          <w:kern w:val="2"/>
          <w:sz w:val="32"/>
          <w:szCs w:val="32"/>
          <w:u w:val="none" w:color="auto"/>
          <w:lang w:val="en-US" w:eastAsia="zh-CN" w:bidi="ar-SA"/>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w:t>
      </w:r>
      <w:r>
        <w:rPr>
          <w:rFonts w:hint="eastAsia" w:ascii="Times New Roman" w:hAnsi="Times New Roman" w:eastAsia="方正仿宋_GBK" w:cs="Times New Roman"/>
          <w:sz w:val="32"/>
          <w:szCs w:val="32"/>
          <w:lang w:val="en-US" w:eastAsia="zh-CN"/>
        </w:rPr>
        <w:t>的规定</w:t>
      </w:r>
      <w:r>
        <w:rPr>
          <w:rFonts w:hint="eastAsia" w:ascii="Times New Roman" w:hAnsi="Times New Roman" w:eastAsia="方正仿宋_GBK" w:cs="Times New Roman"/>
          <w:sz w:val="32"/>
          <w:szCs w:val="32"/>
          <w:u w:val="none" w:color="auto"/>
          <w:lang w:val="en-US" w:eastAsia="zh-CN"/>
        </w:rPr>
        <w:t>，重庆市长寿区生态环境局对</w:t>
      </w:r>
      <w:r>
        <w:rPr>
          <w:rFonts w:hint="eastAsia" w:eastAsia="方正仿宋_GBK" w:cs="方正仿宋_GBK"/>
          <w:sz w:val="32"/>
          <w:szCs w:val="32"/>
          <w:u w:val="none" w:color="auto"/>
          <w:lang w:val="en-US" w:eastAsia="zh-CN"/>
        </w:rPr>
        <w:t>重庆锂特律新材料有限公司</w:t>
      </w:r>
      <w:r>
        <w:rPr>
          <w:rFonts w:hint="eastAsia" w:ascii="Times New Roman" w:hAnsi="Times New Roman" w:eastAsia="方正仿宋_GBK" w:cs="Times New Roman"/>
          <w:sz w:val="32"/>
          <w:szCs w:val="32"/>
          <w:u w:val="none" w:color="auto"/>
          <w:lang w:val="en-US" w:eastAsia="zh-CN"/>
        </w:rPr>
        <w:t>作出如下行政处罚：</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4" w:lineRule="exact"/>
        <w:ind w:left="0" w:leftChars="0" w:right="0" w:firstLine="640" w:firstLineChars="200"/>
        <w:textAlignment w:val="auto"/>
        <w:outlineLvl w:val="9"/>
        <w:rPr>
          <w:rFonts w:hint="eastAsia" w:ascii="Times New Roman" w:hAnsi="Times New Roman" w:eastAsia="方正仿宋_GBK" w:cs="方正仿宋_GBK"/>
          <w:kern w:val="2"/>
          <w:sz w:val="32"/>
          <w:szCs w:val="32"/>
          <w:u w:val="none" w:color="auto"/>
          <w:lang w:val="en-US" w:eastAsia="zh-CN" w:bidi="ar-SA"/>
        </w:rPr>
      </w:pPr>
      <w:r>
        <w:rPr>
          <w:rFonts w:hint="eastAsia" w:ascii="Times New Roman" w:hAnsi="Times New Roman" w:eastAsia="方正仿宋_GBK" w:cs="方正仿宋_GBK"/>
          <w:kern w:val="2"/>
          <w:sz w:val="32"/>
          <w:szCs w:val="32"/>
          <w:u w:val="none" w:color="auto"/>
          <w:lang w:val="en-US" w:eastAsia="zh-CN" w:bidi="ar-SA"/>
        </w:rPr>
        <w:t>罚款叁拾万零柒仟肆佰柒拾伍元整</w:t>
      </w:r>
      <w:r>
        <w:rPr>
          <w:rFonts w:hint="eastAsia" w:eastAsia="方正仿宋_GBK" w:cs="方正仿宋_GBK"/>
          <w:kern w:val="2"/>
          <w:sz w:val="32"/>
          <w:szCs w:val="32"/>
          <w:u w:val="none" w:color="auto"/>
          <w:lang w:val="en-US" w:eastAsia="zh-CN" w:bidi="ar-SA"/>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罚款限于接到本处罚决定书之日起十五日内到指定银行缴纳。请及时与重庆市长寿区生态环境局联系缴款票据开具事宜，联系电话：023-40463595。逾期不缴纳罚款，重庆市长寿区生态环境局将依据《中华人民共和国行政处罚法》第七十二条第一款第一项的规定，可以每日按罚款数额的3﹪加处罚款。</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三、申请行政复议或者提起行政诉讼的途径和期限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如不服本处罚决定，可在收到本处罚决定书之日起六十日内向重庆市长寿区人民政府申请复议，也可在六个月内直接向重庆市渝北区人民法院起诉。申请行政复议或者提起行政诉讼，不停止行政处罚决定的执行。</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 xml:space="preserve">逾期不申请行政复议，也不提起行政诉讼，又不履行本处罚决定的，我单位将依法申请人民法院强制执行。    </w:t>
      </w:r>
    </w:p>
    <w:p>
      <w:pPr>
        <w:spacing w:line="500" w:lineRule="exact"/>
        <w:ind w:firstLine="640" w:firstLineChars="200"/>
        <w:rPr>
          <w:rFonts w:ascii="Times New Roman" w:hAnsi="Times New Roman" w:eastAsia="方正仿宋_GBK"/>
          <w:sz w:val="32"/>
          <w:szCs w:val="32"/>
        </w:rPr>
      </w:pP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p>
    <w:p>
      <w:pPr>
        <w:spacing w:line="500" w:lineRule="exact"/>
        <w:ind w:firstLine="2400" w:firstLineChars="750"/>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重庆市长寿区生态环境</w:t>
      </w:r>
      <w:r>
        <w:rPr>
          <w:rFonts w:hint="eastAsia" w:ascii="Times New Roman" w:hAnsi="Times New Roman" w:eastAsia="方正仿宋_GBK"/>
          <w:sz w:val="32"/>
          <w:szCs w:val="32"/>
          <w:lang w:eastAsia="zh-CN"/>
        </w:rPr>
        <w:t>局</w:t>
      </w:r>
    </w:p>
    <w:p>
      <w:pPr>
        <w:spacing w:line="500" w:lineRule="exact"/>
        <w:ind w:firstLine="640" w:firstLineChars="200"/>
        <w:rPr>
          <w:rFonts w:ascii="Times New Roman" w:hAnsi="Times New Roman" w:cs="Times New Roman"/>
          <w:color w:val="FF0000"/>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19</w:t>
      </w:r>
      <w:r>
        <w:rPr>
          <w:rFonts w:ascii="Times New Roman" w:hAnsi="Times New Roman" w:eastAsia="方正仿宋_GBK"/>
          <w:sz w:val="32"/>
          <w:szCs w:val="32"/>
        </w:rPr>
        <w:t>日</w:t>
      </w:r>
    </w:p>
    <w:sectPr>
      <w:pgSz w:w="11906" w:h="16838"/>
      <w:pgMar w:top="1440" w:right="146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34"/>
    <w:rsid w:val="000003BA"/>
    <w:rsid w:val="00044F67"/>
    <w:rsid w:val="000522ED"/>
    <w:rsid w:val="000A21FB"/>
    <w:rsid w:val="000B5057"/>
    <w:rsid w:val="000C19F7"/>
    <w:rsid w:val="000E58AC"/>
    <w:rsid w:val="00127BC1"/>
    <w:rsid w:val="00152C63"/>
    <w:rsid w:val="001558DA"/>
    <w:rsid w:val="00167A84"/>
    <w:rsid w:val="00173149"/>
    <w:rsid w:val="001955A4"/>
    <w:rsid w:val="0022332E"/>
    <w:rsid w:val="002533C7"/>
    <w:rsid w:val="00260554"/>
    <w:rsid w:val="00266E31"/>
    <w:rsid w:val="002E1D89"/>
    <w:rsid w:val="002E6A2C"/>
    <w:rsid w:val="00310228"/>
    <w:rsid w:val="0038502D"/>
    <w:rsid w:val="003F1BF8"/>
    <w:rsid w:val="00404CF8"/>
    <w:rsid w:val="0043541F"/>
    <w:rsid w:val="00437A4A"/>
    <w:rsid w:val="00471608"/>
    <w:rsid w:val="00472CFF"/>
    <w:rsid w:val="004B4DD3"/>
    <w:rsid w:val="004E029D"/>
    <w:rsid w:val="005304CC"/>
    <w:rsid w:val="00561217"/>
    <w:rsid w:val="00573B98"/>
    <w:rsid w:val="00580C93"/>
    <w:rsid w:val="005B23A3"/>
    <w:rsid w:val="005C2034"/>
    <w:rsid w:val="005C296E"/>
    <w:rsid w:val="005F6660"/>
    <w:rsid w:val="00607F04"/>
    <w:rsid w:val="006111CE"/>
    <w:rsid w:val="00613534"/>
    <w:rsid w:val="00644C65"/>
    <w:rsid w:val="006559C6"/>
    <w:rsid w:val="006573AA"/>
    <w:rsid w:val="006700FB"/>
    <w:rsid w:val="00671105"/>
    <w:rsid w:val="006737F9"/>
    <w:rsid w:val="00676E84"/>
    <w:rsid w:val="006869D8"/>
    <w:rsid w:val="00691847"/>
    <w:rsid w:val="006D7470"/>
    <w:rsid w:val="006F0DD4"/>
    <w:rsid w:val="006F2B83"/>
    <w:rsid w:val="00763F54"/>
    <w:rsid w:val="0079205B"/>
    <w:rsid w:val="00795F64"/>
    <w:rsid w:val="007A059F"/>
    <w:rsid w:val="007A2E07"/>
    <w:rsid w:val="007A3160"/>
    <w:rsid w:val="007A34E4"/>
    <w:rsid w:val="007D00FF"/>
    <w:rsid w:val="00805FCB"/>
    <w:rsid w:val="00822562"/>
    <w:rsid w:val="008239B9"/>
    <w:rsid w:val="008600F8"/>
    <w:rsid w:val="0087796B"/>
    <w:rsid w:val="008F3D0B"/>
    <w:rsid w:val="009011F7"/>
    <w:rsid w:val="00914A3B"/>
    <w:rsid w:val="00937C42"/>
    <w:rsid w:val="00945D7E"/>
    <w:rsid w:val="00954F3E"/>
    <w:rsid w:val="00964690"/>
    <w:rsid w:val="0098512C"/>
    <w:rsid w:val="00994EDF"/>
    <w:rsid w:val="009964AE"/>
    <w:rsid w:val="009B0E6D"/>
    <w:rsid w:val="009C624C"/>
    <w:rsid w:val="009C63CA"/>
    <w:rsid w:val="009D3449"/>
    <w:rsid w:val="009F202B"/>
    <w:rsid w:val="00A30110"/>
    <w:rsid w:val="00A80A9C"/>
    <w:rsid w:val="00A94467"/>
    <w:rsid w:val="00AB0D15"/>
    <w:rsid w:val="00AC7ACA"/>
    <w:rsid w:val="00B226DD"/>
    <w:rsid w:val="00B443AC"/>
    <w:rsid w:val="00B539B2"/>
    <w:rsid w:val="00B7057C"/>
    <w:rsid w:val="00B95568"/>
    <w:rsid w:val="00BA3907"/>
    <w:rsid w:val="00BA553E"/>
    <w:rsid w:val="00BC3930"/>
    <w:rsid w:val="00BC6ACA"/>
    <w:rsid w:val="00C35394"/>
    <w:rsid w:val="00C43B7C"/>
    <w:rsid w:val="00C71BA8"/>
    <w:rsid w:val="00CB2A95"/>
    <w:rsid w:val="00CC6406"/>
    <w:rsid w:val="00CF048B"/>
    <w:rsid w:val="00CF19E2"/>
    <w:rsid w:val="00D16E34"/>
    <w:rsid w:val="00D355EB"/>
    <w:rsid w:val="00D8473E"/>
    <w:rsid w:val="00D86A72"/>
    <w:rsid w:val="00DC3F5A"/>
    <w:rsid w:val="00DD20A3"/>
    <w:rsid w:val="00DD70EF"/>
    <w:rsid w:val="00DE5E01"/>
    <w:rsid w:val="00DF0056"/>
    <w:rsid w:val="00DF6EEA"/>
    <w:rsid w:val="00E06E76"/>
    <w:rsid w:val="00E103DE"/>
    <w:rsid w:val="00E11BDD"/>
    <w:rsid w:val="00E64A4A"/>
    <w:rsid w:val="00E71656"/>
    <w:rsid w:val="00E828A1"/>
    <w:rsid w:val="00EA0AE7"/>
    <w:rsid w:val="00ED7144"/>
    <w:rsid w:val="00F31F7C"/>
    <w:rsid w:val="00F50505"/>
    <w:rsid w:val="00F62BEA"/>
    <w:rsid w:val="00F80F0F"/>
    <w:rsid w:val="00FB43A9"/>
    <w:rsid w:val="06B10F3E"/>
    <w:rsid w:val="07200C2F"/>
    <w:rsid w:val="07D37458"/>
    <w:rsid w:val="08660DD3"/>
    <w:rsid w:val="10B40DB1"/>
    <w:rsid w:val="11F71D01"/>
    <w:rsid w:val="12E44E0E"/>
    <w:rsid w:val="12EB6850"/>
    <w:rsid w:val="1690265E"/>
    <w:rsid w:val="1BB70C87"/>
    <w:rsid w:val="1F814D75"/>
    <w:rsid w:val="1F9E2101"/>
    <w:rsid w:val="200D0EC5"/>
    <w:rsid w:val="20162ACE"/>
    <w:rsid w:val="21920770"/>
    <w:rsid w:val="25C0407C"/>
    <w:rsid w:val="25E113B8"/>
    <w:rsid w:val="27394563"/>
    <w:rsid w:val="28AF6CCE"/>
    <w:rsid w:val="2BE54292"/>
    <w:rsid w:val="2CB815F7"/>
    <w:rsid w:val="2EE92A79"/>
    <w:rsid w:val="30753719"/>
    <w:rsid w:val="37FD60EC"/>
    <w:rsid w:val="38576B45"/>
    <w:rsid w:val="3B400B92"/>
    <w:rsid w:val="3D8157E9"/>
    <w:rsid w:val="3F3A354A"/>
    <w:rsid w:val="3FB2536F"/>
    <w:rsid w:val="406D2642"/>
    <w:rsid w:val="44B930AC"/>
    <w:rsid w:val="45BF2A0F"/>
    <w:rsid w:val="47637BCC"/>
    <w:rsid w:val="489B21E0"/>
    <w:rsid w:val="4DCC036D"/>
    <w:rsid w:val="4E2C56D7"/>
    <w:rsid w:val="5016478A"/>
    <w:rsid w:val="51AC310A"/>
    <w:rsid w:val="522B36DB"/>
    <w:rsid w:val="55A404F1"/>
    <w:rsid w:val="59E97212"/>
    <w:rsid w:val="5ABC1F49"/>
    <w:rsid w:val="5B4B7D53"/>
    <w:rsid w:val="5C4B69FC"/>
    <w:rsid w:val="5CAB1FD9"/>
    <w:rsid w:val="5E4B5BF6"/>
    <w:rsid w:val="60665537"/>
    <w:rsid w:val="60767D50"/>
    <w:rsid w:val="60C475E6"/>
    <w:rsid w:val="624C781C"/>
    <w:rsid w:val="6525268E"/>
    <w:rsid w:val="6592261F"/>
    <w:rsid w:val="664C23E4"/>
    <w:rsid w:val="6CB72263"/>
    <w:rsid w:val="6F876C7B"/>
    <w:rsid w:val="727A70F8"/>
    <w:rsid w:val="768F7791"/>
    <w:rsid w:val="7AEA0B65"/>
    <w:rsid w:val="7B0A21E8"/>
    <w:rsid w:val="7C1A1B9A"/>
    <w:rsid w:val="7CEA520F"/>
    <w:rsid w:val="7F52475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semiHidden/>
    <w:qFormat/>
    <w:locked/>
    <w:uiPriority w:val="99"/>
    <w:rPr>
      <w:rFonts w:ascii="Calibri" w:hAnsi="Calibri" w:cs="Times New Roman"/>
      <w:sz w:val="2"/>
    </w:rPr>
  </w:style>
  <w:style w:type="character" w:customStyle="1" w:styleId="9">
    <w:name w:val="页眉 Char"/>
    <w:link w:val="4"/>
    <w:qFormat/>
    <w:uiPriority w:val="99"/>
    <w:rPr>
      <w:rFonts w:ascii="Calibri" w:hAnsi="Calibri"/>
      <w:kern w:val="2"/>
      <w:sz w:val="18"/>
      <w:szCs w:val="18"/>
    </w:rPr>
  </w:style>
  <w:style w:type="character" w:customStyle="1" w:styleId="10">
    <w:name w:val="页脚 Char"/>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294</Words>
  <Characters>1679</Characters>
  <Lines>13</Lines>
  <Paragraphs>3</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2018-04-20T07:32:00Z</dcterms:created>
  <dc:creator>刘艳</dc:creator>
  <cp:lastModifiedBy>Administrator</cp:lastModifiedBy>
  <cp:lastPrinted>2025-09-18T03:19:00Z</cp:lastPrinted>
  <dcterms:modified xsi:type="dcterms:W3CDTF">2025-09-22T02:47:11Z</dcterms:modified>
  <dc:title>重庆市长寿区环境行政执法支队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