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重庆市长寿区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石堰镇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关于废止部分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政府规范性文件的决定</w:t>
      </w:r>
    </w:p>
    <w:p>
      <w:pPr>
        <w:shd w:val="clear" w:color="auto" w:fill="FFFFFF"/>
        <w:spacing w:line="578" w:lineRule="exact"/>
        <w:jc w:val="center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石堰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府发〔202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号</w:t>
      </w:r>
    </w:p>
    <w:p>
      <w:pPr>
        <w:shd w:val="clear" w:color="auto" w:fill="FFFFFF"/>
        <w:spacing w:line="540" w:lineRule="exact"/>
        <w:rPr>
          <w:rFonts w:ascii="Times New Roman" w:hAnsi="Times New Roman" w:eastAsia="方正仿宋_GBK" w:cs="Times New Roman"/>
          <w:sz w:val="44"/>
          <w:szCs w:val="44"/>
        </w:rPr>
      </w:pPr>
    </w:p>
    <w:p>
      <w:pPr>
        <w:numPr>
          <w:ilvl w:val="0"/>
          <w:numId w:val="0"/>
        </w:numPr>
        <w:shd w:val="clear" w:color="auto" w:fill="FFFFFF"/>
        <w:spacing w:line="560" w:lineRule="exact"/>
        <w:ind w:firstLine="0" w:firstLineChars="0"/>
        <w:jc w:val="left"/>
        <w:rPr>
          <w:rFonts w:ascii="Times New Roman" w:hAnsi="Times New Roman" w:eastAsia="方正仿宋_GBK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村（居）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镇属各部门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2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镇第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18次党委会议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审定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《关于印发石堰镇打击假冒特种行业操作证专项治理行动方案的通知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石堰府发〔2018〕51号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20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20"/>
        </w:rPr>
        <w:t>件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石堰镇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政府规范性文件</w:t>
      </w:r>
      <w:r>
        <w:rPr>
          <w:rFonts w:ascii="Times New Roman" w:hAnsi="Times New Roman" w:eastAsia="方正仿宋_GBK" w:cs="Times New Roman"/>
          <w:sz w:val="32"/>
          <w:szCs w:val="20"/>
        </w:rPr>
        <w:t>予以废止，自本决定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公布</w:t>
      </w:r>
      <w:r>
        <w:rPr>
          <w:rFonts w:ascii="Times New Roman" w:hAnsi="Times New Roman" w:eastAsia="方正仿宋_GBK" w:cs="Times New Roman"/>
          <w:sz w:val="32"/>
          <w:szCs w:val="20"/>
        </w:rPr>
        <w:t>之日起不再施行。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：</w:t>
      </w:r>
      <w:r>
        <w:rPr>
          <w:rFonts w:ascii="Times New Roman" w:hAnsi="Times New Roman" w:eastAsia="方正仿宋_GBK" w:cs="Times New Roman"/>
          <w:sz w:val="32"/>
          <w:szCs w:val="20"/>
        </w:rPr>
        <w:t>废止的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石堰镇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政府</w:t>
      </w:r>
      <w:r>
        <w:rPr>
          <w:rFonts w:ascii="Times New Roman" w:hAnsi="Times New Roman" w:eastAsia="方正仿宋_GBK" w:cs="Times New Roman"/>
          <w:sz w:val="32"/>
          <w:szCs w:val="20"/>
        </w:rPr>
        <w:t>规范性文件目录</w:t>
      </w:r>
    </w:p>
    <w:p>
      <w:pPr>
        <w:shd w:val="clear" w:color="auto" w:fill="FFFFFF"/>
        <w:spacing w:line="56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 xml:space="preserve">                             </w:t>
      </w:r>
    </w:p>
    <w:p>
      <w:pPr>
        <w:shd w:val="clear" w:color="auto" w:fill="FFFFFF"/>
        <w:spacing w:line="560" w:lineRule="exact"/>
        <w:jc w:val="center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重庆市长寿区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石堰镇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人民政府</w:t>
      </w:r>
    </w:p>
    <w:p>
      <w:pPr>
        <w:shd w:val="clear" w:color="auto" w:fill="FFFFFF"/>
        <w:spacing w:line="560" w:lineRule="exact"/>
        <w:ind w:right="840" w:rightChars="4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280" w:firstLineChars="1650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280" w:firstLineChars="1650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280" w:firstLineChars="1650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280" w:firstLineChars="1650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280" w:firstLineChars="1650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280" w:firstLineChars="1650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</w:p>
    <w:p>
      <w:pPr>
        <w:shd w:val="clear" w:color="auto" w:fill="FFFFFF"/>
        <w:spacing w:line="578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hd w:val="clear" w:color="auto" w:fill="FFFFFF"/>
        <w:spacing w:line="578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废止的</w:t>
      </w:r>
      <w:r>
        <w:rPr>
          <w:rFonts w:hint="eastAsia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石堰镇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政府规范性文件目录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1.关于印发《石堰镇打击假冒特种行业操作证专项治理行动方案》的通知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石堰府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〔2018〕51号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关于进一步加强脱贫攻坚义务教育保障工作的通知（石堰府发〔2020〕48号）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3.关于印发《重庆市长寿区石堰镇养殖池塘尾水治理方案》的通知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（石堰府发〔2020〕53号）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-SA"/>
        </w:rPr>
        <w:t>4.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关于印发《长寿区石堰镇水产养殖用投入品专项整治三年行动实施方案的通知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（石堰府发〔2021〕26号）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5.关于印发《石堰镇农村生活垃圾分类示范村创建工作实施方案》的通知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（石堰府发〔2021〕32号）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6.关于加强耕地撂荒整治利用工作的通知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（石堰府发〔2022〕30号）</w:t>
      </w: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7.关于印发石堰镇自建房屋隐患排查整治工作方案的通知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（石堰府发〔2022〕41号）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    </w: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3200" w:firstLineChars="1000"/>
      <w:jc w:val="left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石堰镇人民政府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布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石堰镇人民政府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01D69DA"/>
    <w:rsid w:val="019E71BD"/>
    <w:rsid w:val="041C42DA"/>
    <w:rsid w:val="04B679C3"/>
    <w:rsid w:val="05270D73"/>
    <w:rsid w:val="05F07036"/>
    <w:rsid w:val="062E6483"/>
    <w:rsid w:val="06E00104"/>
    <w:rsid w:val="080F63D8"/>
    <w:rsid w:val="09341458"/>
    <w:rsid w:val="098254C2"/>
    <w:rsid w:val="0A700602"/>
    <w:rsid w:val="0A766EDE"/>
    <w:rsid w:val="0AD64BE8"/>
    <w:rsid w:val="0B0912D7"/>
    <w:rsid w:val="0E025194"/>
    <w:rsid w:val="10AC1EAA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62C7AA0"/>
    <w:rsid w:val="29A074FB"/>
    <w:rsid w:val="2AEB3417"/>
    <w:rsid w:val="313B07EE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417B75E9"/>
    <w:rsid w:val="42F058B7"/>
    <w:rsid w:val="436109F6"/>
    <w:rsid w:val="43B72151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7915306"/>
    <w:rsid w:val="5B8D42E2"/>
    <w:rsid w:val="5DC34279"/>
    <w:rsid w:val="5FCD688E"/>
    <w:rsid w:val="5FF9BDAA"/>
    <w:rsid w:val="608816D1"/>
    <w:rsid w:val="60EF4E7F"/>
    <w:rsid w:val="62857768"/>
    <w:rsid w:val="648B0A32"/>
    <w:rsid w:val="64F51CDF"/>
    <w:rsid w:val="65A31A8A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250AB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widowControl/>
      <w:spacing w:line="560" w:lineRule="exact"/>
      <w:jc w:val="left"/>
    </w:pPr>
    <w:rPr>
      <w:rFonts w:ascii="方正仿宋_GBK" w:hAnsi="ˎ̥" w:eastAsia="方正仿宋_GBK"/>
      <w:color w:val="000000"/>
      <w:kern w:val="0"/>
      <w:sz w:val="32"/>
      <w:szCs w:val="23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6">
    <w:name w:val="ca-7"/>
    <w:qFormat/>
    <w:uiPriority w:val="0"/>
  </w:style>
  <w:style w:type="paragraph" w:customStyle="1" w:styleId="17">
    <w:name w:val="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963</Characters>
  <Lines>1</Lines>
  <Paragraphs>1</Paragraphs>
  <TotalTime>1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2023-08-21T07:12:16Z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1C20730F559E4B55BDBB87994C8D762B_13</vt:lpwstr>
  </property>
</Properties>
</file>