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7jQ&#10;ydYAAAALAQAADwAAAAAAAAABACAAAAAiAAAAZHJzL2Rvd25yZXYueG1sUEsBAhQAFAAAAAgAh07i&#10;QE1V1jBdAgAApwQAAA4AAAAAAAAAAQAgAAAAJQEAAGRycy9lMm9Eb2MueG1sUEsFBgAAAAAGAAYA&#10;WQEAAPQ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2"/>
          <w:rFonts w:ascii="Times New Roman" w:hAnsi="Times New Roman" w:eastAsia="方正小标宋_GBK" w:cs="Times New Roman"/>
          <w:b w:val="0"/>
          <w:kern w:val="2"/>
          <w:sz w:val="44"/>
          <w:szCs w:val="44"/>
          <w:shd w:val="clear" w:color="auto" w:fill="FFFFFF"/>
        </w:rPr>
      </w:pPr>
      <w:r>
        <w:rPr>
          <w:rStyle w:val="12"/>
          <w:rFonts w:ascii="Times New Roman" w:hAnsi="方正小标宋_GBK" w:eastAsia="方正小标宋_GBK" w:cs="Times New Roman"/>
          <w:b w:val="0"/>
          <w:kern w:val="2"/>
          <w:sz w:val="44"/>
          <w:szCs w:val="44"/>
          <w:shd w:val="clear" w:color="auto" w:fill="FFFFFF"/>
        </w:rPr>
        <w:t>重庆市长寿区凤城街道办事处</w:t>
      </w:r>
    </w:p>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cs="Times New Roman"/>
        </w:rPr>
      </w:pPr>
      <w:r>
        <w:rPr>
          <w:rStyle w:val="12"/>
          <w:rFonts w:ascii="Times New Roman" w:hAnsi="方正小标宋_GBK" w:eastAsia="方正小标宋_GBK" w:cs="Times New Roman"/>
          <w:b w:val="0"/>
          <w:kern w:val="2"/>
          <w:sz w:val="44"/>
          <w:szCs w:val="44"/>
          <w:shd w:val="clear" w:color="auto" w:fill="FFFFFF"/>
        </w:rPr>
        <w:t>关于</w:t>
      </w:r>
      <w:r>
        <w:rPr>
          <w:rStyle w:val="12"/>
          <w:rFonts w:hint="eastAsia" w:ascii="Times New Roman" w:hAnsi="方正小标宋_GBK" w:eastAsia="方正小标宋_GBK" w:cs="Times New Roman"/>
          <w:b w:val="0"/>
          <w:kern w:val="2"/>
          <w:sz w:val="44"/>
          <w:szCs w:val="44"/>
          <w:shd w:val="clear" w:color="auto" w:fill="FFFFFF"/>
        </w:rPr>
        <w:t>加强耕地和永久基本农田保护工作</w:t>
      </w:r>
      <w:r>
        <w:rPr>
          <w:rStyle w:val="12"/>
          <w:rFonts w:ascii="Times New Roman" w:hAnsi="方正小标宋_GBK" w:eastAsia="方正小标宋_GBK" w:cs="Times New Roman"/>
          <w:b w:val="0"/>
          <w:kern w:val="2"/>
          <w:sz w:val="44"/>
          <w:szCs w:val="44"/>
          <w:shd w:val="clear" w:color="auto" w:fill="FFFFFF"/>
        </w:rPr>
        <w:t>的通知</w:t>
      </w:r>
    </w:p>
    <w:p>
      <w:pPr>
        <w:pageBreakBefore w:val="0"/>
        <w:widowControl/>
        <w:kinsoku/>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sz w:val="44"/>
          <w:szCs w:val="44"/>
          <w:shd w:val="clear" w:color="auto" w:fill="FFFFFF"/>
        </w:rPr>
      </w:pPr>
      <w:r>
        <w:rPr>
          <w:rFonts w:hint="default" w:ascii="Times New Roman" w:hAnsi="Times New Roman" w:eastAsia="方正仿宋_GBK" w:cs="Times New Roman"/>
          <w:sz w:val="32"/>
          <w:szCs w:val="32"/>
        </w:rPr>
        <w:t>凤城办发〔2021〕50号</w:t>
      </w:r>
    </w:p>
    <w:p>
      <w:pPr>
        <w:pageBreakBefore w:val="0"/>
        <w:kinsoku/>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宋体" w:cs="Times New Roman"/>
          <w:sz w:val="44"/>
          <w:szCs w:val="44"/>
          <w:shd w:val="clear" w:color="auto" w:fill="FFFFFF"/>
        </w:rPr>
      </w:pPr>
    </w:p>
    <w:p>
      <w:pPr>
        <w:pageBreakBefore w:val="0"/>
        <w:kinsoku/>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各村，各</w:t>
      </w:r>
      <w:r>
        <w:rPr>
          <w:rFonts w:hint="default" w:ascii="Times New Roman" w:hAnsi="Times New Roman" w:eastAsia="方正仿宋_GBK" w:cs="Times New Roman"/>
          <w:sz w:val="32"/>
          <w:szCs w:val="32"/>
          <w:shd w:val="clear" w:color="auto" w:fill="FFFFFF"/>
        </w:rPr>
        <w:t>办（中心、站、所、大队）</w:t>
      </w:r>
      <w:r>
        <w:rPr>
          <w:rFonts w:hint="default" w:ascii="Times New Roman" w:hAnsi="Times New Roman" w:eastAsia="方正仿宋_GBK" w:cs="Times New Roman"/>
          <w:kern w:val="0"/>
          <w:sz w:val="32"/>
          <w:szCs w:val="32"/>
          <w:shd w:val="clear" w:color="auto" w:fill="FFFFFF"/>
        </w:rPr>
        <w:t>：</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为加强国土空间规划用途管控，坚守耕地保护红线和生态保护红线，</w:t>
      </w:r>
      <w:r>
        <w:rPr>
          <w:rFonts w:hint="default" w:ascii="Times New Roman" w:hAnsi="Times New Roman" w:eastAsia="方正仿宋_GBK" w:cs="Times New Roman"/>
          <w:sz w:val="32"/>
          <w:szCs w:val="32"/>
          <w:shd w:val="clear" w:color="auto" w:fill="FFFFFF"/>
        </w:rPr>
        <w:t>建立健全永久基本农田长效机制，全面落实特殊保护制度，巩固划定成果，有效解决非法占用问题，夯实保护措施，提高监管水平和落实动态巡查制度。现就加强耕地和永久基本农田保护工作通知如下：</w:t>
      </w:r>
    </w:p>
    <w:p>
      <w:pPr>
        <w:pStyle w:val="9"/>
        <w:pageBreakBefore w:val="0"/>
        <w:widowControl/>
        <w:numPr>
          <w:ilvl w:val="0"/>
          <w:numId w:val="0"/>
        </w:numPr>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黑体_GBK" w:cs="Times New Roman"/>
          <w:b w:val="0"/>
          <w:bCs w:val="0"/>
          <w:sz w:val="32"/>
          <w:szCs w:val="32"/>
          <w:shd w:val="clear" w:color="auto" w:fill="FFFFFF"/>
        </w:rPr>
      </w:pPr>
      <w:r>
        <w:rPr>
          <w:rFonts w:hint="eastAsia" w:ascii="Times New Roman" w:hAnsi="Times New Roman" w:eastAsia="方正黑体_GBK" w:cs="Times New Roman"/>
          <w:b w:val="0"/>
          <w:bCs w:val="0"/>
          <w:sz w:val="32"/>
          <w:szCs w:val="32"/>
          <w:shd w:val="clear" w:color="auto" w:fill="FFFFFF"/>
          <w:lang w:val="en-US" w:eastAsia="zh-CN"/>
        </w:rPr>
        <w:t>一、</w:t>
      </w:r>
      <w:r>
        <w:rPr>
          <w:rFonts w:hint="default" w:ascii="Times New Roman" w:hAnsi="Times New Roman" w:eastAsia="方正黑体_GBK" w:cs="Times New Roman"/>
          <w:b w:val="0"/>
          <w:bCs w:val="0"/>
          <w:sz w:val="32"/>
          <w:szCs w:val="32"/>
          <w:shd w:val="clear" w:color="auto" w:fill="FFFFFF"/>
        </w:rPr>
        <w:t>基本原则</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bCs/>
          <w:sz w:val="32"/>
          <w:szCs w:val="32"/>
          <w:shd w:val="clear" w:color="auto" w:fill="FFFFFF"/>
        </w:rPr>
        <w:t>坚持从严保护原则</w:t>
      </w:r>
      <w:r>
        <w:rPr>
          <w:rFonts w:hint="default" w:ascii="Times New Roman" w:hAnsi="Times New Roman" w:eastAsia="方正仿宋_GBK" w:cs="Times New Roman"/>
          <w:sz w:val="32"/>
          <w:szCs w:val="32"/>
          <w:shd w:val="clear" w:color="auto" w:fill="FFFFFF"/>
        </w:rPr>
        <w:t>。坚守十分珍惜、合理利用土地和切实保护耕地的基本国策，牢固树立山水林田湖草是一个生命共同体理念，强化永久基本农田特殊保护意识，将永久基本农田保护摆在工作突出位置，严格控制非农建设占用。</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bCs/>
          <w:sz w:val="32"/>
          <w:szCs w:val="32"/>
          <w:shd w:val="clear" w:color="auto" w:fill="FFFFFF"/>
        </w:rPr>
        <w:t>坚持底线思维原则</w:t>
      </w:r>
      <w:r>
        <w:rPr>
          <w:rFonts w:hint="default" w:ascii="Times New Roman" w:hAnsi="Times New Roman" w:eastAsia="方正仿宋_GBK" w:cs="Times New Roman"/>
          <w:sz w:val="32"/>
          <w:szCs w:val="32"/>
          <w:shd w:val="clear" w:color="auto" w:fill="FFFFFF"/>
        </w:rPr>
        <w:t>。坚守土地公有制性质不改变、耕地红线不突破、粮食生产能力不降低、农民利益不受损底线，永久基本农田一经划定，纳入国土空间规划，任何单位和个人不得擅自占用或改变用途。</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坚持问题导向原则。</w:t>
      </w:r>
      <w:r>
        <w:rPr>
          <w:rFonts w:hint="default" w:ascii="Times New Roman" w:hAnsi="Times New Roman" w:eastAsia="方正仿宋_GBK" w:cs="Times New Roman"/>
          <w:sz w:val="32"/>
          <w:szCs w:val="32"/>
          <w:shd w:val="clear" w:color="auto" w:fill="FFFFFF"/>
        </w:rPr>
        <w:t>对永久基本农田非法占用、查处不力的问题，查明情况，分析原因，提出分类处置措施，落实整改，严肃问责，确保永久基本农田数量不减、质量提升、布局稳定。</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shd w:val="clear" w:color="auto" w:fill="FFFFFF"/>
        </w:rPr>
        <w:t>坚持权责一致原则。</w:t>
      </w:r>
      <w:r>
        <w:rPr>
          <w:rFonts w:hint="default" w:ascii="Times New Roman" w:hAnsi="Times New Roman" w:eastAsia="方正仿宋_GBK" w:cs="Times New Roman"/>
          <w:sz w:val="32"/>
          <w:szCs w:val="32"/>
          <w:shd w:val="clear" w:color="auto" w:fill="FFFFFF"/>
        </w:rPr>
        <w:t>充分发挥街道领导作用，完善监督考核制度，各村书记承担耕地保护第一责任人的责任，健全管控、建设和激励多措并举的保护机制。</w:t>
      </w:r>
    </w:p>
    <w:p>
      <w:pPr>
        <w:pStyle w:val="9"/>
        <w:pageBreakBefore w:val="0"/>
        <w:widowControl/>
        <w:numPr>
          <w:ilvl w:val="0"/>
          <w:numId w:val="0"/>
        </w:numPr>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黑体_GBK" w:cs="Times New Roman"/>
          <w:b w:val="0"/>
          <w:bCs/>
          <w:sz w:val="32"/>
          <w:szCs w:val="32"/>
          <w:shd w:val="clear" w:color="auto" w:fill="FFFFFF"/>
        </w:rPr>
      </w:pPr>
      <w:r>
        <w:rPr>
          <w:rFonts w:hint="eastAsia" w:ascii="Times New Roman" w:hAnsi="Times New Roman" w:eastAsia="方正黑体_GBK" w:cs="Times New Roman"/>
          <w:b w:val="0"/>
          <w:bCs/>
          <w:sz w:val="32"/>
          <w:szCs w:val="32"/>
          <w:shd w:val="clear" w:color="auto" w:fill="FFFFFF"/>
          <w:lang w:val="en-US" w:eastAsia="zh-CN"/>
        </w:rPr>
        <w:t>二、</w:t>
      </w:r>
      <w:r>
        <w:rPr>
          <w:rFonts w:hint="default" w:ascii="Times New Roman" w:hAnsi="Times New Roman" w:eastAsia="方正黑体_GBK" w:cs="Times New Roman"/>
          <w:b w:val="0"/>
          <w:bCs/>
          <w:sz w:val="32"/>
          <w:szCs w:val="32"/>
          <w:shd w:val="clear" w:color="auto" w:fill="FFFFFF"/>
        </w:rPr>
        <w:t>工作要求</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（一）落实巡查主体责任</w:t>
      </w: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1.压实属地村社协管责任。村书记为属地</w:t>
      </w:r>
      <w:r>
        <w:rPr>
          <w:rFonts w:hint="default" w:ascii="Times New Roman" w:hAnsi="Times New Roman" w:eastAsia="方正仿宋_GBK" w:cs="Times New Roman"/>
          <w:sz w:val="32"/>
          <w:szCs w:val="32"/>
          <w:shd w:val="clear" w:color="auto" w:fill="FFFFFF"/>
        </w:rPr>
        <w:t>动态巡查</w:t>
      </w:r>
      <w:r>
        <w:rPr>
          <w:rFonts w:hint="default" w:ascii="Times New Roman" w:hAnsi="Times New Roman" w:eastAsia="方正仿宋_GBK" w:cs="Times New Roman"/>
          <w:sz w:val="32"/>
          <w:szCs w:val="32"/>
        </w:rPr>
        <w:t>第一责任人，协管员为直接责任人。设立村级规划和自然资源协管员，由村干部、村民组长兼任，负责日常巡查、宣传法律政策发动群众举报违法行为、及时发现制止报告违法行为等职责，协助</w:t>
      </w:r>
      <w:r>
        <w:rPr>
          <w:rFonts w:hint="default" w:ascii="Times New Roman" w:hAnsi="Times New Roman" w:eastAsia="方正仿宋_GBK" w:cs="Times New Roman"/>
          <w:sz w:val="32"/>
          <w:szCs w:val="32"/>
          <w:shd w:val="clear" w:color="auto" w:fill="FFFFFF"/>
        </w:rPr>
        <w:t>耕地和永久基本农田保护</w:t>
      </w:r>
      <w:r>
        <w:rPr>
          <w:rFonts w:hint="default" w:ascii="Times New Roman" w:hAnsi="Times New Roman" w:eastAsia="方正仿宋_GBK" w:cs="Times New Roman"/>
          <w:sz w:val="32"/>
          <w:szCs w:val="32"/>
        </w:rPr>
        <w:t>管理工作。</w:t>
      </w: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2.实行行业管理一岗双责。各办（中心、站、所）负责人为行业</w:t>
      </w:r>
      <w:r>
        <w:rPr>
          <w:rFonts w:hint="default" w:ascii="Times New Roman" w:hAnsi="Times New Roman" w:eastAsia="方正仿宋_GBK" w:cs="Times New Roman"/>
          <w:sz w:val="32"/>
          <w:szCs w:val="32"/>
          <w:shd w:val="clear" w:color="auto" w:fill="FFFFFF"/>
        </w:rPr>
        <w:t>动态巡查</w:t>
      </w:r>
      <w:r>
        <w:rPr>
          <w:rFonts w:hint="default" w:ascii="Times New Roman" w:hAnsi="Times New Roman" w:eastAsia="方正仿宋_GBK" w:cs="Times New Roman"/>
          <w:sz w:val="32"/>
          <w:szCs w:val="32"/>
        </w:rPr>
        <w:t>第一责任人，管理员为直接责任人。各办（中心、站、所）管理人员不仅负责本行业业务管理工作，还要做好各自领域内</w:t>
      </w:r>
      <w:r>
        <w:rPr>
          <w:rFonts w:hint="default" w:ascii="Times New Roman" w:hAnsi="Times New Roman" w:eastAsia="方正仿宋_GBK" w:cs="Times New Roman"/>
          <w:sz w:val="32"/>
          <w:szCs w:val="32"/>
          <w:shd w:val="clear" w:color="auto" w:fill="FFFFFF"/>
        </w:rPr>
        <w:t>耕地和永久基本农田保护</w:t>
      </w:r>
      <w:r>
        <w:rPr>
          <w:rFonts w:hint="default" w:ascii="Times New Roman" w:hAnsi="Times New Roman" w:eastAsia="方正仿宋_GBK" w:cs="Times New Roman"/>
          <w:sz w:val="32"/>
          <w:szCs w:val="32"/>
        </w:rPr>
        <w:t>动态巡查工作，加强与各自区级主管部门协同配合，依法查处破坏规划和自然资源违法行为，指导街道开展动态巡查处置工作。</w:t>
      </w: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推行规划用地合法论证。各村、各办（中心、站、所）、在永久基本农田保护、土地流转备案审查、涉农工程监管等方面加强沟通，配合区级有关部门以及各平台公司在项目核准前应当对规划用地合法性进行论证，对涉嫌违法用地的主动规避不予核准，依法严格审批核准项目，确保项目规划用地合法。</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（二）明确巡查重点区域</w:t>
      </w: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土地利用总体规划、矿产资源总体规划、城乡规划和土地利用现状，结合当地情况，对所辖区域划分不同等级的巡查区，实行动态巡查。重点巡查区域为永久基本农田保护区、长江流域保护区、河湖水域保护区、生态保护红线区、风景名胜区、城乡接合部、重要交通沿线以及重要地质灾害隐患点、重点项目建设区域。一般巡查区域为一般农用地、村级道路两侧、已经审批的用地区域、已关闭矿山。</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（三）坚持巡查频率</w:t>
      </w:r>
    </w:p>
    <w:p>
      <w:pPr>
        <w:pStyle w:val="17"/>
        <w:pageBreakBefore w:val="0"/>
        <w:widowControl w:val="0"/>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kern w:val="2"/>
          <w:sz w:val="32"/>
          <w:szCs w:val="32"/>
        </w:rPr>
        <w:t>至少每周巡查1次，</w:t>
      </w:r>
      <w:r>
        <w:rPr>
          <w:rFonts w:hint="default" w:ascii="Times New Roman" w:hAnsi="Times New Roman" w:eastAsia="方正仿宋_GBK" w:cs="Times New Roman"/>
          <w:sz w:val="32"/>
          <w:szCs w:val="32"/>
        </w:rPr>
        <w:t>各办（中心、站、所）、有关单位</w:t>
      </w:r>
      <w:r>
        <w:rPr>
          <w:rFonts w:hint="default" w:ascii="Times New Roman" w:hAnsi="Times New Roman" w:eastAsia="方正仿宋_GBK" w:cs="Times New Roman"/>
          <w:kern w:val="2"/>
          <w:sz w:val="32"/>
          <w:szCs w:val="32"/>
        </w:rPr>
        <w:t>至少每月巡查2次，街道主要领导和各行业分管领导至少每季抽查1次。另外，根据工作需要及时开展专项检查。违法行为多发、地质灾害高发区，加大动态巡查力度。</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（四）完善巡查内容</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动态巡查应当及时发现以下违法行为：未经批准非法占用土地或者进行建设的，如土地流转后，在实际使用土地过程中，存在非法占用土地，尤其是非法占用甚至破坏永久基本农田的；占用耕地建坟或者擅自在耕地上建房、挖砂、采石、采矿、取土等；占用永久基本农田建房、建坟、挖砂、采石、采矿、取土、堆放固体废弃物、发展林果业、挖塘养鱼或者从事其他活动破坏永久基本农田的；无证勘查、开采和越界开采矿产资源的；临时用地超过使用期限的；设施农用地改变备案用途的；</w:t>
      </w:r>
      <w:r>
        <w:rPr>
          <w:rFonts w:hint="default" w:ascii="Times New Roman" w:hAnsi="Times New Roman" w:eastAsia="方正仿宋_GBK" w:cs="Times New Roman"/>
          <w:sz w:val="32"/>
          <w:szCs w:val="32"/>
          <w:shd w:val="clear" w:color="auto" w:fill="FFFFFF"/>
        </w:rPr>
        <w:t>在地质灾害危险区、极易发区或直接威胁区域内从事与地质灾害防治无关的爆破、削坡、工程建设等活动的；</w:t>
      </w:r>
      <w:r>
        <w:rPr>
          <w:rFonts w:hint="default" w:ascii="Times New Roman" w:hAnsi="Times New Roman" w:eastAsia="方正仿宋_GBK" w:cs="Times New Roman"/>
          <w:snapToGrid w:val="0"/>
          <w:kern w:val="0"/>
          <w:sz w:val="32"/>
          <w:szCs w:val="32"/>
        </w:rPr>
        <w:t>法律规定其他占用或者破坏规划和自然资源的违法行为。</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（五）规范巡查记录</w:t>
      </w:r>
    </w:p>
    <w:p>
      <w:pPr>
        <w:pageBreakBefore w:val="0"/>
        <w:kinsoku/>
        <w:overflowPunct/>
        <w:topLinePunct w:val="0"/>
        <w:autoSpaceDE/>
        <w:autoSpaceDN/>
        <w:bidi w:val="0"/>
        <w:adjustRightInd/>
        <w:snapToGrid/>
        <w:spacing w:beforeAutospacing="0" w:afterAutospacing="0" w:line="600" w:lineRule="exact"/>
        <w:ind w:firstLine="64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巡查人员应当做好巡查记录并及时填写巡查台账。巡查结束后，应当继续跟踪后续情况，及时更新相关信息，同时注意保管好巡查台账和巡查记录。巡查台账和巡查记录应当包括巡查时间、巡查人员、巡查路线、巡查项目、违法项目主体或名称、违法地点、违法现状、制止措施、制止效果、后续处理等基本内容。</w:t>
      </w:r>
    </w:p>
    <w:p>
      <w:pPr>
        <w:pStyle w:val="9"/>
        <w:pageBreakBefore w:val="0"/>
        <w:widowControl/>
        <w:numPr>
          <w:ilvl w:val="0"/>
          <w:numId w:val="0"/>
        </w:numPr>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黑体_GBK" w:cs="Times New Roman"/>
          <w:b w:val="0"/>
          <w:bCs/>
          <w:sz w:val="32"/>
          <w:szCs w:val="32"/>
          <w:shd w:val="clear" w:color="auto" w:fill="FFFFFF"/>
        </w:rPr>
      </w:pPr>
      <w:r>
        <w:rPr>
          <w:rFonts w:hint="eastAsia" w:ascii="Times New Roman" w:hAnsi="Times New Roman" w:eastAsia="方正黑体_GBK" w:cs="Times New Roman"/>
          <w:b w:val="0"/>
          <w:bCs/>
          <w:sz w:val="32"/>
          <w:szCs w:val="32"/>
          <w:shd w:val="clear" w:color="auto" w:fill="FFFFFF"/>
          <w:lang w:val="en-US" w:eastAsia="zh-CN"/>
        </w:rPr>
        <w:t>三、</w:t>
      </w:r>
      <w:r>
        <w:rPr>
          <w:rFonts w:hint="default" w:ascii="Times New Roman" w:hAnsi="Times New Roman" w:eastAsia="方正黑体_GBK" w:cs="Times New Roman"/>
          <w:b w:val="0"/>
          <w:bCs/>
          <w:sz w:val="32"/>
          <w:szCs w:val="32"/>
          <w:shd w:val="clear" w:color="auto" w:fill="FFFFFF"/>
        </w:rPr>
        <w:t>强化督查考核</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shd w:val="clear" w:color="auto" w:fill="FFFFFF"/>
        </w:rPr>
        <w:t>（一）强化目标责任考核。</w:t>
      </w:r>
      <w:r>
        <w:rPr>
          <w:rFonts w:hint="default" w:ascii="Times New Roman" w:hAnsi="Times New Roman" w:eastAsia="方正仿宋_GBK" w:cs="Times New Roman"/>
          <w:sz w:val="32"/>
          <w:szCs w:val="32"/>
          <w:shd w:val="clear" w:color="auto" w:fill="FFFFFF"/>
        </w:rPr>
        <w:t>按照耕地保护责任目标考核办法要求，街道办事处与有关村签订耕地和永久基本农田保护目标责任书，层层落实保护责任目标，将耕地和永久基本农田保护情况列入街道对有关村耕地保护责任目标考核的重要内容。</w:t>
      </w:r>
      <w:r>
        <w:rPr>
          <w:rFonts w:hint="default" w:ascii="Times New Roman" w:hAnsi="Times New Roman" w:eastAsia="方正仿宋_GBK" w:cs="Times New Roman"/>
          <w:bCs/>
          <w:sz w:val="32"/>
          <w:szCs w:val="32"/>
          <w:shd w:val="clear" w:color="auto" w:fill="FFFFFF"/>
        </w:rPr>
        <w:t>街道现有耕地保护面积为17987.79亩，其中白庙村2107.31亩、复元村3720.97亩、古佛村2854.47亩、过滩村575.24亩、陵园村27.54亩、永丰村3718.42亩、长风村3061.18亩、走马村1902.65亩；永久基本农田保护面积为13677.18亩，其中白庙村1263.99亩、复元村3110.49亩、古佛村1631.82亩、过滩村42.57亩、陵园村3.02亩、永丰村3319.08亩、长风村2743.46亩、走马村1562.75亩。</w:t>
      </w:r>
    </w:p>
    <w:p>
      <w:pPr>
        <w:pStyle w:val="9"/>
        <w:pageBreakBefore w:val="0"/>
        <w:widowControl/>
        <w:shd w:val="clear" w:color="auto" w:fill="FFFFFF"/>
        <w:kinsoku/>
        <w:overflowPunct/>
        <w:topLinePunct w:val="0"/>
        <w:autoSpaceDE/>
        <w:autoSpaceDN/>
        <w:bidi w:val="0"/>
        <w:adjustRightInd/>
        <w:snapToGrid/>
        <w:spacing w:beforeAutospacing="0" w:afterAutospacing="0" w:line="600" w:lineRule="exact"/>
        <w:ind w:firstLine="740" w:firstLineChars="231"/>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sz w:val="32"/>
          <w:szCs w:val="32"/>
          <w:shd w:val="clear" w:color="auto" w:fill="FFFFFF"/>
        </w:rPr>
        <w:t>（二）规范永久基本农田上农业生产活动。</w:t>
      </w:r>
      <w:r>
        <w:rPr>
          <w:rFonts w:hint="default" w:ascii="Times New Roman" w:hAnsi="Times New Roman" w:eastAsia="方正仿宋_GBK" w:cs="Times New Roman"/>
          <w:sz w:val="32"/>
          <w:szCs w:val="32"/>
          <w:shd w:val="clear" w:color="auto" w:fill="FFFFFF"/>
        </w:rPr>
        <w:t>永久基本农田不得种植破坏耕作层难以恢复的用于绿化装饰的植物，不得种植其他破坏耕作层的植物。已经种植的，能恢复粮食作物生产的，由各村负责组织农户或业主恢复。</w:t>
      </w:r>
    </w:p>
    <w:p>
      <w:pPr>
        <w:pStyle w:val="9"/>
        <w:pageBreakBefore w:val="0"/>
        <w:widowControl/>
        <w:numPr>
          <w:ilvl w:val="0"/>
          <w:numId w:val="1"/>
        </w:numPr>
        <w:shd w:val="clear" w:color="auto" w:fill="FFFFFF"/>
        <w:kinsoku/>
        <w:overflowPunct/>
        <w:topLinePunct w:val="0"/>
        <w:autoSpaceDE/>
        <w:autoSpaceDN/>
        <w:bidi w:val="0"/>
        <w:adjustRightInd/>
        <w:snapToGrid/>
        <w:spacing w:beforeAutospacing="0" w:afterAutospacing="0" w:line="600" w:lineRule="exact"/>
        <w:ind w:firstLine="740" w:firstLineChars="231"/>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shd w:val="clear" w:color="auto" w:fill="FFFFFF"/>
        </w:rPr>
        <w:t>依法处置违法违规建设占用问题。</w:t>
      </w:r>
      <w:r>
        <w:rPr>
          <w:rFonts w:hint="default" w:ascii="Times New Roman" w:hAnsi="Times New Roman" w:eastAsia="方正仿宋_GBK" w:cs="Times New Roman"/>
          <w:sz w:val="32"/>
          <w:szCs w:val="32"/>
        </w:rPr>
        <w:t>对未按要求完成的有关工作事项，实行督查督办；</w:t>
      </w:r>
      <w:r>
        <w:rPr>
          <w:rFonts w:hint="default" w:ascii="Times New Roman" w:hAnsi="Times New Roman" w:eastAsia="方正仿宋_GBK" w:cs="Times New Roman"/>
          <w:sz w:val="32"/>
          <w:szCs w:val="32"/>
          <w:shd w:val="clear" w:color="auto" w:fill="FFFFFF"/>
        </w:rPr>
        <w:t>对违法违规占用永久基本农田，</w:t>
      </w:r>
      <w:r>
        <w:rPr>
          <w:rFonts w:hint="default" w:ascii="Times New Roman" w:hAnsi="Times New Roman" w:eastAsia="方正仿宋_GBK" w:cs="Times New Roman"/>
          <w:sz w:val="32"/>
          <w:szCs w:val="32"/>
        </w:rPr>
        <w:t>将依法依规进行责任追究。</w:t>
      </w:r>
    </w:p>
    <w:p>
      <w:pPr>
        <w:pStyle w:val="9"/>
        <w:pageBreakBefore w:val="0"/>
        <w:shd w:val="clear" w:color="auto" w:fill="FFFFFF"/>
        <w:kinsoku/>
        <w:overflowPunct/>
        <w:topLinePunct w:val="0"/>
        <w:autoSpaceDE/>
        <w:autoSpaceDN/>
        <w:bidi w:val="0"/>
        <w:adjustRightInd/>
        <w:snapToGrid/>
        <w:spacing w:beforeAutospacing="0" w:afterAutospacing="0" w:line="600" w:lineRule="exact"/>
        <w:ind w:firstLine="739" w:firstLineChars="231"/>
        <w:textAlignment w:val="auto"/>
        <w:rPr>
          <w:rFonts w:hint="default" w:ascii="Times New Roman" w:hAnsi="Times New Roman" w:eastAsia="方正仿宋_GBK" w:cs="Times New Roman"/>
          <w:sz w:val="32"/>
          <w:szCs w:val="32"/>
          <w:shd w:val="clear" w:color="auto" w:fill="FFFFFF"/>
        </w:rPr>
      </w:pPr>
    </w:p>
    <w:p>
      <w:pPr>
        <w:pStyle w:val="9"/>
        <w:pageBreakBefore w:val="0"/>
        <w:shd w:val="clear" w:color="auto" w:fill="FFFFFF"/>
        <w:kinsoku/>
        <w:overflowPunct/>
        <w:topLinePunct w:val="0"/>
        <w:autoSpaceDE/>
        <w:autoSpaceDN/>
        <w:bidi w:val="0"/>
        <w:adjustRightInd/>
        <w:snapToGrid/>
        <w:spacing w:beforeAutospacing="0" w:afterAutospacing="0" w:line="600" w:lineRule="exact"/>
        <w:ind w:firstLine="739" w:firstLineChars="231"/>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附件：2021年度凤城街道耕地和永久基本农田保护动态</w:t>
      </w:r>
    </w:p>
    <w:p>
      <w:pPr>
        <w:pStyle w:val="9"/>
        <w:pageBreakBefore w:val="0"/>
        <w:shd w:val="clear" w:color="auto" w:fill="FFFFFF"/>
        <w:kinsoku/>
        <w:overflowPunct/>
        <w:topLinePunct w:val="0"/>
        <w:autoSpaceDE/>
        <w:autoSpaceDN/>
        <w:bidi w:val="0"/>
        <w:adjustRightInd/>
        <w:snapToGrid/>
        <w:spacing w:beforeAutospacing="0" w:afterAutospacing="0" w:line="600" w:lineRule="exact"/>
        <w:ind w:firstLine="1696" w:firstLineChars="53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巡查网格员</w:t>
      </w:r>
    </w:p>
    <w:p>
      <w:pPr>
        <w:pStyle w:val="9"/>
        <w:pageBreakBefore w:val="0"/>
        <w:shd w:val="clear" w:color="auto" w:fill="FFFFFF"/>
        <w:kinsoku/>
        <w:overflowPunct/>
        <w:topLinePunct w:val="0"/>
        <w:autoSpaceDE/>
        <w:autoSpaceDN/>
        <w:bidi w:val="0"/>
        <w:adjustRightInd/>
        <w:snapToGrid/>
        <w:spacing w:beforeAutospacing="0" w:afterAutospacing="0" w:line="600" w:lineRule="exact"/>
        <w:ind w:firstLine="1696" w:firstLineChars="530"/>
        <w:textAlignment w:val="auto"/>
        <w:rPr>
          <w:rFonts w:hint="default" w:ascii="Times New Roman" w:hAnsi="Times New Roman" w:eastAsia="方正仿宋_GBK" w:cs="Times New Roman"/>
          <w:sz w:val="32"/>
          <w:szCs w:val="32"/>
          <w:shd w:val="clear" w:color="auto" w:fill="FFFFFF"/>
        </w:rPr>
      </w:pPr>
    </w:p>
    <w:p>
      <w:pPr>
        <w:pageBreakBefore w:val="0"/>
        <w:kinsoku/>
        <w:wordWrap w:val="0"/>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方正仿宋_GBK" w:cs="Times New Roman"/>
          <w:kern w:val="0"/>
          <w:sz w:val="32"/>
          <w:szCs w:val="32"/>
          <w:shd w:val="clear" w:color="auto" w:fill="FFFFFF"/>
          <w:lang w:eastAsia="zh-CN"/>
        </w:rPr>
      </w:pPr>
      <w:r>
        <w:rPr>
          <w:rFonts w:hint="eastAsia" w:ascii="Times New Roman" w:hAnsi="Times New Roman" w:eastAsia="方正仿宋_GBK" w:cs="Times New Roman"/>
          <w:kern w:val="0"/>
          <w:sz w:val="32"/>
          <w:szCs w:val="32"/>
          <w:shd w:val="clear" w:color="auto" w:fill="FFFFFF"/>
          <w:lang w:eastAsia="zh-CN"/>
        </w:rPr>
        <w:t>（</w:t>
      </w:r>
      <w:r>
        <w:rPr>
          <w:rFonts w:hint="eastAsia" w:ascii="Times New Roman" w:hAnsi="Times New Roman" w:eastAsia="方正仿宋_GBK" w:cs="Times New Roman"/>
          <w:kern w:val="0"/>
          <w:sz w:val="32"/>
          <w:szCs w:val="32"/>
          <w:shd w:val="clear" w:color="auto" w:fill="FFFFFF"/>
          <w:lang w:val="en-US" w:eastAsia="zh-CN"/>
        </w:rPr>
        <w:t>此页无正文</w:t>
      </w:r>
      <w:r>
        <w:rPr>
          <w:rFonts w:hint="eastAsia" w:ascii="Times New Roman" w:hAnsi="Times New Roman" w:eastAsia="方正仿宋_GBK" w:cs="Times New Roman"/>
          <w:kern w:val="0"/>
          <w:sz w:val="32"/>
          <w:szCs w:val="32"/>
          <w:shd w:val="clear" w:color="auto" w:fill="FFFFFF"/>
          <w:lang w:eastAsia="zh-CN"/>
        </w:rPr>
        <w:t>）</w:t>
      </w:r>
    </w:p>
    <w:p>
      <w:pPr>
        <w:pageBreakBefore w:val="0"/>
        <w:kinsoku/>
        <w:wordWrap w:val="0"/>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方正仿宋_GBK" w:cs="Times New Roman"/>
          <w:kern w:val="0"/>
          <w:sz w:val="32"/>
          <w:szCs w:val="32"/>
          <w:shd w:val="clear" w:color="auto" w:fill="FFFFFF"/>
          <w:lang w:eastAsia="zh-CN"/>
        </w:rPr>
      </w:pPr>
    </w:p>
    <w:p>
      <w:pPr>
        <w:pageBreakBefore w:val="0"/>
        <w:kinsoku/>
        <w:wordWrap w:val="0"/>
        <w:overflowPunct/>
        <w:topLinePunct w:val="0"/>
        <w:autoSpaceDE/>
        <w:autoSpaceDN/>
        <w:bidi w:val="0"/>
        <w:adjustRightInd/>
        <w:snapToGrid/>
        <w:spacing w:beforeAutospacing="0" w:afterAutospacing="0" w:line="600" w:lineRule="exact"/>
        <w:jc w:val="righ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 xml:space="preserve">重庆市长寿区凤城街道办事处   </w:t>
      </w:r>
    </w:p>
    <w:p>
      <w:pPr>
        <w:pageBreakBefore w:val="0"/>
        <w:kinsoku/>
        <w:overflowPunct/>
        <w:topLinePunct w:val="0"/>
        <w:autoSpaceDE/>
        <w:autoSpaceDN/>
        <w:bidi w:val="0"/>
        <w:adjustRightInd/>
        <w:snapToGrid/>
        <w:spacing w:beforeAutospacing="0" w:afterAutospacing="0" w:line="600" w:lineRule="exact"/>
        <w:ind w:firstLine="4998" w:firstLineChars="1562"/>
        <w:jc w:val="lef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2021年7月12日</w:t>
      </w:r>
      <w:r>
        <w:rPr>
          <w:rFonts w:hint="default" w:ascii="Times New Roman" w:hAnsi="Times New Roman" w:cs="Times New Roman"/>
        </w:rPr>
        <w:t xml:space="preserve"> </w:t>
      </w: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pageBreakBefore w:val="0"/>
        <w:kinsoku/>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pStyle w:val="3"/>
        <w:pageBreakBefore w:val="0"/>
        <w:kinsoku/>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附件</w:t>
      </w:r>
    </w:p>
    <w:p>
      <w:pPr>
        <w:widowControl/>
        <w:jc w:val="center"/>
        <w:textAlignment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2021年度凤城街道耕地和永久</w:t>
      </w:r>
      <w:bookmarkStart w:id="0" w:name="_GoBack"/>
      <w:bookmarkEnd w:id="0"/>
      <w:r>
        <w:rPr>
          <w:rFonts w:hint="eastAsia" w:ascii="宋体" w:hAnsi="宋体" w:eastAsia="宋体" w:cs="宋体"/>
          <w:b/>
          <w:bCs/>
          <w:color w:val="000000"/>
          <w:kern w:val="0"/>
          <w:sz w:val="28"/>
          <w:szCs w:val="28"/>
        </w:rPr>
        <w:t>基本农田保护动态巡查网格员</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893"/>
        <w:gridCol w:w="1275"/>
        <w:gridCol w:w="825"/>
        <w:gridCol w:w="1235"/>
        <w:gridCol w:w="880"/>
        <w:gridCol w:w="96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53"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序号</w:t>
            </w:r>
          </w:p>
        </w:tc>
        <w:tc>
          <w:tcPr>
            <w:tcW w:w="893"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责任村</w:t>
            </w:r>
          </w:p>
        </w:tc>
        <w:tc>
          <w:tcPr>
            <w:tcW w:w="1275"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巡查区域</w:t>
            </w:r>
          </w:p>
        </w:tc>
        <w:tc>
          <w:tcPr>
            <w:tcW w:w="825"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驻村领导</w:t>
            </w:r>
          </w:p>
        </w:tc>
        <w:tc>
          <w:tcPr>
            <w:tcW w:w="1235"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驻村科室</w:t>
            </w:r>
          </w:p>
        </w:tc>
        <w:tc>
          <w:tcPr>
            <w:tcW w:w="880"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驻村干部</w:t>
            </w:r>
          </w:p>
        </w:tc>
        <w:tc>
          <w:tcPr>
            <w:tcW w:w="960"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村协管员</w:t>
            </w:r>
          </w:p>
        </w:tc>
        <w:tc>
          <w:tcPr>
            <w:tcW w:w="1600" w:type="dxa"/>
            <w:vMerge w:val="restart"/>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color w:val="000000"/>
                <w:kern w:val="0"/>
                <w:sz w:val="22"/>
                <w:szCs w:val="22"/>
              </w:rPr>
              <w:t>村组巡查员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53" w:type="dxa"/>
            <w:vMerge w:val="continue"/>
            <w:vAlign w:val="center"/>
          </w:tcPr>
          <w:p>
            <w:pPr>
              <w:jc w:val="center"/>
              <w:rPr>
                <w:rFonts w:ascii="仿宋" w:hAnsi="仿宋" w:eastAsia="仿宋" w:cs="仿宋"/>
                <w:b/>
                <w:bCs/>
                <w:color w:val="000000"/>
                <w:sz w:val="22"/>
                <w:szCs w:val="22"/>
              </w:rPr>
            </w:pPr>
          </w:p>
        </w:tc>
        <w:tc>
          <w:tcPr>
            <w:tcW w:w="893" w:type="dxa"/>
            <w:vMerge w:val="continue"/>
            <w:vAlign w:val="center"/>
          </w:tcPr>
          <w:p>
            <w:pPr>
              <w:jc w:val="center"/>
              <w:rPr>
                <w:rFonts w:ascii="仿宋" w:hAnsi="仿宋" w:eastAsia="仿宋" w:cs="仿宋"/>
                <w:b/>
                <w:bCs/>
                <w:color w:val="000000"/>
                <w:sz w:val="22"/>
                <w:szCs w:val="22"/>
              </w:rPr>
            </w:pPr>
          </w:p>
        </w:tc>
        <w:tc>
          <w:tcPr>
            <w:tcW w:w="1275" w:type="dxa"/>
            <w:vMerge w:val="continue"/>
            <w:vAlign w:val="center"/>
          </w:tcPr>
          <w:p>
            <w:pPr>
              <w:jc w:val="center"/>
              <w:rPr>
                <w:rFonts w:ascii="仿宋" w:hAnsi="仿宋" w:eastAsia="仿宋" w:cs="仿宋"/>
                <w:b/>
                <w:bCs/>
                <w:color w:val="000000"/>
                <w:sz w:val="22"/>
                <w:szCs w:val="22"/>
              </w:rPr>
            </w:pPr>
          </w:p>
        </w:tc>
        <w:tc>
          <w:tcPr>
            <w:tcW w:w="825" w:type="dxa"/>
            <w:vMerge w:val="continue"/>
            <w:vAlign w:val="center"/>
          </w:tcPr>
          <w:p>
            <w:pPr>
              <w:jc w:val="center"/>
              <w:rPr>
                <w:rFonts w:ascii="仿宋" w:hAnsi="仿宋" w:eastAsia="仿宋" w:cs="仿宋"/>
                <w:b/>
                <w:bCs/>
                <w:color w:val="000000"/>
                <w:sz w:val="22"/>
                <w:szCs w:val="22"/>
              </w:rPr>
            </w:pPr>
          </w:p>
        </w:tc>
        <w:tc>
          <w:tcPr>
            <w:tcW w:w="1235" w:type="dxa"/>
            <w:vMerge w:val="continue"/>
            <w:vAlign w:val="center"/>
          </w:tcPr>
          <w:p>
            <w:pPr>
              <w:jc w:val="center"/>
              <w:rPr>
                <w:rFonts w:ascii="仿宋" w:hAnsi="仿宋" w:eastAsia="仿宋" w:cs="仿宋"/>
                <w:b/>
                <w:bCs/>
                <w:color w:val="000000"/>
                <w:sz w:val="22"/>
                <w:szCs w:val="22"/>
              </w:rPr>
            </w:pPr>
          </w:p>
        </w:tc>
        <w:tc>
          <w:tcPr>
            <w:tcW w:w="880" w:type="dxa"/>
            <w:vMerge w:val="continue"/>
            <w:vAlign w:val="center"/>
          </w:tcPr>
          <w:p>
            <w:pPr>
              <w:jc w:val="center"/>
              <w:rPr>
                <w:rFonts w:ascii="仿宋" w:hAnsi="仿宋" w:eastAsia="仿宋" w:cs="仿宋"/>
                <w:b/>
                <w:bCs/>
                <w:color w:val="000000"/>
                <w:sz w:val="22"/>
                <w:szCs w:val="22"/>
              </w:rPr>
            </w:pPr>
          </w:p>
        </w:tc>
        <w:tc>
          <w:tcPr>
            <w:tcW w:w="960" w:type="dxa"/>
            <w:vMerge w:val="continue"/>
            <w:vAlign w:val="center"/>
          </w:tcPr>
          <w:p>
            <w:pPr>
              <w:jc w:val="center"/>
              <w:rPr>
                <w:rFonts w:ascii="仿宋" w:hAnsi="仿宋" w:eastAsia="仿宋" w:cs="仿宋"/>
                <w:b/>
                <w:bCs/>
                <w:color w:val="000000"/>
                <w:sz w:val="22"/>
                <w:szCs w:val="22"/>
              </w:rPr>
            </w:pPr>
          </w:p>
        </w:tc>
        <w:tc>
          <w:tcPr>
            <w:tcW w:w="1600" w:type="dxa"/>
            <w:vMerge w:val="continue"/>
            <w:vAlign w:val="center"/>
          </w:tcPr>
          <w:p>
            <w:pPr>
              <w:jc w:val="center"/>
              <w:rPr>
                <w:rFonts w:ascii="仿宋" w:hAnsi="仿宋" w:eastAsia="仿宋" w:cs="仿宋"/>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李祖容、廖庆文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朱再碧、廖庆英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李强、廖庆英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黎书合、车家会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柳胜明、车家会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雷琼、杨锦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罗永利、廖庆英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甘国利、廖庆英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李其利、杨锦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武小平、车家会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杨丰、杨锦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杨明禄、杨锦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杨明勇、车家会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廖庆文、廖庆文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周照全、廖庆文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廖会均、廖庆英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邹德文、廖庆文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古佛村19组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李德莲、廖庆文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古佛村21组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李泽碧</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财政所</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陈吉福</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阳浩然</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廖小兵、车家会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陵园村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陵园村6组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刘海容</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物业科</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黄磊</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程淑琴</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李本清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白庙村1，2，8组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江泂</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平安办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任志强</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彭庆鹏</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刘能文、何家文、李树明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白庙村3、4、5</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江泂</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平安办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任志强</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彭琴</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彭绍其、张勇、张明生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白庙村6、7</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江泂</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平安办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任志强</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郭丹</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彭银华、高明英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白庙村9、10、11、12</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江泂</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平安办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任志强</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张成英</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聂建华、郭大全、高元明、李中英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郭水英</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建管办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陈迎玲</w:t>
            </w:r>
          </w:p>
        </w:tc>
        <w:tc>
          <w:tcPr>
            <w:tcW w:w="960" w:type="dxa"/>
            <w:vAlign w:val="center"/>
          </w:tcPr>
          <w:p>
            <w:pPr>
              <w:jc w:val="center"/>
              <w:rPr>
                <w:rFonts w:ascii="方正仿宋_GBK" w:hAnsi="方正仿宋_GBK" w:eastAsia="方正仿宋_GBK" w:cs="方正仿宋_GBK"/>
                <w:color w:val="000000"/>
                <w:sz w:val="20"/>
                <w:szCs w:val="20"/>
              </w:rPr>
            </w:pPr>
          </w:p>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王时贵</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朱其林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郭水英</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建管办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陈迎玲</w:t>
            </w:r>
          </w:p>
        </w:tc>
        <w:tc>
          <w:tcPr>
            <w:tcW w:w="960" w:type="dxa"/>
            <w:vAlign w:val="center"/>
          </w:tcPr>
          <w:p>
            <w:pPr>
              <w:jc w:val="center"/>
              <w:rPr>
                <w:rFonts w:ascii="方正仿宋_GBK" w:hAnsi="方正仿宋_GBK" w:eastAsia="方正仿宋_GBK" w:cs="方正仿宋_GBK"/>
                <w:color w:val="000000"/>
                <w:sz w:val="20"/>
                <w:szCs w:val="20"/>
              </w:rPr>
            </w:pPr>
          </w:p>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王时贵</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王林剑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郭水英</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建管办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陈迎玲</w:t>
            </w:r>
          </w:p>
        </w:tc>
        <w:tc>
          <w:tcPr>
            <w:tcW w:w="960" w:type="dxa"/>
            <w:vAlign w:val="center"/>
          </w:tcPr>
          <w:p>
            <w:pPr>
              <w:jc w:val="center"/>
              <w:rPr>
                <w:rFonts w:ascii="方正仿宋_GBK" w:hAnsi="方正仿宋_GBK" w:eastAsia="方正仿宋_GBK" w:cs="方正仿宋_GBK"/>
                <w:color w:val="000000"/>
                <w:sz w:val="20"/>
                <w:szCs w:val="20"/>
              </w:rPr>
            </w:pPr>
          </w:p>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王时贵</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郭水英</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建管办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陈迎玲</w:t>
            </w:r>
          </w:p>
        </w:tc>
        <w:tc>
          <w:tcPr>
            <w:tcW w:w="960" w:type="dxa"/>
            <w:vAlign w:val="center"/>
          </w:tcPr>
          <w:p>
            <w:pPr>
              <w:jc w:val="center"/>
              <w:rPr>
                <w:rFonts w:ascii="方正仿宋_GBK" w:hAnsi="方正仿宋_GBK" w:eastAsia="方正仿宋_GBK" w:cs="方正仿宋_GBK"/>
                <w:color w:val="000000"/>
                <w:sz w:val="20"/>
                <w:szCs w:val="20"/>
              </w:rPr>
            </w:pPr>
          </w:p>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王时贵</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29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郭水英</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建管办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陈迎玲</w:t>
            </w:r>
          </w:p>
        </w:tc>
        <w:tc>
          <w:tcPr>
            <w:tcW w:w="960" w:type="dxa"/>
            <w:vAlign w:val="center"/>
          </w:tcPr>
          <w:p>
            <w:pPr>
              <w:jc w:val="center"/>
              <w:rPr>
                <w:rFonts w:ascii="方正仿宋_GBK" w:hAnsi="方正仿宋_GBK" w:eastAsia="方正仿宋_GBK" w:cs="方正仿宋_GBK"/>
                <w:color w:val="000000"/>
                <w:sz w:val="20"/>
                <w:szCs w:val="20"/>
              </w:rPr>
            </w:pPr>
          </w:p>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王时贵</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过滩村10组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郭水英</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建管办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陈迎玲</w:t>
            </w:r>
          </w:p>
        </w:tc>
        <w:tc>
          <w:tcPr>
            <w:tcW w:w="960" w:type="dxa"/>
            <w:vAlign w:val="center"/>
          </w:tcPr>
          <w:p>
            <w:pPr>
              <w:jc w:val="center"/>
              <w:rPr>
                <w:rFonts w:ascii="方正仿宋_GBK" w:hAnsi="方正仿宋_GBK" w:eastAsia="方正仿宋_GBK" w:cs="方正仿宋_GBK"/>
                <w:color w:val="000000"/>
                <w:sz w:val="20"/>
                <w:szCs w:val="20"/>
              </w:rPr>
            </w:pPr>
          </w:p>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王时贵</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江小林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袁淑芳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胡志国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陈小胜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杨经伦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余杰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陈章福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39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王淑均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江柏树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袁治平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曹树春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程泽军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绍正国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李金容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永丰村19组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吴世友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49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永丰村20组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永丰村21组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永丰村22组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杨树贤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永丰村23组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操小彬</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应急办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栾亨攀</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喻翅</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王兴英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吴世芬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周小平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王宪华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59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张左房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马成敏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杨淑美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张真胜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唐道萍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周贤国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王世英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骆秀兰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长风村16组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殷道学</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经发办</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刘娟</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廖亮成</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69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左汝红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雷太莲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袁炳云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郑树全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杨厚君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程海涛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袁学明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鲁利娅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79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柯川利</w:t>
            </w:r>
          </w:p>
          <w:p>
            <w:pPr>
              <w:jc w:val="center"/>
              <w:rPr>
                <w:rFonts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杨才文</w:t>
            </w:r>
          </w:p>
          <w:p>
            <w:pPr>
              <w:jc w:val="center"/>
              <w:rPr>
                <w:rFonts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田素梅</w:t>
            </w:r>
          </w:p>
          <w:p>
            <w:pPr>
              <w:jc w:val="center"/>
              <w:rPr>
                <w:rFonts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程凤林</w:t>
            </w:r>
          </w:p>
          <w:p>
            <w:pPr>
              <w:jc w:val="center"/>
              <w:rPr>
                <w:rFonts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走马村15组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邱晓荣</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退役军人事务站</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谢宇军</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吕波</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tabs>
                <w:tab w:val="left" w:pos="420"/>
                <w:tab w:val="center" w:pos="800"/>
              </w:tabs>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r>
              <w:rPr>
                <w:rFonts w:hint="eastAsia" w:ascii="方正仿宋_GBK" w:hAnsi="方正仿宋_GBK" w:eastAsia="方正仿宋_GBK" w:cs="方正仿宋_GBK"/>
                <w:color w:val="000000"/>
                <w:sz w:val="20"/>
                <w:szCs w:val="20"/>
              </w:rPr>
              <w:tab/>
            </w:r>
            <w:r>
              <w:rPr>
                <w:rFonts w:hint="eastAsia" w:ascii="方正仿宋_GBK" w:hAnsi="方正仿宋_GBK" w:eastAsia="方正仿宋_GBK" w:cs="方正仿宋_GBK"/>
                <w:color w:val="000000"/>
                <w:sz w:val="20"/>
                <w:szCs w:val="20"/>
              </w:rPr>
              <w:t>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王成菊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彭进丽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胥江铃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张天富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89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张治平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刘碧芳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张于先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黄建国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余雋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喻德会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潘成秀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谯光文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胡晓兵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99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杨孝忠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100</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复元村17组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柯炳生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101</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复元村18组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张志全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102</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复元村19组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詹满飞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103</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复元村20组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余水全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104</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复元村21组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汪国英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105</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复元村22组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孔春华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106</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复元村23组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涂应明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107</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复元村24组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张永芳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108</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复元村25组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涂海贵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109</w:t>
            </w:r>
          </w:p>
        </w:tc>
        <w:tc>
          <w:tcPr>
            <w:tcW w:w="893"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w:t>
            </w:r>
          </w:p>
        </w:tc>
        <w:tc>
          <w:tcPr>
            <w:tcW w:w="127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复元村26组</w:t>
            </w:r>
          </w:p>
        </w:tc>
        <w:tc>
          <w:tcPr>
            <w:tcW w:w="82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马勇</w:t>
            </w:r>
          </w:p>
        </w:tc>
        <w:tc>
          <w:tcPr>
            <w:tcW w:w="1235"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农服中心</w:t>
            </w:r>
          </w:p>
        </w:tc>
        <w:tc>
          <w:tcPr>
            <w:tcW w:w="88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邓尧</w:t>
            </w:r>
          </w:p>
        </w:tc>
        <w:tc>
          <w:tcPr>
            <w:tcW w:w="96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田忠明</w:t>
            </w:r>
          </w:p>
        </w:tc>
        <w:tc>
          <w:tcPr>
            <w:tcW w:w="1600" w:type="dxa"/>
            <w:vAlign w:val="center"/>
          </w:tcPr>
          <w:p>
            <w:pPr>
              <w:jc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石宝林</w:t>
            </w:r>
          </w:p>
        </w:tc>
      </w:tr>
    </w:tbl>
    <w:p>
      <w:pPr>
        <w:spacing w:line="600" w:lineRule="exact"/>
        <w:rPr>
          <w:rFonts w:ascii="Times New Roman" w:hAnsi="方正仿宋_GBK" w:eastAsia="方正仿宋_GBK" w:cs="Times New Roman"/>
          <w:kern w:val="0"/>
          <w:sz w:val="32"/>
          <w:szCs w:val="32"/>
          <w:shd w:val="clear" w:color="auto" w:fill="FFFFFF"/>
        </w:rPr>
        <w:sectPr>
          <w:footerReference r:id="rId5" w:type="default"/>
          <w:pgSz w:w="11906" w:h="16838"/>
          <w:pgMar w:top="1962" w:right="1474" w:bottom="1848" w:left="1587" w:header="851" w:footer="992" w:gutter="0"/>
          <w:pgNumType w:fmt="numberInDash" w:start="7"/>
          <w:cols w:space="0" w:num="1"/>
          <w:docGrid w:type="lines" w:linePitch="316" w:charSpace="0"/>
        </w:sectPr>
      </w:pPr>
    </w:p>
    <w:p>
      <w:pPr>
        <w:spacing w:line="600" w:lineRule="exact"/>
        <w:rPr>
          <w:rFonts w:ascii="Times New Roman" w:hAnsi="Times New Roman" w:eastAsia="方正仿宋_GBK" w:cs="Times New Roman"/>
          <w:kern w:val="0"/>
          <w:sz w:val="32"/>
          <w:szCs w:val="32"/>
          <w:shd w:val="clear" w:color="auto" w:fill="FFFFFF"/>
        </w:rPr>
      </w:pPr>
    </w:p>
    <w:sectPr>
      <w:headerReference r:id="rId6" w:type="default"/>
      <w:footerReference r:id="rId7"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MndX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iKEsctDvzy4/vl5+/Lr2/k&#10;J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6TJ3V0QEAAKIDAAAOAAAAAAAAAAEAIAAAAB8BAABk&#10;cnMvZTJvRG9jLnhtbFBLBQYAAAAABgAGAFkBAAB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ind w:left="1067" w:leftChars="508" w:firstLine="10115" w:firstLineChars="3161"/>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 重庆市长寿区凤城街道党政办公室发布</w:t>
    </w:r>
  </w:p>
  <w:p>
    <w:pPr>
      <w:pStyle w:val="8"/>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261"/>
      </w:tabs>
      <w:jc w:val="both"/>
      <w:rPr>
        <w:rFonts w:hint="eastAsia" w:ascii="宋体" w:hAnsi="宋体" w:eastAsia="宋体" w:cs="宋体"/>
        <w:b/>
        <w:bCs/>
        <w:color w:val="005192"/>
        <w:sz w:val="28"/>
        <w:szCs w:val="44"/>
        <w:lang w:eastAsia="zh-CN"/>
      </w:rPr>
    </w:pPr>
    <w:r>
      <w:rPr>
        <w:rFonts w:hint="eastAsia" w:ascii="宋体" w:hAnsi="宋体" w:eastAsia="宋体" w:cs="宋体"/>
        <w:b/>
        <w:bCs/>
        <w:color w:val="005192"/>
        <w:sz w:val="28"/>
        <w:szCs w:val="44"/>
        <w:lang w:eastAsia="zh-CN"/>
      </w:rPr>
      <w:tab/>
    </w:r>
    <w:r>
      <w:rPr>
        <w:rFonts w:hint="eastAsia" w:ascii="宋体" w:hAnsi="宋体" w:eastAsia="宋体" w:cs="宋体"/>
        <w:b/>
        <w:bCs/>
        <w:color w:val="005192"/>
        <w:sz w:val="28"/>
        <w:szCs w:val="44"/>
        <w:lang w:eastAsia="zh-CN"/>
      </w:rPr>
      <w:tab/>
    </w:r>
  </w:p>
  <w:p>
    <w:pPr>
      <w:pStyle w:val="8"/>
      <w:ind w:left="1067" w:leftChars="508" w:firstLine="10115" w:firstLineChars="3161"/>
      <w:jc w:val="center"/>
      <w:rPr>
        <w:rFonts w:hint="eastAsia" w:ascii="宋体" w:hAnsi="宋体" w:eastAsia="宋体" w:cs="宋体"/>
        <w:b/>
        <w:bCs/>
        <w:color w:val="005192"/>
        <w:sz w:val="28"/>
        <w:szCs w:val="44"/>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8+vC8cBAACaAwAADgAAAGRycy9lMm9Eb2MueG1srVNNrtMwEN4jcQfL&#10;e+q0C6i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mXR&#10;pw9QY9pDwMQ0vPEDbk3WLfsBnZn2oKLNXyREMI7qnq/qyiERkR+tV+t1hSGBsfmCOOz2PERIb6W3&#10;JBsNjTi+oio/vYc0ps4puZrz99qYMkLj/nIgZvawW4/ZSsN+mBrf+/aMfHqcfEMdLjol5p1DYfOS&#10;zEacjf1sHEPUh65sUa4H4fUxYROlt1xhhJ0K48gKu2m98k78eS9Zt1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38+vC8cBAACaAwAADgAAAAAAAAABACAAAAAeAQAAZHJzL2Uyb0RvYy54&#10;bWxQSwUGAAAAAAYABgBZAQAAVwU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8"/>
      <w:ind w:left="1067" w:leftChars="508" w:firstLine="10115" w:firstLineChars="3161"/>
      <w:jc w:val="center"/>
      <w:rPr>
        <w:rFonts w:hint="eastAsia"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43815</wp:posOffset>
              </wp:positionV>
              <wp:extent cx="5616575" cy="1905"/>
              <wp:effectExtent l="0" t="10795" r="3175" b="15875"/>
              <wp:wrapNone/>
              <wp:docPr id="3"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直接连接符 5" o:spid="_x0000_s1026" o:spt="20" style="position:absolute;left:0pt;margin-left:0.75pt;margin-top:3.45pt;height:0.15pt;width:442.25pt;z-index:251664384;mso-width-relative:page;mso-height-relative:page;" filled="f" stroked="t" coordsize="21600,21600" o:gfxdata="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4qW&#10;QtIAAAAFAQAADwAAAAAAAAABACAAAAAiAAAAZHJzL2Rvd25yZXYueG1sUEsBAhQAFAAAAAgAh07i&#10;QDSBuN7vAQAAwwMAAA4AAAAAAAAAAQAgAAAAIQEAAGRycy9lMm9Eb2MueG1sUEsFBgAAAAAGAAYA&#10;WQEAAIIFAAAAAA==&#10;">
              <v:fill on="f" focussize="0,0"/>
              <v:stroke weight="1.75pt" color="#005192" miterlimit="8" joinstyle="miter"/>
              <v:imagedata o:title=""/>
              <o:lock v:ext="edit" aspectratio="f"/>
            </v:line>
          </w:pict>
        </mc:Fallback>
      </mc:AlternateContent>
    </w:r>
  </w:p>
  <w:p>
    <w:pPr>
      <w:pStyle w:val="8"/>
      <w:jc w:val="center"/>
      <w:rPr>
        <w:rFonts w:ascii="宋体" w:hAnsi="宋体" w:eastAsia="宋体" w:cs="宋体"/>
        <w:b/>
        <w:bCs/>
        <w:color w:val="005192"/>
        <w:sz w:val="28"/>
        <w:szCs w:val="44"/>
      </w:rPr>
    </w:pPr>
    <w:r>
      <w:rPr>
        <w:rFonts w:hint="eastAsia" w:ascii="宋体" w:hAnsi="宋体" w:eastAsia="宋体" w:cs="宋体"/>
        <w:b/>
        <w:bCs/>
        <w:color w:val="005192"/>
        <w:sz w:val="28"/>
        <w:szCs w:val="44"/>
      </w:rPr>
      <w:t>重庆市长寿区凤城街道党政办公室发布</w:t>
    </w:r>
  </w:p>
  <w:p>
    <w:pPr>
      <w:pStyle w:val="8"/>
      <w:wordWrap w:val="0"/>
      <w:ind w:left="4788" w:leftChars="2280" w:firstLine="5622" w:firstLineChars="2000"/>
      <w:jc w:val="right"/>
      <w:rPr>
        <w:rFonts w:ascii="宋体" w:hAnsi="宋体" w:eastAsia="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1uJ6s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KI7dcYsDv/z8cfn15/L7O1ku&#10;sz59gBrT7gMmpuGdH3BrZj+gM9MeVLT5i4QIxlHd81VdOSQi8qP1ar2uMCQwNl8Qnz08DxHSe+kt&#10;yUZDI46vqMpPHyGNqXNKrub8nTamjNC4fxyImT0s9z72mK007IeJ0N63Z+TT4+Qb6nDRKTEfHAqb&#10;l2Q24mzsZ+MYoj50ZYtyPQi3x4RNlN5yhRF2KowjK+ym9co78fhesh5+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9bierIAQAAmg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7"/>
                    </w:pPr>
                  </w:p>
                </w:txbxContent>
              </v:textbox>
            </v:shape>
          </w:pict>
        </mc:Fallback>
      </mc:AlternateContent>
    </w:r>
  </w:p>
  <w:p>
    <w:pPr>
      <w:pStyle w:val="8"/>
      <w:wordWrap w:val="0"/>
      <w:ind w:right="14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重庆市长寿区凤城街道办事处</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81C21"/>
    <w:multiLevelType w:val="singleLevel"/>
    <w:tmpl w:val="60E81C2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MmU3YmNhMDA3OWMzZWYyNWY3NmNiNTBkMzM0Y2MifQ=="/>
  </w:docVars>
  <w:rsids>
    <w:rsidRoot w:val="00172A27"/>
    <w:rsid w:val="000D6EB5"/>
    <w:rsid w:val="00172A27"/>
    <w:rsid w:val="001C7987"/>
    <w:rsid w:val="002A7CF6"/>
    <w:rsid w:val="00376BB5"/>
    <w:rsid w:val="00474C0A"/>
    <w:rsid w:val="004A0535"/>
    <w:rsid w:val="004F464B"/>
    <w:rsid w:val="005E718E"/>
    <w:rsid w:val="00624E16"/>
    <w:rsid w:val="0067188D"/>
    <w:rsid w:val="006B7810"/>
    <w:rsid w:val="007C2ACD"/>
    <w:rsid w:val="0080346F"/>
    <w:rsid w:val="00900680"/>
    <w:rsid w:val="00B44612"/>
    <w:rsid w:val="00BD5DFF"/>
    <w:rsid w:val="00C6099E"/>
    <w:rsid w:val="00DB570D"/>
    <w:rsid w:val="00DD3D6D"/>
    <w:rsid w:val="00E3063B"/>
    <w:rsid w:val="019E71BD"/>
    <w:rsid w:val="01E93D58"/>
    <w:rsid w:val="03213507"/>
    <w:rsid w:val="04B679C3"/>
    <w:rsid w:val="05F07036"/>
    <w:rsid w:val="06E00104"/>
    <w:rsid w:val="080F63D8"/>
    <w:rsid w:val="09341458"/>
    <w:rsid w:val="098254C2"/>
    <w:rsid w:val="0A766EDE"/>
    <w:rsid w:val="0AD64BE8"/>
    <w:rsid w:val="0B0912D7"/>
    <w:rsid w:val="0E025194"/>
    <w:rsid w:val="0EEF0855"/>
    <w:rsid w:val="11DB7C71"/>
    <w:rsid w:val="152D2DCA"/>
    <w:rsid w:val="187168EA"/>
    <w:rsid w:val="19403B5B"/>
    <w:rsid w:val="196673CA"/>
    <w:rsid w:val="1CF734C9"/>
    <w:rsid w:val="1DEC284C"/>
    <w:rsid w:val="1E6523AC"/>
    <w:rsid w:val="22440422"/>
    <w:rsid w:val="22BB4BBB"/>
    <w:rsid w:val="25EB1AF4"/>
    <w:rsid w:val="26895A2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48911D2"/>
    <w:rsid w:val="4504239D"/>
    <w:rsid w:val="4BC77339"/>
    <w:rsid w:val="4C9236C5"/>
    <w:rsid w:val="4D942FD5"/>
    <w:rsid w:val="4E250A85"/>
    <w:rsid w:val="4F9B2D01"/>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AC3883"/>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8"/>
    <w:qFormat/>
    <w:uiPriority w:val="0"/>
    <w:pPr>
      <w:keepNext/>
      <w:keepLines/>
      <w:spacing w:before="120"/>
      <w:outlineLvl w:val="1"/>
    </w:pPr>
    <w:rPr>
      <w:rFonts w:ascii="Times New Roman" w:hAnsi="Times New Roman" w:eastAsia="方正仿宋_GBK" w:cs="Times New Roman"/>
      <w:caps/>
      <w:sz w:val="32"/>
      <w:szCs w:val="26"/>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link w:val="21"/>
    <w:qFormat/>
    <w:uiPriority w:val="0"/>
    <w:pPr>
      <w:spacing w:line="560" w:lineRule="exact"/>
    </w:pPr>
    <w:rPr>
      <w:rFonts w:ascii="Times New Roman" w:hAnsi="Times New Roman" w:eastAsia="方正仿宋_GBK" w:cs="Times New Roman"/>
      <w:sz w:val="32"/>
      <w:szCs w:val="20"/>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annotation reference"/>
    <w:basedOn w:val="11"/>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1"/>
    <w:link w:val="6"/>
    <w:qFormat/>
    <w:uiPriority w:val="0"/>
    <w:rPr>
      <w:rFonts w:asciiTheme="minorHAnsi" w:hAnsiTheme="minorHAnsi" w:eastAsiaTheme="minorEastAsia" w:cstheme="minorBidi"/>
      <w:kern w:val="2"/>
      <w:sz w:val="18"/>
      <w:szCs w:val="18"/>
    </w:rPr>
  </w:style>
  <w:style w:type="paragraph" w:customStyle="1" w:styleId="17">
    <w:name w:val="reader-word-layer reader-word-s1-14"/>
    <w:basedOn w:val="1"/>
    <w:qFormat/>
    <w:uiPriority w:val="0"/>
    <w:pPr>
      <w:widowControl/>
      <w:spacing w:before="100" w:beforeAutospacing="1" w:after="100" w:afterAutospacing="1"/>
      <w:jc w:val="left"/>
    </w:pPr>
    <w:rPr>
      <w:rFonts w:ascii="宋体" w:hAnsi="宋体" w:eastAsia="宋体" w:cs="宋体"/>
      <w:kern w:val="0"/>
      <w:sz w:val="24"/>
      <w:szCs w:val="20"/>
    </w:rPr>
  </w:style>
  <w:style w:type="character" w:customStyle="1" w:styleId="18">
    <w:name w:val="标题 2 Char"/>
    <w:basedOn w:val="11"/>
    <w:link w:val="2"/>
    <w:qFormat/>
    <w:uiPriority w:val="0"/>
    <w:rPr>
      <w:rFonts w:eastAsia="方正仿宋_GBK"/>
      <w:caps/>
      <w:kern w:val="2"/>
      <w:sz w:val="32"/>
      <w:szCs w:val="26"/>
    </w:rPr>
  </w:style>
  <w:style w:type="character" w:customStyle="1" w:styleId="19">
    <w:name w:val="正文文本 Char1"/>
    <w:basedOn w:val="11"/>
    <w:link w:val="5"/>
    <w:qFormat/>
    <w:uiPriority w:val="0"/>
    <w:rPr>
      <w:rFonts w:eastAsia="方正仿宋_GBK"/>
      <w:kern w:val="2"/>
      <w:sz w:val="32"/>
    </w:rPr>
  </w:style>
  <w:style w:type="character" w:customStyle="1" w:styleId="20">
    <w:name w:val="正文文本 Char"/>
    <w:basedOn w:val="11"/>
    <w:qFormat/>
    <w:uiPriority w:val="0"/>
    <w:rPr>
      <w:rFonts w:ascii="方正黑体_GBK" w:eastAsia="方正黑体_GBK"/>
      <w:kern w:val="2"/>
      <w:sz w:val="32"/>
      <w:szCs w:val="32"/>
    </w:rPr>
  </w:style>
  <w:style w:type="character" w:customStyle="1" w:styleId="21">
    <w:name w:val="正文文本 Char2"/>
    <w:basedOn w:val="11"/>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E24B-C3A7-47D3-A0A9-E9289FB98D89}">
  <ds:schemaRefs/>
</ds:datastoreItem>
</file>

<file path=docProps/app.xml><?xml version="1.0" encoding="utf-8"?>
<Properties xmlns="http://schemas.openxmlformats.org/officeDocument/2006/extended-properties" xmlns:vt="http://schemas.openxmlformats.org/officeDocument/2006/docPropsVTypes">
  <Template>Normal</Template>
  <Pages>18</Pages>
  <Words>4902</Words>
  <Characters>5189</Characters>
  <Lines>53</Lines>
  <Paragraphs>15</Paragraphs>
  <TotalTime>206</TotalTime>
  <ScaleCrop>false</ScaleCrop>
  <LinksUpToDate>false</LinksUpToDate>
  <CharactersWithSpaces>5195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2024-02-02T09:54:11Z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CD9DDAD3EBE84F2BB517AC92B6E78D68_13</vt:lpwstr>
  </property>
</Properties>
</file>