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关于长文综罚字（2024）027号行政处罚决定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长寿区极境电竞酒店</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027</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s="Times New Roman"/>
                <w:color w:val="000000"/>
                <w:sz w:val="24"/>
                <w:lang w:eastAsia="zh-CN"/>
              </w:rPr>
              <w:t>未在显著位置设置未成年人禁入标识</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A6796A2">
            <w:pPr>
              <w:keepNext w:val="0"/>
              <w:keepLines w:val="0"/>
              <w:pageBreakBefore w:val="0"/>
              <w:kinsoku/>
              <w:overflowPunct/>
              <w:topLinePunct w:val="0"/>
              <w:autoSpaceDE/>
              <w:autoSpaceDN/>
              <w:bidi w:val="0"/>
              <w:adjustRightInd w:val="0"/>
              <w:snapToGrid w:val="0"/>
              <w:spacing w:line="360" w:lineRule="exact"/>
              <w:jc w:val="center"/>
              <w:textAlignment w:val="auto"/>
              <w:rPr>
                <w:rFonts w:hint="default" w:ascii="仿宋_GB2312" w:hAnsi="宋体" w:eastAsia="仿宋_GB2312"/>
                <w:bCs/>
                <w:sz w:val="24"/>
                <w:u w:val="single"/>
                <w:lang w:eastAsia="zh-CN"/>
              </w:rPr>
            </w:pPr>
            <w:r>
              <w:rPr>
                <w:rFonts w:hint="eastAsia" w:ascii="仿宋_GB2312" w:hAnsi="宋体" w:eastAsia="仿宋_GB2312" w:cs="宋体"/>
                <w:color w:val="000000"/>
                <w:kern w:val="0"/>
                <w:sz w:val="24"/>
                <w:lang w:val="en-US" w:eastAsia="zh-CN"/>
              </w:rPr>
              <w:t>长寿区极境电竞酒店</w:t>
            </w:r>
          </w:p>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仿宋_GB2312" w:eastAsia="仿宋_GB2312"/>
                <w:color w:val="000000"/>
                <w:sz w:val="24"/>
              </w:rPr>
              <w:t>《</w:t>
            </w:r>
            <w:r>
              <w:rPr>
                <w:rFonts w:hint="eastAsia" w:ascii="仿宋_GB2312" w:hAnsi="仿宋_GB2312" w:eastAsia="仿宋_GB2312"/>
                <w:color w:val="000000"/>
                <w:sz w:val="24"/>
                <w:lang w:eastAsia="zh-CN"/>
              </w:rPr>
              <w:t>中华人民共和国未成年人保护法</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一百二十三</w:t>
            </w:r>
            <w:r>
              <w:rPr>
                <w:rFonts w:hint="eastAsia" w:ascii="仿宋_GB2312" w:hAnsi="仿宋_GB2312" w:eastAsia="仿宋_GB2312"/>
                <w:color w:val="000000"/>
                <w:sz w:val="24"/>
              </w:rPr>
              <w:t>条</w:t>
            </w:r>
            <w:bookmarkStart w:id="0" w:name="_GoBack"/>
            <w:bookmarkEnd w:id="0"/>
          </w:p>
        </w:tc>
        <w:tc>
          <w:tcPr>
            <w:tcW w:w="1880" w:type="dxa"/>
            <w:noWrap w:val="0"/>
            <w:vAlign w:val="center"/>
          </w:tcPr>
          <w:p w14:paraId="11733DB7">
            <w:pPr>
              <w:adjustRightInd w:val="0"/>
              <w:snapToGrid w:val="0"/>
              <w:spacing w:line="320" w:lineRule="exact"/>
              <w:ind w:firstLine="720" w:firstLineChars="300"/>
              <w:jc w:val="left"/>
              <w:rPr>
                <w:rFonts w:hint="eastAsia" w:ascii="仿宋_GB2312" w:hAnsi="宋体" w:eastAsia="仿宋_GB2312"/>
                <w:bCs/>
                <w:sz w:val="24"/>
                <w:lang w:val="en-US" w:eastAsia="zh-CN"/>
              </w:rPr>
            </w:pPr>
            <w:r>
              <w:rPr>
                <w:rFonts w:hint="eastAsia" w:ascii="仿宋_GB2312" w:hAnsi="宋体" w:eastAsia="仿宋_GB2312"/>
                <w:bCs/>
                <w:sz w:val="24"/>
                <w:lang w:eastAsia="zh-CN"/>
              </w:rPr>
              <w:t>警告</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2024年12月2日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F790E4A"/>
    <w:rsid w:val="2A72351A"/>
    <w:rsid w:val="362544F6"/>
    <w:rsid w:val="38C02141"/>
    <w:rsid w:val="39383BDC"/>
    <w:rsid w:val="39524BC7"/>
    <w:rsid w:val="3DCA0F65"/>
    <w:rsid w:val="41FF6C98"/>
    <w:rsid w:val="468F0357"/>
    <w:rsid w:val="54683E36"/>
    <w:rsid w:val="5C8B5CEB"/>
    <w:rsid w:val="5D091186"/>
    <w:rsid w:val="5D1464F0"/>
    <w:rsid w:val="5EFF11C9"/>
    <w:rsid w:val="62604784"/>
    <w:rsid w:val="6D3E5B44"/>
    <w:rsid w:val="71654F0C"/>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419</Characters>
  <Lines>0</Lines>
  <Paragraphs>0</Paragraphs>
  <TotalTime>1</TotalTime>
  <ScaleCrop>false</ScaleCrop>
  <LinksUpToDate>false</LinksUpToDate>
  <CharactersWithSpaces>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2024-12-03T03:48:07Z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371B36CCB9DC45DABC022DD1E0E3BC8C</vt:lpwstr>
  </property>
</Properties>
</file>