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F96D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重庆市长寿区文化和旅游发展委员会</w:t>
      </w:r>
    </w:p>
    <w:p w14:paraId="5CFC98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关于长文综罚字（2024）026号行政处罚决定</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重庆海外旅业（旅行社</w:t>
      </w:r>
      <w:r>
        <w:rPr>
          <w:rFonts w:hint="default" w:ascii="方正小标宋_GBK" w:hAnsi="方正小标宋_GBK" w:eastAsia="方正小标宋_GBK" w:cs="方正小标宋_GBK"/>
          <w:b/>
          <w:bCs/>
          <w:sz w:val="44"/>
          <w:szCs w:val="44"/>
          <w:lang w:val="en-US" w:eastAsia="zh-CN"/>
        </w:rPr>
        <w:t>）</w:t>
      </w:r>
      <w:r>
        <w:rPr>
          <w:rFonts w:hint="eastAsia" w:ascii="方正小标宋_GBK" w:hAnsi="方正小标宋_GBK" w:eastAsia="方正小标宋_GBK" w:cs="方正小标宋_GBK"/>
          <w:b/>
          <w:bCs/>
          <w:sz w:val="44"/>
          <w:szCs w:val="44"/>
          <w:lang w:val="en-US" w:eastAsia="zh-CN"/>
        </w:rPr>
        <w:t>集团有限公司长寿门市部）信息的公示</w:t>
      </w:r>
    </w:p>
    <w:tbl>
      <w:tblPr>
        <w:tblStyle w:val="3"/>
        <w:tblW w:w="15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73"/>
        <w:gridCol w:w="1307"/>
        <w:gridCol w:w="1211"/>
        <w:gridCol w:w="2789"/>
        <w:gridCol w:w="1720"/>
        <w:gridCol w:w="1880"/>
        <w:gridCol w:w="1880"/>
        <w:gridCol w:w="1453"/>
        <w:gridCol w:w="946"/>
      </w:tblGrid>
      <w:tr w14:paraId="20E25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814" w:type="dxa"/>
            <w:noWrap w:val="0"/>
            <w:vAlign w:val="center"/>
          </w:tcPr>
          <w:p w14:paraId="4B714823">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序号</w:t>
            </w:r>
          </w:p>
        </w:tc>
        <w:tc>
          <w:tcPr>
            <w:tcW w:w="1373" w:type="dxa"/>
            <w:noWrap w:val="0"/>
            <w:vAlign w:val="center"/>
          </w:tcPr>
          <w:p w14:paraId="2D5DCAFA">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决定文号</w:t>
            </w:r>
          </w:p>
        </w:tc>
        <w:tc>
          <w:tcPr>
            <w:tcW w:w="1307" w:type="dxa"/>
            <w:noWrap w:val="0"/>
            <w:vAlign w:val="center"/>
          </w:tcPr>
          <w:p w14:paraId="2DCA3EB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案由</w:t>
            </w:r>
          </w:p>
        </w:tc>
        <w:tc>
          <w:tcPr>
            <w:tcW w:w="1211" w:type="dxa"/>
            <w:noWrap w:val="0"/>
            <w:vAlign w:val="center"/>
          </w:tcPr>
          <w:p w14:paraId="0915855F">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执法机关</w:t>
            </w:r>
          </w:p>
        </w:tc>
        <w:tc>
          <w:tcPr>
            <w:tcW w:w="2789" w:type="dxa"/>
            <w:noWrap w:val="0"/>
            <w:vAlign w:val="center"/>
          </w:tcPr>
          <w:p w14:paraId="199C8DE7">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执法对象</w:t>
            </w:r>
          </w:p>
        </w:tc>
        <w:tc>
          <w:tcPr>
            <w:tcW w:w="1720" w:type="dxa"/>
            <w:noWrap w:val="0"/>
            <w:vAlign w:val="center"/>
          </w:tcPr>
          <w:p w14:paraId="4F4F43AC">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处罚依据</w:t>
            </w:r>
          </w:p>
        </w:tc>
        <w:tc>
          <w:tcPr>
            <w:tcW w:w="1880" w:type="dxa"/>
            <w:noWrap w:val="0"/>
            <w:vAlign w:val="center"/>
          </w:tcPr>
          <w:p w14:paraId="279DCFEB">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kern w:val="2"/>
                <w:sz w:val="28"/>
                <w:szCs w:val="28"/>
                <w:vertAlign w:val="baseline"/>
                <w:lang w:val="en-US" w:eastAsia="zh-CN" w:bidi="ar-SA"/>
              </w:rPr>
            </w:pPr>
            <w:r>
              <w:rPr>
                <w:rFonts w:hint="eastAsia" w:ascii="方正黑体_GBK" w:hAnsi="方正黑体_GBK" w:eastAsia="方正黑体_GBK" w:cs="方正黑体_GBK"/>
                <w:sz w:val="28"/>
                <w:szCs w:val="28"/>
                <w:vertAlign w:val="baseline"/>
                <w:lang w:val="en-US" w:eastAsia="zh-CN"/>
              </w:rPr>
              <w:t>执法结论</w:t>
            </w:r>
          </w:p>
        </w:tc>
        <w:tc>
          <w:tcPr>
            <w:tcW w:w="1880" w:type="dxa"/>
            <w:noWrap w:val="0"/>
            <w:vAlign w:val="center"/>
          </w:tcPr>
          <w:p w14:paraId="398C3769">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决定日期</w:t>
            </w:r>
          </w:p>
        </w:tc>
        <w:tc>
          <w:tcPr>
            <w:tcW w:w="1453" w:type="dxa"/>
            <w:noWrap w:val="0"/>
            <w:vAlign w:val="center"/>
          </w:tcPr>
          <w:p w14:paraId="78723F35">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执法类别</w:t>
            </w:r>
          </w:p>
        </w:tc>
        <w:tc>
          <w:tcPr>
            <w:tcW w:w="946" w:type="dxa"/>
            <w:noWrap w:val="0"/>
            <w:vAlign w:val="center"/>
          </w:tcPr>
          <w:p w14:paraId="369608E4">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方正黑体_GBK" w:hAnsi="方正黑体_GBK" w:eastAsia="方正黑体_GBK" w:cs="方正黑体_GBK"/>
                <w:sz w:val="28"/>
                <w:szCs w:val="28"/>
                <w:vertAlign w:val="baseline"/>
                <w:lang w:val="en-US" w:eastAsia="zh-CN"/>
              </w:rPr>
            </w:pPr>
            <w:r>
              <w:rPr>
                <w:rFonts w:hint="eastAsia" w:ascii="方正黑体_GBK" w:hAnsi="方正黑体_GBK" w:eastAsia="方正黑体_GBK" w:cs="方正黑体_GBK"/>
                <w:sz w:val="28"/>
                <w:szCs w:val="28"/>
                <w:vertAlign w:val="baseline"/>
                <w:lang w:val="en-US" w:eastAsia="zh-CN"/>
              </w:rPr>
              <w:t>备注</w:t>
            </w:r>
          </w:p>
        </w:tc>
      </w:tr>
      <w:tr w14:paraId="4053C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814" w:type="dxa"/>
            <w:noWrap w:val="0"/>
            <w:vAlign w:val="center"/>
          </w:tcPr>
          <w:p w14:paraId="4F4806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1</w:t>
            </w:r>
          </w:p>
        </w:tc>
        <w:tc>
          <w:tcPr>
            <w:tcW w:w="1373" w:type="dxa"/>
            <w:noWrap w:val="0"/>
            <w:vAlign w:val="center"/>
          </w:tcPr>
          <w:p w14:paraId="342575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default" w:ascii="方正仿宋_GBK" w:hAnsi="方正仿宋_GBK" w:eastAsia="方正仿宋_GBK" w:cs="方正仿宋_GBK"/>
                <w:sz w:val="24"/>
                <w:szCs w:val="24"/>
                <w:vertAlign w:val="baseline"/>
                <w:lang w:val="en-US" w:eastAsia="zh-CN"/>
              </w:rPr>
              <w:t>（长）文综罚字〔202</w:t>
            </w:r>
            <w:r>
              <w:rPr>
                <w:rFonts w:hint="eastAsia" w:ascii="方正仿宋_GBK" w:hAnsi="方正仿宋_GBK" w:eastAsia="方正仿宋_GBK" w:cs="方正仿宋_GBK"/>
                <w:sz w:val="24"/>
                <w:szCs w:val="24"/>
                <w:vertAlign w:val="baseline"/>
                <w:lang w:val="en-US" w:eastAsia="zh-CN"/>
              </w:rPr>
              <w:t>4</w:t>
            </w:r>
            <w:r>
              <w:rPr>
                <w:rFonts w:hint="default" w:ascii="方正仿宋_GBK" w:hAnsi="方正仿宋_GBK" w:eastAsia="方正仿宋_GBK" w:cs="方正仿宋_GBK"/>
                <w:sz w:val="24"/>
                <w:szCs w:val="24"/>
                <w:vertAlign w:val="baseline"/>
                <w:lang w:val="en-US" w:eastAsia="zh-CN"/>
              </w:rPr>
              <w:t>〕第</w:t>
            </w:r>
            <w:r>
              <w:rPr>
                <w:rFonts w:hint="eastAsia" w:ascii="方正仿宋_GBK" w:hAnsi="方正仿宋_GBK" w:eastAsia="方正仿宋_GBK" w:cs="方正仿宋_GBK"/>
                <w:sz w:val="24"/>
                <w:szCs w:val="24"/>
                <w:vertAlign w:val="baseline"/>
                <w:lang w:val="en-US" w:eastAsia="zh-CN"/>
              </w:rPr>
              <w:t>026</w:t>
            </w:r>
            <w:r>
              <w:rPr>
                <w:rFonts w:hint="default" w:ascii="方正仿宋_GBK" w:hAnsi="方正仿宋_GBK" w:eastAsia="方正仿宋_GBK" w:cs="方正仿宋_GBK"/>
                <w:sz w:val="24"/>
                <w:szCs w:val="24"/>
                <w:vertAlign w:val="baseline"/>
                <w:lang w:val="en-US" w:eastAsia="zh-CN"/>
              </w:rPr>
              <w:t>号</w:t>
            </w:r>
          </w:p>
          <w:p w14:paraId="68420A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307" w:type="dxa"/>
            <w:noWrap w:val="0"/>
            <w:vAlign w:val="center"/>
          </w:tcPr>
          <w:p w14:paraId="7A7A2A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hAnsi="仿宋_GB2312" w:eastAsia="仿宋_GB2312" w:cs="Times New Roman"/>
                <w:color w:val="000000"/>
                <w:sz w:val="24"/>
                <w:lang w:eastAsia="zh-CN"/>
              </w:rPr>
              <w:t>未</w:t>
            </w:r>
            <w:r>
              <w:rPr>
                <w:rFonts w:hint="eastAsia" w:ascii="仿宋_GB2312" w:hAnsi="仿宋_GB2312" w:eastAsia="仿宋_GB2312" w:cs="Times New Roman"/>
                <w:color w:val="000000"/>
                <w:sz w:val="24"/>
                <w:lang w:val="en-US" w:eastAsia="zh-CN"/>
              </w:rPr>
              <w:t>将《旅行社服务网点备案登记证明》悬挂在经营场所的显要位置</w:t>
            </w:r>
          </w:p>
        </w:tc>
        <w:tc>
          <w:tcPr>
            <w:tcW w:w="1211" w:type="dxa"/>
            <w:noWrap w:val="0"/>
            <w:vAlign w:val="center"/>
          </w:tcPr>
          <w:p w14:paraId="712DAC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重庆市长寿区文化和旅游发展委员会</w:t>
            </w:r>
          </w:p>
        </w:tc>
        <w:tc>
          <w:tcPr>
            <w:tcW w:w="2789" w:type="dxa"/>
            <w:noWrap w:val="0"/>
            <w:vAlign w:val="center"/>
          </w:tcPr>
          <w:p w14:paraId="1A6796A2">
            <w:pPr>
              <w:keepNext w:val="0"/>
              <w:keepLines w:val="0"/>
              <w:pageBreakBefore w:val="0"/>
              <w:kinsoku/>
              <w:overflowPunct/>
              <w:topLinePunct w:val="0"/>
              <w:autoSpaceDE/>
              <w:autoSpaceDN/>
              <w:bidi w:val="0"/>
              <w:adjustRightInd w:val="0"/>
              <w:snapToGrid w:val="0"/>
              <w:spacing w:line="360" w:lineRule="exact"/>
              <w:jc w:val="left"/>
              <w:textAlignment w:val="auto"/>
              <w:rPr>
                <w:rFonts w:hint="default" w:ascii="仿宋_GB2312" w:hAnsi="宋体" w:eastAsia="仿宋_GB2312"/>
                <w:bCs/>
                <w:sz w:val="24"/>
                <w:u w:val="single"/>
                <w:lang w:eastAsia="zh-CN"/>
              </w:rPr>
            </w:pPr>
            <w:r>
              <w:rPr>
                <w:rFonts w:hint="eastAsia" w:ascii="仿宋_GB2312" w:hAnsi="宋体" w:eastAsia="仿宋_GB2312" w:cs="宋体"/>
                <w:color w:val="000000"/>
                <w:kern w:val="0"/>
                <w:sz w:val="24"/>
                <w:lang w:val="en-US" w:eastAsia="zh-CN"/>
              </w:rPr>
              <w:t>重庆海外旅业（旅行社）集团有限公司长寿门市部</w:t>
            </w:r>
          </w:p>
          <w:p w14:paraId="19A00C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p>
        </w:tc>
        <w:tc>
          <w:tcPr>
            <w:tcW w:w="1720" w:type="dxa"/>
            <w:noWrap w:val="0"/>
            <w:vAlign w:val="center"/>
          </w:tcPr>
          <w:p w14:paraId="4EEA76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仿宋_GB2312" w:eastAsia="仿宋_GB2312"/>
                <w:sz w:val="24"/>
                <w:szCs w:val="32"/>
              </w:rPr>
              <w:t>依据</w:t>
            </w:r>
            <w:r>
              <w:rPr>
                <w:rFonts w:hint="eastAsia" w:ascii="仿宋_GB2312" w:hAnsi="仿宋_GB2312" w:eastAsia="仿宋_GB2312"/>
                <w:color w:val="000000"/>
                <w:sz w:val="24"/>
              </w:rPr>
              <w:t>《</w:t>
            </w:r>
            <w:r>
              <w:rPr>
                <w:rFonts w:hint="eastAsia" w:ascii="仿宋_GB2312" w:hAnsi="仿宋_GB2312" w:eastAsia="仿宋_GB2312"/>
                <w:color w:val="000000"/>
                <w:sz w:val="24"/>
                <w:lang w:val="en-US" w:eastAsia="zh-CN"/>
              </w:rPr>
              <w:t>旅行社条例实施细则</w:t>
            </w:r>
            <w:r>
              <w:rPr>
                <w:rFonts w:hint="eastAsia" w:ascii="仿宋_GB2312" w:hAnsi="仿宋_GB2312" w:eastAsia="仿宋_GB2312"/>
                <w:color w:val="000000"/>
                <w:sz w:val="24"/>
              </w:rPr>
              <w:t>》第</w:t>
            </w:r>
            <w:r>
              <w:rPr>
                <w:rFonts w:hint="eastAsia" w:ascii="仿宋_GB2312" w:hAnsi="仿宋_GB2312" w:eastAsia="仿宋_GB2312"/>
                <w:color w:val="000000"/>
                <w:sz w:val="24"/>
                <w:lang w:val="en-US" w:eastAsia="zh-CN"/>
              </w:rPr>
              <w:t>五十七</w:t>
            </w:r>
            <w:bookmarkStart w:id="0" w:name="_GoBack"/>
            <w:bookmarkEnd w:id="0"/>
            <w:r>
              <w:rPr>
                <w:rFonts w:hint="eastAsia" w:ascii="仿宋_GB2312" w:hAnsi="仿宋_GB2312" w:eastAsia="仿宋_GB2312"/>
                <w:color w:val="000000"/>
                <w:sz w:val="24"/>
                <w:lang w:val="en-US" w:eastAsia="zh-CN"/>
              </w:rPr>
              <w:t>条</w:t>
            </w:r>
            <w:r>
              <w:rPr>
                <w:rFonts w:hint="eastAsia" w:ascii="仿宋_GB2312" w:eastAsia="仿宋_GB2312"/>
                <w:sz w:val="24"/>
                <w:szCs w:val="32"/>
              </w:rPr>
              <w:t>。</w:t>
            </w:r>
          </w:p>
        </w:tc>
        <w:tc>
          <w:tcPr>
            <w:tcW w:w="1880" w:type="dxa"/>
            <w:noWrap w:val="0"/>
            <w:vAlign w:val="center"/>
          </w:tcPr>
          <w:p w14:paraId="11733DB7">
            <w:pPr>
              <w:adjustRightInd w:val="0"/>
              <w:snapToGrid w:val="0"/>
              <w:spacing w:line="320" w:lineRule="exact"/>
              <w:jc w:val="left"/>
              <w:rPr>
                <w:rFonts w:hint="eastAsia" w:ascii="仿宋_GB2312" w:hAnsi="宋体" w:eastAsia="仿宋_GB2312"/>
                <w:bCs/>
                <w:sz w:val="24"/>
                <w:lang w:val="en-US" w:eastAsia="zh-CN"/>
              </w:rPr>
            </w:pPr>
            <w:r>
              <w:rPr>
                <w:rFonts w:hint="eastAsia" w:ascii="仿宋_GB2312" w:hAnsi="宋体" w:eastAsia="仿宋_GB2312"/>
                <w:bCs/>
                <w:sz w:val="24"/>
                <w:lang w:eastAsia="zh-CN"/>
              </w:rPr>
              <w:t>警告</w:t>
            </w:r>
          </w:p>
          <w:p w14:paraId="30A9F3B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方正仿宋_GBK" w:hAnsi="方正仿宋_GBK" w:eastAsia="方正仿宋_GBK" w:cs="方正仿宋_GBK"/>
                <w:kern w:val="2"/>
                <w:sz w:val="24"/>
                <w:szCs w:val="24"/>
                <w:vertAlign w:val="baseline"/>
                <w:lang w:val="en-US" w:eastAsia="zh-CN" w:bidi="ar-SA"/>
              </w:rPr>
            </w:pPr>
          </w:p>
        </w:tc>
        <w:tc>
          <w:tcPr>
            <w:tcW w:w="1880" w:type="dxa"/>
            <w:noWrap w:val="0"/>
            <w:vAlign w:val="center"/>
          </w:tcPr>
          <w:p w14:paraId="5AE093D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2024年11月27日</w:t>
            </w:r>
          </w:p>
        </w:tc>
        <w:tc>
          <w:tcPr>
            <w:tcW w:w="1453" w:type="dxa"/>
            <w:noWrap w:val="0"/>
            <w:vAlign w:val="center"/>
          </w:tcPr>
          <w:p w14:paraId="0166D3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方正仿宋_GBK" w:hAnsi="方正仿宋_GBK" w:eastAsia="方正仿宋_GBK" w:cs="方正仿宋_GBK"/>
                <w:sz w:val="24"/>
                <w:szCs w:val="24"/>
                <w:vertAlign w:val="baseline"/>
                <w:lang w:val="en-US" w:eastAsia="zh-CN"/>
              </w:rPr>
            </w:pPr>
            <w:r>
              <w:rPr>
                <w:rFonts w:hint="eastAsia" w:ascii="方正仿宋_GBK" w:hAnsi="方正仿宋_GBK" w:eastAsia="方正仿宋_GBK" w:cs="方正仿宋_GBK"/>
                <w:sz w:val="24"/>
                <w:szCs w:val="24"/>
                <w:vertAlign w:val="baseline"/>
                <w:lang w:val="en-US" w:eastAsia="zh-CN"/>
              </w:rPr>
              <w:t>行政处罚</w:t>
            </w:r>
          </w:p>
        </w:tc>
        <w:tc>
          <w:tcPr>
            <w:tcW w:w="946" w:type="dxa"/>
            <w:noWrap w:val="0"/>
            <w:vAlign w:val="center"/>
          </w:tcPr>
          <w:p w14:paraId="06D471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仿宋_GBK" w:hAnsi="方正仿宋_GBK" w:eastAsia="方正仿宋_GBK" w:cs="方正仿宋_GBK"/>
                <w:sz w:val="24"/>
                <w:szCs w:val="24"/>
                <w:vertAlign w:val="baseline"/>
                <w:lang w:val="en-US" w:eastAsia="zh-CN"/>
              </w:rPr>
            </w:pPr>
          </w:p>
        </w:tc>
      </w:tr>
      <w:tr w14:paraId="125E4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5373" w:type="dxa"/>
            <w:gridSpan w:val="10"/>
            <w:noWrap w:val="0"/>
            <w:vAlign w:val="center"/>
          </w:tcPr>
          <w:p w14:paraId="2358BA91">
            <w:pPr>
              <w:keepNext w:val="0"/>
              <w:keepLines w:val="0"/>
              <w:pageBreakBefore w:val="0"/>
              <w:widowControl w:val="0"/>
              <w:tabs>
                <w:tab w:val="center" w:pos="6985"/>
                <w:tab w:val="left" w:pos="7519"/>
              </w:tabs>
              <w:kinsoku/>
              <w:wordWrap/>
              <w:overflowPunct/>
              <w:topLinePunct w:val="0"/>
              <w:autoSpaceDE/>
              <w:autoSpaceDN/>
              <w:bidi w:val="0"/>
              <w:adjustRightInd/>
              <w:snapToGrid/>
              <w:spacing w:line="400" w:lineRule="exact"/>
              <w:jc w:val="left"/>
              <w:textAlignment w:val="auto"/>
              <w:rPr>
                <w:rFonts w:hint="default"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4"/>
                <w:szCs w:val="24"/>
                <w:vertAlign w:val="baseline"/>
                <w:lang w:val="en-US" w:eastAsia="zh-CN"/>
              </w:rPr>
              <w:t>说明：1.</w:t>
            </w:r>
            <w:r>
              <w:rPr>
                <w:rFonts w:hint="eastAsia" w:ascii="方正仿宋_GBK" w:hAnsi="方正仿宋_GBK" w:eastAsia="方正仿宋_GBK" w:cs="方正仿宋_GBK"/>
                <w:sz w:val="24"/>
                <w:szCs w:val="24"/>
                <w:vertAlign w:val="baseline"/>
                <w:lang w:val="en-US" w:eastAsia="zh-CN"/>
              </w:rPr>
              <w:t>行政许可、行政处罚决定作出之日起7个工作日内，其他执法决定作出之日起20个工作日内，作出决定的行政执法机关要主动在区政府网站“行政执法”专栏向社会公布执法机关、执法对象、执法类别、执法结论等信息，接受社会监督，法律、行政法规另有规定的除外。2.行政执法机关的上级主管部门对本部门执法结果信息公示有特别要求的，按照其要求执行。3.涉及国家秘密、商业秘密、个人隐私等不宜公开的信息，依法确须公开的，要作适当处理后公开。</w:t>
            </w:r>
          </w:p>
        </w:tc>
      </w:tr>
    </w:tbl>
    <w:p w14:paraId="67F590E3">
      <w:pPr>
        <w:rPr>
          <w:vanish/>
          <w:sz w:val="21"/>
        </w:rPr>
      </w:pPr>
    </w:p>
    <w:sectPr>
      <w:pgSz w:w="16838" w:h="11906" w:orient="landscape"/>
      <w:pgMar w:top="198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OGNhZTcyZjRlOGQxMmEzZWRiZTQ2ODhmZmJlOWMifQ=="/>
  </w:docVars>
  <w:rsids>
    <w:rsidRoot w:val="7F4B42FC"/>
    <w:rsid w:val="00E775F4"/>
    <w:rsid w:val="03264520"/>
    <w:rsid w:val="1F790E4A"/>
    <w:rsid w:val="2A72351A"/>
    <w:rsid w:val="362544F6"/>
    <w:rsid w:val="38C02141"/>
    <w:rsid w:val="39383BDC"/>
    <w:rsid w:val="39524BC7"/>
    <w:rsid w:val="41FF6C98"/>
    <w:rsid w:val="468F0357"/>
    <w:rsid w:val="54683E36"/>
    <w:rsid w:val="5C8B5CEB"/>
    <w:rsid w:val="5D091186"/>
    <w:rsid w:val="5D1464F0"/>
    <w:rsid w:val="5EFF11C9"/>
    <w:rsid w:val="62604784"/>
    <w:rsid w:val="6AEE50FD"/>
    <w:rsid w:val="6D3E5B44"/>
    <w:rsid w:val="73005B71"/>
    <w:rsid w:val="77306DC3"/>
    <w:rsid w:val="7BB2154E"/>
    <w:rsid w:val="7F4B4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402</Words>
  <Characters>421</Characters>
  <Lines>0</Lines>
  <Paragraphs>0</Paragraphs>
  <TotalTime>246</TotalTime>
  <ScaleCrop>false</ScaleCrop>
  <LinksUpToDate>false</LinksUpToDate>
  <CharactersWithSpaces>421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2021-11-07T02:57:00Z</dcterms:created>
  <dc:creator>^</dc:creator>
  <cp:lastModifiedBy>Administrator</cp:lastModifiedBy>
  <dcterms:modified xsi:type="dcterms:W3CDTF">2024-12-03T01:41:02Z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FCCDD94457FB4E67B22607BB3395C7CB_13</vt:lpwstr>
  </property>
</Properties>
</file>