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78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重庆市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长寿区2019年国民经济与社会发展</w:t>
      </w:r>
    </w:p>
    <w:p>
      <w:pPr>
        <w:widowControl w:val="0"/>
        <w:wordWrap/>
        <w:adjustRightInd/>
        <w:snapToGrid/>
        <w:spacing w:line="578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统计公报</w:t>
      </w:r>
    </w:p>
    <w:p>
      <w:pPr>
        <w:widowControl w:val="0"/>
        <w:wordWrap/>
        <w:adjustRightInd/>
        <w:snapToGrid/>
        <w:spacing w:line="578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78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重庆市长寿区统计局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2020年4月22日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2019年，全区上下坚持以习近平新时代中国特色社会主义思想为指导，全面落实习近平总书记对重庆提出的“两点”定位、“两地”“两高”目标、发挥“三个作用”和营造良好政治生态的重要指示要求，坚持稳中求进工作总基调，深入贯彻新发展理念，落实高质量发展要求，深化供给侧结构性改革，持续打好“三大攻坚战”，大力实施“八项行动计划”，统筹推进稳增长、促改革、调结构、惠民生、防风险、保稳定，全区经济稳中有进。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一、综合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初步核算，全年地区生产总值701.2亿元，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按可比价计算，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比上年增长8.8%。其中，第一产业增加值51.8亿元，增长3.5%；第二产业增加值402.8亿元，增长11.2%；第三产业增加值246.6亿元，增长6.2%。三次产业结构比为7.4:57.5:35.1。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非公有制经济增加值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456.7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13.1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%，占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GDP比重65.1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，其中，民营经济增加值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382.2亿元、增长14.3%，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GDP比重54.5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，外商港澳台经济增加值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74.5亿元、增长7.4%，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GDP比重10.6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按常住人口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计算，人均地区生产总值81681元，比上年增加11077元。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2019年年末，常住人口86.2万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，比上年末增加0.7万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，其中城镇常住人口58.46万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，城镇化率67.82%。户籍人口89.1万人，其中，城镇人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口38.7万人，乡村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人口50.4万人。出生人口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7252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人，死亡人口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4768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人，人口自然增长率1.2‰。人口性别比为102.5（以女性为100，男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性对女性的比例）。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城镇新增就业20872人，城镇登记失业人员再就业6018人。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年末城镇登记失业率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2.9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比上年末下降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0.2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个百分点。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末全区共有各类市场主体67598户、增长13.9%（其中内资企业16339户、外资企业110户、个体工商户50548户、农民专业合作社601户）；新增市场主体12528户（其中内资企业2453户、外资企业20户、个体工商户9986户、农民专业合作社69户）。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二、农业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全年实现农林牧渔业及其服务业增加值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53.0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亿元，增长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%。实现农业总产值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78.7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亿元，增长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14.8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%。粮食播种面积89.9万亩，油菜播种面积8.7万亩，蔬菜播种面积21.1万亩，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水果投产面积22.6万亩，水产养殖面积15.5万亩。粮食产量33万吨，油料产量1.1万吨，蔬菜产量36.3万吨，水果产量20.5万吨，水产产量4.2万吨，生猪出栏46.5万头，家禽出栏1120万只，家禽存栏696万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只，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蛋产量5.7万吨，奶牛存栏559头，牛奶产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量3258吨。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三、工业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工业增加值334.3亿元，增长12.9%，占全区地区生产总值的47.7%。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规模以上工业企业266户，实现总产值1084.2亿元、增长14.4%，其中，长寿经开区规模以上工业企业总产值828.1亿元、增长9.6%，长寿高新区规模以上工业企业总产值247亿元、增长34.6%。规上工业利润总额40.8亿元，下降25.7%；主营业务收入1027.2亿元，增长16.4%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工业税收32.8亿元，下降13.5%。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钢筋产量155.9万吨、增长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58.7%，厚钢板产量118.8万吨、增长24.1%，粗钢产量823.4万吨、增长29%，精甲醇产量161.6万吨、下降5.8%，合成氨产量10.6万吨、增长38.9%，冰醋酸产量39.3万吨、增长6.7%， MDI产量32.2万吨、增长19.1%，橡胶轮胎外胎产量640万条、下降18.9%，发动机产量2356万千瓦、下降6.4%，家具产量323.3万套、增长19.6%。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全年规上工业能源消耗总量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972.9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万吨标准煤，增长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9.0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%。其中，规上工业用电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73.8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亿度，增长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14.9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%；规上工业用煤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669.2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万吨，增长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6.1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%；规上工业用天然气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26.5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亿立方米，下降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12.3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%；规上工业用热力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2219.3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万百万千焦，增长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0.6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四、建筑业和投资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全年实现建筑业增加值68.5亿元，增长2.7%，占全区地区生产总值的9.7%。全年完成固定资产投资总额244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亿元，增长15.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%，其中，基础设施建设投资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68.4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%；工业投资127亿元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技改投资55.8亿元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，增长29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%；房地产开发投资27.9亿元，增长6.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%。商品房销售面积94.4万平方米，下降2.9 %。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五、国内贸易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年批发和零售业实现增加值64.2亿元，增长7.4%，占全区地区生产总值的9.1%；住宿和餐饮业实现增加值10.9亿元，增长6.4%，占全区地区生产总值的1.6%。全年社会消费品零售总额244.1亿元、增长12.8%，批发零售业销售总额796.6亿元、增长16.2%，住宿餐饮业营业收入41.7亿元、增长14.5%。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六、服务业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全年交通运输、仓储和邮政业增加值26.3亿元，增长4.7%，占GDP比重3.8%；金融业增加值22.1亿元，增长3.2%，占GDP比重3.2%；其他服务业增加值88.1亿元，增长7.2%，占GDP比重12.6%。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全年公路水路旅客运输总量885.8万人次，减少11.7%，其中，公路客运量881万人次，减少11.8%，公路旅客周转量47410万人公里，减少15.7%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水路客运量4.8万人次，增长18.2%，水路旅客周转量49.7万人公里，增长10.9%。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公路水路货物运输总量6312.1万吨，增长2.1%。公路货运量6116万吨，增长2.1%，公路货物周转量784091万吨公里，增长9.5%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水路货运量196.1万吨，增长2.9%，水路货物周转量457021万吨公里，增长8.5%。港口吞吐量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1369万吨，增长13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公路总里程3547公里，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行政村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通达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通畅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率100%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。铁路通车里程125公里，长寿铁路发送人数191.1万人次，到达人数196.3万人次。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七、对外经济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外贸进出口总额118.5亿元，其中，出口额78.6亿元，下降32%；进口额39.8亿元，增长126%。实现离岸服务外包执行额1.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亿美元，实际利用外资1亿美元。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全年招商引资共引进项目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个，项目合同总金额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576.6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亿元。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八、财政金融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全年一般公共财政预算收入35.2亿元，同口径增长0.1%，其中税收收入26.4亿元，占一般公共预算收入的75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%。一般公共预算支出74.1亿元，增长11.1%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其中，教育支出15亿元，增长11.6%；社会保障和就业支出9.3亿元，增长0.8%；卫生健康支出8.8亿元，下降2.9%。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年末，全区共有金融机构56家，其中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银行业金融机构15家、保险业金融机构27家（财险12家，寿险10家，保险中介5家）、证券公司1家、融资性担保公司1家、小额贷款公司3家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股权投资企业6家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典当行3家。金融机构本外币存贷款总额952.8亿元、增长9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，其中，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存款余额为582.9亿元、增长10.8%；贷款余额为369.9亿元、增长11.2%。实现保费收入14.6亿元、增长3.3%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其中，寿险收入10.3亿元、增长12.9%；财险收入4.4亿元、下降13.9%。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九、居民收入消费和社会保障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全区居民人均可支配收入30918元，增长9.9%。城镇常住居民人均可支配收入38056元，增长8.6%，农村常住居民人均可支配收入17019元，增长9.3%。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全区居民人均消费支出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22667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元，增长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15.8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%。城镇居民人均消费支出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27305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元，增长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15.3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%；农村居民人均消费支出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13634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元，增长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12.3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%。全区居民恩格尔系数为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32.8%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，比上年下降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个百分点。其中城镇为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31.7%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，农村为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36.8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城镇职工基本医疗保险参保人数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14.9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万人，增长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6.1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%。城乡居民基本医疗保险参保人数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64.3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万人，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9.4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%。生育保险参保人数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8.7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万人，增长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7.9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%。失业保险参保人数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9.7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万人，增长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0.3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十、科学技术与教育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全区拥有科研机构数72个，实施科技项目数43个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，项目投资额239.7万元。科技成果登记126件，技术合同交易148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，合同金额2078.5万元。累计培育科技型企业408家、高新技术企业66家、高成长性企业27家、市级研发机构40家，国家科技成果登记126件。建成市级研发中心5个、区级研发中心10个。申请专利数986件，新授权专利827件，万人有效发明专利11.8件、增长57%。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有各级各类学校231所（含化工职业学院、民办学校）、在校学生95399人。其中，中职学校2所，在校学生4458人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普通高中8所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校学生12568人；普通初中14所，在校学生21038人；小学60所，在校学生34105人；其中九年制学校6所，十二年制学校1所；特殊教育1所，在校学生150人；幼儿园137所，在校学生16614人。学前三年入园率为90.8%，义务教育、高中阶段入学率分别为100%和97.2%；高考参考6014人，录取5567人，录取率92.6%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十一、文化旅游、卫生健康和体育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全区有广播电视台（站）1个，文化馆（站）20个，公共图书馆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个，公共图书馆藏书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102.2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万册。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全年接待国内外游客10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万人次，增长12.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%。旅游收入71亿元，增长24.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%。年末全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拥有国家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A级景区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个。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全区有卫生机构504个，其中，公立医院4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所（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三甲医院1所，二级医院3所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，社区卫生服务中心6所，镇卫生院12所，社区卫生服务站8所，村卫生室274个，个体诊所及门诊部164家。共有床位4856张，医疗卫生技术人员2344人，执业医师、助理医师2089人，注册护士3160人。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全区共有体育馆2个，新增健身路径30条，新建市级社区健身点6个。发展等级运动员24人，累计有一级运动员6人、二级运动员18人，二级裁判员50人、三级裁判员80人。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全年共获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市级及以上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金牌50枚、银牌56枚、铜牌47枚。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十二、资源、环境和应急管理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森林面积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97.7万亩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，森林覆盖率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46.0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%；城市园林绿地面积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2081.78公顷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，城区绿化覆盖率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46.98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年平均气温为18.3℃，年总降水量为1097毫米，年总日照时数为953.3小时。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年空气质量优良天数306天，优良天数比例为83.8%，空气中二氧化硫、二氧化氮、可吸入颗粒物、细颗粒物年均浓度分别较2018年下降17.4%、0.7%、1.9%、6.5%。地表水水质总体良好，Ⅰ～Ⅲ类河流水质断面占83.3%，城市集中式饮用水源地水质达标率100%。声环境质量总体保持稳定，区域环境噪声昼间平均等效声级为52.0分贝，城市道路交通干线噪声平均等效声级为64.5分贝。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纵深推进扫黑除恶专项斗争，侦办黑恶势力团伙6个，“八类”案件、侵财案件破案率分别提升38.5%、7.9%。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强重点领域安全监管，生产安全事故起数、死亡人数分别下降4.3%、4.2%，未发生较大及以上生产安全事故。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注：增加值绝对数按现价计算，增长速度按可比价计算。</w:t>
      </w:r>
    </w:p>
    <w:sectPr>
      <w:headerReference r:id="rId4" w:type="default"/>
      <w:footerReference r:id="rId6" w:type="default"/>
      <w:headerReference r:id="rId5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E5AD1"/>
    <w:rsid w:val="000D1BBC"/>
    <w:rsid w:val="001634F1"/>
    <w:rsid w:val="00170235"/>
    <w:rsid w:val="002261E7"/>
    <w:rsid w:val="002747A7"/>
    <w:rsid w:val="002B1876"/>
    <w:rsid w:val="002E5AD1"/>
    <w:rsid w:val="00342550"/>
    <w:rsid w:val="003D2B17"/>
    <w:rsid w:val="00502390"/>
    <w:rsid w:val="0057010A"/>
    <w:rsid w:val="00572751"/>
    <w:rsid w:val="00612ACF"/>
    <w:rsid w:val="006474C8"/>
    <w:rsid w:val="00716ED1"/>
    <w:rsid w:val="00851F16"/>
    <w:rsid w:val="00884A8E"/>
    <w:rsid w:val="009507AE"/>
    <w:rsid w:val="00972AC8"/>
    <w:rsid w:val="00982422"/>
    <w:rsid w:val="00AA3E8B"/>
    <w:rsid w:val="00AF14C2"/>
    <w:rsid w:val="00AF1DAA"/>
    <w:rsid w:val="00B525FC"/>
    <w:rsid w:val="00B9587D"/>
    <w:rsid w:val="00C314C8"/>
    <w:rsid w:val="00C73438"/>
    <w:rsid w:val="00E56ED7"/>
    <w:rsid w:val="00FE000B"/>
    <w:rsid w:val="01D61292"/>
    <w:rsid w:val="0442138C"/>
    <w:rsid w:val="04602B3A"/>
    <w:rsid w:val="04731B5B"/>
    <w:rsid w:val="04897582"/>
    <w:rsid w:val="05500244"/>
    <w:rsid w:val="056F0AF9"/>
    <w:rsid w:val="06AB4C7D"/>
    <w:rsid w:val="09141BF4"/>
    <w:rsid w:val="09184D77"/>
    <w:rsid w:val="0A9358E8"/>
    <w:rsid w:val="0DDB664A"/>
    <w:rsid w:val="0E7F1356"/>
    <w:rsid w:val="0E914AF4"/>
    <w:rsid w:val="0EA74A99"/>
    <w:rsid w:val="0EC6754C"/>
    <w:rsid w:val="1457366A"/>
    <w:rsid w:val="146045B6"/>
    <w:rsid w:val="147A61A9"/>
    <w:rsid w:val="1542236E"/>
    <w:rsid w:val="18BC4BA4"/>
    <w:rsid w:val="196C14C4"/>
    <w:rsid w:val="1B197060"/>
    <w:rsid w:val="1CFF6E22"/>
    <w:rsid w:val="1D8315F9"/>
    <w:rsid w:val="1ECE63D4"/>
    <w:rsid w:val="209C508F"/>
    <w:rsid w:val="24D50BFC"/>
    <w:rsid w:val="25437031"/>
    <w:rsid w:val="262F59B5"/>
    <w:rsid w:val="26303437"/>
    <w:rsid w:val="265D148F"/>
    <w:rsid w:val="26850942"/>
    <w:rsid w:val="2A8C4F5A"/>
    <w:rsid w:val="2D7F4033"/>
    <w:rsid w:val="2FA6143A"/>
    <w:rsid w:val="30BE2542"/>
    <w:rsid w:val="3279475B"/>
    <w:rsid w:val="3332520E"/>
    <w:rsid w:val="33401FA5"/>
    <w:rsid w:val="337E4009"/>
    <w:rsid w:val="34D6203C"/>
    <w:rsid w:val="36091134"/>
    <w:rsid w:val="36875285"/>
    <w:rsid w:val="37BB437D"/>
    <w:rsid w:val="380E3E07"/>
    <w:rsid w:val="38635A90"/>
    <w:rsid w:val="38674496"/>
    <w:rsid w:val="3C9E2902"/>
    <w:rsid w:val="3E191DEE"/>
    <w:rsid w:val="3E6F05FE"/>
    <w:rsid w:val="3E8527A2"/>
    <w:rsid w:val="3F464DDE"/>
    <w:rsid w:val="40741FCD"/>
    <w:rsid w:val="4764152B"/>
    <w:rsid w:val="47EC5F8C"/>
    <w:rsid w:val="4A3F2F5D"/>
    <w:rsid w:val="4AE74670"/>
    <w:rsid w:val="4BAE0BB6"/>
    <w:rsid w:val="4FA407B6"/>
    <w:rsid w:val="515D338B"/>
    <w:rsid w:val="533A7098"/>
    <w:rsid w:val="55671C2C"/>
    <w:rsid w:val="56050830"/>
    <w:rsid w:val="568A5206"/>
    <w:rsid w:val="59BE2B4A"/>
    <w:rsid w:val="5BA16563"/>
    <w:rsid w:val="5BFD0E7B"/>
    <w:rsid w:val="5DC04D89"/>
    <w:rsid w:val="6055781B"/>
    <w:rsid w:val="61813705"/>
    <w:rsid w:val="61927223"/>
    <w:rsid w:val="63754E3A"/>
    <w:rsid w:val="638918DC"/>
    <w:rsid w:val="64E53D97"/>
    <w:rsid w:val="65E55EB8"/>
    <w:rsid w:val="664024C4"/>
    <w:rsid w:val="674412F8"/>
    <w:rsid w:val="68E41F59"/>
    <w:rsid w:val="6989589F"/>
    <w:rsid w:val="6B2931DC"/>
    <w:rsid w:val="706715D1"/>
    <w:rsid w:val="720E5A2E"/>
    <w:rsid w:val="72DC2AB4"/>
    <w:rsid w:val="745B77F1"/>
    <w:rsid w:val="77EB7A4D"/>
    <w:rsid w:val="78FF6291"/>
    <w:rsid w:val="7CAE5A9D"/>
    <w:rsid w:val="7CC20EBA"/>
    <w:rsid w:val="7D707D59"/>
    <w:rsid w:val="7DA13DAB"/>
    <w:rsid w:val="7DA1632A"/>
    <w:rsid w:val="7E851E20"/>
    <w:rsid w:val="7ECC479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ca-3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679</Words>
  <Characters>3874</Characters>
  <Lines>32</Lines>
  <Paragraphs>9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2020-04-07T07:22:00Z</dcterms:created>
  <dc:creator>Administrator</dc:creator>
  <cp:lastModifiedBy>Administrator</cp:lastModifiedBy>
  <cp:lastPrinted>2020-04-23T08:49:00Z</cp:lastPrinted>
  <dcterms:modified xsi:type="dcterms:W3CDTF">2021-01-28T02:42:04Z</dcterms:modified>
  <dc:title>2019年长寿区国民经济与社会发展统计公报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