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8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OLE_LINK1"/>
      <w:r>
        <w:rPr>
          <w:rFonts w:hint="eastAsia" w:ascii="方正小标宋_GBK" w:eastAsia="方正小标宋_GBK"/>
          <w:sz w:val="44"/>
          <w:szCs w:val="44"/>
        </w:rPr>
        <w:t>重庆市长寿区</w:t>
      </w:r>
    </w:p>
    <w:p>
      <w:pPr>
        <w:spacing w:line="558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2017年国民经济和社会发展统计公报</w:t>
      </w:r>
    </w:p>
    <w:p>
      <w:pPr>
        <w:spacing w:line="558" w:lineRule="exact"/>
        <w:rPr>
          <w:rFonts w:ascii="方正仿宋_GBK" w:eastAsia="方正仿宋_GBK"/>
          <w:sz w:val="32"/>
          <w:szCs w:val="32"/>
        </w:rPr>
      </w:pPr>
    </w:p>
    <w:p>
      <w:pPr>
        <w:spacing w:line="558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重庆长寿区统计局</w:t>
      </w:r>
    </w:p>
    <w:p>
      <w:pPr>
        <w:spacing w:line="558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2018年3月28日</w:t>
      </w:r>
    </w:p>
    <w:p>
      <w:pPr>
        <w:spacing w:line="558" w:lineRule="exact"/>
        <w:rPr>
          <w:rFonts w:ascii="方正仿宋_GBK" w:eastAsia="方正仿宋_GBK"/>
          <w:sz w:val="32"/>
          <w:szCs w:val="32"/>
        </w:rPr>
      </w:pPr>
    </w:p>
    <w:p>
      <w:pPr>
        <w:spacing w:line="558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2017年，全区上下认真学习贯彻党的十九大精神，全面落实中央和市委、市政府各项决策部署，坚持稳中求进工作总基调，统筹推进“五位一体”总体布局和协调推进“四个全面”战略布局，统筹推进稳增长、促改革、调结构、惠民生、防风险各项工作，经济运行稳中有进、稳中向好，经济社会保持平稳健康发展。</w:t>
      </w:r>
    </w:p>
    <w:p>
      <w:pPr>
        <w:spacing w:line="558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一、综合</w:t>
      </w:r>
    </w:p>
    <w:p>
      <w:pPr>
        <w:spacing w:line="558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全年实现地区生产总值509.9亿元，比上年增长9.0%。按产业分，第一产业增加值46.3亿元，增长3.9%；第二产业增加值280.5亿元，增长11.4%；第三产业增加值183.1亿元，增长6.6%。三次产业结构比为9.1∶55∶35.9。按常住人口计算，全区人均地区生产总值达到61311元，比上年增加6278元。</w:t>
      </w:r>
    </w:p>
    <w:p>
      <w:pPr>
        <w:spacing w:line="558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年末全区常住人口83.75 万人，城镇化率64.4%，提高1.08个百分点。年末户籍总人口89.2万人，其中农村居民50.5万人。新出生人口8846人，出生率9.86‰。</w:t>
      </w:r>
    </w:p>
    <w:p>
      <w:pPr>
        <w:spacing w:line="558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城镇新增就业人员21855人，下降4.3%。城镇登记失业人员就业6936人，下降6.4%。年末城镇登记失业率2.9%，上升0.69个百分点。</w:t>
      </w:r>
    </w:p>
    <w:p>
      <w:pPr>
        <w:spacing w:line="558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二、农业</w:t>
      </w:r>
    </w:p>
    <w:p>
      <w:pPr>
        <w:spacing w:line="558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全年实现农林牧渔业及其服务业增加值47.4亿元，增长4.2%。实现农业总产值67.4亿元，增长1.7%。全年粮食播种面积106.3万亩，粮食总产量37.7万吨，粮食综合单产355公斤/亩。蔬菜种植面积21.9万亩，总产量35.4万吨，下降1.8%。水果种植面积37.5万亩，总产量26.2万吨，增长7.9%。出栏生猪64.5万头，下降2%。出栏家禽1134.7万只，增长1%。水产品产量35800吨，增长10.2%。</w:t>
      </w:r>
    </w:p>
    <w:p>
      <w:pPr>
        <w:spacing w:line="558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三、工业</w:t>
      </w:r>
    </w:p>
    <w:p>
      <w:pPr>
        <w:spacing w:line="558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全年实现工业增加值202.8亿元，增长11.8%，占全区地区生产总值的39.8%。年末全区拥有规上工业企业249家，全年实现规模以上工业总产值1051.7亿元，增长27.9%。其中，长寿经开区837.9亿元，增长18.6%；长寿工业园区200亿元，增长97.6%。全年完成规上工业销售产值1027.9亿元，增长27.6%；规上工业产品产销率97.74%。规上工业利润总额40.8亿元，实现税金及附加28亿元，增长27.8%。</w:t>
      </w:r>
    </w:p>
    <w:p>
      <w:pPr>
        <w:spacing w:line="558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全年规上工业企业实现钢材产量442万吨，增长27.1%；粗钢产量411.4万吨，增长41.6%；生铁产量384.1万吨，增长33.5%；焦炭产量167.4万吨，增长39.8%；精甲醇产量185.4万吨，增长2.6%；醋酸乙烯产量52.9万吨，增长10.8%；初级形态塑料产量26.2万吨，增长26.8%；冰醋酸产量41.4万吨，增长10.8%。</w:t>
      </w:r>
    </w:p>
    <w:p>
      <w:pPr>
        <w:spacing w:line="558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四、建筑业和固定资产投资</w:t>
      </w:r>
    </w:p>
    <w:p>
      <w:pPr>
        <w:spacing w:line="558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全年实现建筑业增加值77.7亿元，增长10.3%，占GDP比重15.2%。全年完成固定资产投资总额600.8亿元，增长6.6%。其中，工业投资365.1亿元，增长15.7%；房地产开发投资80.8亿元，下降18.4%。全年商品房施工面积426.9万平方米，下降28.9%；商品房销售面积162.7万平方米，下降23.5%。</w:t>
      </w:r>
    </w:p>
    <w:p>
      <w:pPr>
        <w:spacing w:line="558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五、国内贸易</w:t>
      </w:r>
    </w:p>
    <w:p>
      <w:pPr>
        <w:spacing w:line="558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全年批发和零售业实现增加值23.5亿元，增长10.8%，占全区地区生产总值的4.6%；住宿和餐饮业实现增加值16亿元，增长8.4%，占全区地区生产总值的3.1%。全年实现社会消费品零售总额130.8亿元，增长11.6%。按经营地统计，城镇消费品零售额70.8亿元，增长12.1%；乡村消费品零售额59.9亿元，增长11.1%。按行业统计，批发业26.5亿元，增长10.7%；零售业72.9亿元，增长11.6%；住宿业4亿元，增长10.8%；餐饮业27.3亿元，增长12.8%。</w:t>
      </w:r>
    </w:p>
    <w:p>
      <w:pPr>
        <w:spacing w:line="558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六、外经外贸招商</w:t>
      </w:r>
    </w:p>
    <w:p>
      <w:pPr>
        <w:spacing w:line="558" w:lineRule="exact"/>
        <w:ind w:firstLine="640" w:firstLineChars="200"/>
        <w:rPr>
          <w:rFonts w:ascii="方正仿宋_GBK" w:eastAsia="方正仿宋_GBK"/>
          <w:color w:val="FF000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全年实际利用内资230.7亿元，下降4.7%。实际利用外资1.6亿美元，下降21.7%。全年实现进出口总额108亿元，增长65.6%。</w:t>
      </w:r>
    </w:p>
    <w:p>
      <w:pPr>
        <w:spacing w:line="558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全年招商引资共引进项目153个，项目合同总金额618亿元，实际到位资金245亿元。签约百亿级特大项目4个、十到百亿级重大项目19个、一到十亿级重点项目67个，引进战略性新兴产业项目46个，引资占工业板块38.6%。</w:t>
      </w:r>
    </w:p>
    <w:p>
      <w:pPr>
        <w:spacing w:line="558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七、交通、旅游</w:t>
      </w:r>
    </w:p>
    <w:p>
      <w:pPr>
        <w:spacing w:line="558" w:lineRule="exact"/>
        <w:ind w:firstLine="640" w:firstLineChars="200"/>
        <w:rPr>
          <w:rFonts w:ascii="方正仿宋_GBK" w:eastAsia="方正仿宋_GBK"/>
          <w:color w:val="FF000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全年交通运输、仓储和邮政业实现增加值52.1亿元，增长11%，占全区地区生产总值的10.2%。公路货运周转量60.7亿吨公里，增长17.3%，公路客运周转量6.6亿人公里，下降31.7%；水上货运周转量39.4亿吨公里，增长14.4%，水上客运周转量37万人公里，与上年基本持平。铁路旅客发送量162.6万人次，铁路旅客到达量166.7万人次，铁路货物发送量76.6万吨，铁路货物到达量396.3万吨。</w:t>
      </w:r>
    </w:p>
    <w:p>
      <w:pPr>
        <w:spacing w:line="558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全年实现旅游收入52亿元，增长12%；旅游人数850万人次，增长10.4%。菩提山成功创建国家4A级景区，十里柚香·百里花海、清迈良园核心区基本建成，乡村休闲旅游收入近4亿元。</w:t>
      </w:r>
    </w:p>
    <w:p>
      <w:pPr>
        <w:spacing w:line="558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 xml:space="preserve">八、财税、金融 </w:t>
      </w:r>
    </w:p>
    <w:p>
      <w:pPr>
        <w:spacing w:line="558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全年地方财政收入91.3亿元，增长1.2%，其中一般公共预算收入36.8亿元，增长1.3%。一般公共预算收入中税收收入27.8亿元，增长1.9%。全年地方财政支出122.5亿元，下降3.7%，其中一般公共预算支出66.8亿元，增长3.3%。</w:t>
      </w:r>
    </w:p>
    <w:p>
      <w:pPr>
        <w:spacing w:line="558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全年金融业实现增加值22亿元，增长3.3%，占全区地区生产总值的4.3%。年末全区金融机构本外币存款余额为508.2亿元，增长2.3%；金融机构本外币贷款余额为294.7亿元，增长0.2%。</w:t>
      </w:r>
    </w:p>
    <w:p>
      <w:pPr>
        <w:spacing w:line="558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九、人民生活和社会服务</w:t>
      </w:r>
    </w:p>
    <w:p>
      <w:pPr>
        <w:spacing w:line="558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全区居民人均可支配收入25821元，增长9.8%。按常住地分，城镇常住居民人均可支配收入32428元，增长8.4%；农村常住居民人均可支配收入14418元，增长8.8%。</w:t>
      </w:r>
    </w:p>
    <w:p>
      <w:pPr>
        <w:spacing w:line="558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脱贫攻坚精准发力。投入3000万元支持10个脱贫村发展，全区新脱贫529户、1316人。支持贫困户发展产业、转移就业，设立3000万元免息免担保金融扶贫产业资金，累计培育40名致富带头人，帮助824名贫困人员实现就业。分类帮扶因学、因病致贫人员，发放教育扶贫款432.4万元、资助贫困户学生4916人次，基本医疗保险实现扶贫对象全覆盖，投入170余万元为建档立卡贫困户购买精准扶贫保险。实施兜底扶贫近1.3万人次，发放低保兜底金287.5万元。</w:t>
      </w:r>
    </w:p>
    <w:p>
      <w:pPr>
        <w:spacing w:line="558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城乡养老保险、医疗保险参保率分别达96%和100%，发放城乡低保金7562万元、医疗救助金3713万元、特困人员基本生活费3627万元、临时救助金662.6万元，使用住房公积金8.2亿元，支持2.1万人购房，新配租公租房3086户，解决7700余人住房困难。</w:t>
      </w:r>
    </w:p>
    <w:p>
      <w:pPr>
        <w:spacing w:line="558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十、教育和科技</w:t>
      </w:r>
    </w:p>
    <w:p>
      <w:pPr>
        <w:spacing w:line="558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全区共有教育机构195个，教职工8040人。其中幼儿园97所，教职工1499人；小学65所，教职工2743人；九年制学校7所，教职工494人；初级中学14所，教职工856人；完全中学8所，教职工2157人；职业学校2所，教职工214人。全区共有在校学生91915人，其中幼儿园在园儿童16363人，小学生38026人，初中学生19458人，高中学生13229人，职业教育学生4696人。全区共有民办教育机构78个，教职工1402人，学生12471人；其中民办幼儿园74个，教职工1230人，在园儿童11144人。中小学校标准化率达90%，幼儿园、义务教育、高中阶段入学率分别达90%、100%和97.8%，</w:t>
      </w:r>
      <w:r>
        <w:rPr>
          <w:rFonts w:ascii="Calibri" w:hAnsi="Calibri" w:eastAsia="方正仿宋_GBK" w:cs="Times New Roman"/>
          <w:sz w:val="32"/>
          <w:szCs w:val="32"/>
        </w:rPr>
        <w:t>高考上线</w:t>
      </w:r>
      <w:r>
        <w:rPr>
          <w:rFonts w:hint="eastAsia" w:ascii="Calibri" w:hAnsi="Calibri" w:eastAsia="方正仿宋_GBK" w:cs="Times New Roman"/>
          <w:sz w:val="32"/>
          <w:szCs w:val="32"/>
        </w:rPr>
        <w:t>5384</w:t>
      </w:r>
      <w:r>
        <w:rPr>
          <w:rFonts w:ascii="Calibri" w:hAnsi="Calibri" w:eastAsia="方正仿宋_GBK" w:cs="Times New Roman"/>
          <w:sz w:val="32"/>
          <w:szCs w:val="32"/>
        </w:rPr>
        <w:t>人（其中重本上线</w:t>
      </w:r>
      <w:r>
        <w:rPr>
          <w:rFonts w:hint="eastAsia" w:ascii="Calibri" w:hAnsi="Calibri" w:eastAsia="方正仿宋_GBK" w:cs="Times New Roman"/>
          <w:sz w:val="32"/>
          <w:szCs w:val="32"/>
        </w:rPr>
        <w:t>938</w:t>
      </w:r>
      <w:r>
        <w:rPr>
          <w:rFonts w:ascii="Calibri" w:hAnsi="Calibri" w:eastAsia="方正仿宋_GBK" w:cs="Times New Roman"/>
          <w:sz w:val="32"/>
          <w:szCs w:val="32"/>
        </w:rPr>
        <w:t>人），</w:t>
      </w:r>
      <w:r>
        <w:rPr>
          <w:rFonts w:hint="eastAsia" w:ascii="Calibri" w:hAnsi="Calibri" w:eastAsia="方正仿宋_GBK" w:cs="Times New Roman"/>
          <w:sz w:val="32"/>
          <w:szCs w:val="32"/>
        </w:rPr>
        <w:t>上线率96.</w:t>
      </w:r>
      <w:r>
        <w:rPr>
          <w:rFonts w:hint="eastAsia" w:eastAsia="方正仿宋_GBK"/>
          <w:sz w:val="32"/>
          <w:szCs w:val="32"/>
        </w:rPr>
        <w:t>9</w:t>
      </w:r>
      <w:r>
        <w:rPr>
          <w:rFonts w:hint="eastAsia" w:ascii="Calibri" w:hAnsi="Calibri" w:eastAsia="方正仿宋_GBK" w:cs="Times New Roman"/>
          <w:sz w:val="32"/>
          <w:szCs w:val="32"/>
        </w:rPr>
        <w:t>%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实施区级科技项目33项、创新奖励219项，万人有效发明专利达3.9件；建成市级研发中心25个、区级研发中心17个、市级众创空间3家、院士工作站2家。</w:t>
      </w:r>
    </w:p>
    <w:p>
      <w:pPr>
        <w:spacing w:line="558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十一、文化体育和卫生</w:t>
      </w:r>
    </w:p>
    <w:p>
      <w:pPr>
        <w:spacing w:line="558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2017年</w:t>
      </w:r>
      <w:r>
        <w:rPr>
          <w:rFonts w:ascii="方正仿宋_GBK" w:hAnsi="Calibri" w:eastAsia="方正仿宋_GBK" w:cs="Times New Roman"/>
          <w:sz w:val="32"/>
          <w:szCs w:val="32"/>
        </w:rPr>
        <w:t>成功举办了</w:t>
      </w:r>
      <w:r>
        <w:rPr>
          <w:rFonts w:hint="eastAsia" w:ascii="方正仿宋_GBK" w:hAnsi="Calibri" w:eastAsia="方正仿宋_GBK" w:cs="Times New Roman"/>
          <w:sz w:val="32"/>
          <w:szCs w:val="32"/>
        </w:rPr>
        <w:t>第二届</w:t>
      </w:r>
      <w:r>
        <w:rPr>
          <w:rFonts w:ascii="方正仿宋_GBK" w:hAnsi="Calibri" w:eastAsia="方正仿宋_GBK" w:cs="Times New Roman"/>
          <w:sz w:val="32"/>
          <w:szCs w:val="32"/>
        </w:rPr>
        <w:t>长寿湖龙舟赛、</w:t>
      </w:r>
      <w:r>
        <w:rPr>
          <w:rFonts w:hint="eastAsia" w:ascii="方正仿宋_GBK" w:hAnsi="Calibri" w:eastAsia="方正仿宋_GBK" w:cs="Times New Roman"/>
          <w:sz w:val="32"/>
          <w:szCs w:val="32"/>
        </w:rPr>
        <w:t>第八届长寿湖铁人三项赛、首届长寿湖半程马拉松赛和新年登高活动等大型文化体育赛事，举办了</w:t>
      </w:r>
      <w:r>
        <w:rPr>
          <w:rFonts w:ascii="方正仿宋_GBK" w:hAnsi="Calibri" w:eastAsia="方正仿宋_GBK" w:cs="Times New Roman"/>
          <w:sz w:val="32"/>
          <w:szCs w:val="32"/>
        </w:rPr>
        <w:t>2017年新春音乐会、10场全民艺术普及戏曲进校园活动、20场文化进社区演出活动等区级文体活动</w:t>
      </w:r>
      <w:r>
        <w:rPr>
          <w:rFonts w:hint="eastAsia" w:ascii="方正仿宋_GBK" w:hAnsi="Calibri" w:eastAsia="方正仿宋_GBK" w:cs="Times New Roman"/>
          <w:sz w:val="32"/>
          <w:szCs w:val="32"/>
        </w:rPr>
        <w:t>100余场。</w:t>
      </w:r>
    </w:p>
    <w:p>
      <w:pPr>
        <w:spacing w:line="558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Calibri" w:eastAsia="方正仿宋_GBK" w:cs="Times New Roman"/>
          <w:sz w:val="32"/>
          <w:szCs w:val="32"/>
        </w:rPr>
        <w:t>投入400万元提档升级19个街镇文化服务中心</w:t>
      </w:r>
      <w:r>
        <w:rPr>
          <w:rFonts w:hint="eastAsia" w:ascii="方正仿宋_GBK" w:eastAsia="方正仿宋_GBK"/>
          <w:sz w:val="32"/>
          <w:szCs w:val="32"/>
        </w:rPr>
        <w:t>，</w:t>
      </w:r>
      <w:r>
        <w:rPr>
          <w:rFonts w:hint="eastAsia" w:ascii="方正仿宋_GBK" w:hAnsi="Calibri" w:eastAsia="方正仿宋_GBK" w:cs="Times New Roman"/>
          <w:sz w:val="32"/>
          <w:szCs w:val="32"/>
        </w:rPr>
        <w:t>建成了19个街镇文图分馆</w:t>
      </w:r>
      <w:r>
        <w:rPr>
          <w:rFonts w:hint="eastAsia" w:ascii="方正仿宋_GBK" w:eastAsia="方正仿宋_GBK"/>
          <w:sz w:val="32"/>
          <w:szCs w:val="32"/>
        </w:rPr>
        <w:t>、</w:t>
      </w:r>
      <w:r>
        <w:rPr>
          <w:rFonts w:hint="eastAsia" w:ascii="方正仿宋_GBK" w:hAnsi="Calibri" w:eastAsia="方正仿宋_GBK" w:cs="Times New Roman"/>
          <w:sz w:val="32"/>
          <w:szCs w:val="32"/>
        </w:rPr>
        <w:t>42</w:t>
      </w:r>
      <w:r>
        <w:rPr>
          <w:rFonts w:ascii="方正仿宋_GBK" w:hAnsi="Calibri" w:eastAsia="方正仿宋_GBK" w:cs="Times New Roman"/>
          <w:sz w:val="32"/>
          <w:szCs w:val="32"/>
        </w:rPr>
        <w:t>个</w:t>
      </w:r>
      <w:r>
        <w:rPr>
          <w:rFonts w:hint="eastAsia" w:ascii="方正仿宋_GBK" w:hAnsi="Calibri" w:eastAsia="方正仿宋_GBK" w:cs="Times New Roman"/>
          <w:sz w:val="32"/>
          <w:szCs w:val="32"/>
        </w:rPr>
        <w:t>社区</w:t>
      </w:r>
      <w:r>
        <w:rPr>
          <w:rFonts w:ascii="方正仿宋_GBK" w:hAnsi="Calibri" w:eastAsia="方正仿宋_GBK" w:cs="Times New Roman"/>
          <w:sz w:val="32"/>
          <w:szCs w:val="32"/>
        </w:rPr>
        <w:t>综合文化服务中心、8个社区</w:t>
      </w:r>
      <w:r>
        <w:rPr>
          <w:rFonts w:hint="eastAsia" w:ascii="方正仿宋_GBK" w:hAnsi="Calibri" w:eastAsia="方正仿宋_GBK" w:cs="Times New Roman"/>
          <w:sz w:val="32"/>
          <w:szCs w:val="32"/>
        </w:rPr>
        <w:t>健身</w:t>
      </w:r>
      <w:r>
        <w:rPr>
          <w:rFonts w:ascii="方正仿宋_GBK" w:hAnsi="Calibri" w:eastAsia="方正仿宋_GBK" w:cs="Times New Roman"/>
          <w:sz w:val="32"/>
          <w:szCs w:val="32"/>
        </w:rPr>
        <w:t>点</w:t>
      </w:r>
      <w:r>
        <w:rPr>
          <w:rFonts w:hint="eastAsia" w:ascii="方正仿宋_GBK" w:eastAsia="方正仿宋_GBK"/>
          <w:sz w:val="32"/>
          <w:szCs w:val="32"/>
        </w:rPr>
        <w:t>。</w:t>
      </w:r>
      <w:r>
        <w:rPr>
          <w:rFonts w:ascii="方正仿宋_GBK" w:hAnsi="Calibri" w:eastAsia="方正仿宋_GBK" w:cs="Times New Roman"/>
          <w:sz w:val="32"/>
          <w:szCs w:val="32"/>
        </w:rPr>
        <w:t>全面实施“两馆一站一室”免费开放和体育场馆免费低收费开放，服务群众达293余万人次。</w:t>
      </w:r>
      <w:r>
        <w:rPr>
          <w:rFonts w:ascii="Times New Roman" w:hAnsi="Times New Roman" w:eastAsia="方正仿宋_GBK" w:cs="Times New Roman"/>
          <w:sz w:val="32"/>
          <w:szCs w:val="32"/>
        </w:rPr>
        <w:t>放映3266场农村社区爱教电影、惠及群众113万余人次，城市影院票房收入达1</w:t>
      </w:r>
      <w:r>
        <w:rPr>
          <w:rFonts w:hint="eastAsia" w:ascii="Times New Roman" w:hAnsi="Times New Roman" w:eastAsia="宋体" w:cs="Times New Roman"/>
          <w:sz w:val="32"/>
          <w:szCs w:val="32"/>
        </w:rPr>
        <w:t>377.1</w:t>
      </w:r>
      <w:r>
        <w:rPr>
          <w:rFonts w:ascii="Times New Roman" w:hAnsi="Times New Roman" w:eastAsia="方正仿宋_GBK" w:cs="Times New Roman"/>
          <w:sz w:val="32"/>
          <w:szCs w:val="32"/>
        </w:rPr>
        <w:t>万元</w:t>
      </w:r>
    </w:p>
    <w:p>
      <w:pPr>
        <w:spacing w:line="558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组织参加全市青少年竞标赛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全国青少年象棋锦标赛，获得金牌35块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</w:t>
      </w:r>
      <w:r>
        <w:rPr>
          <w:rFonts w:ascii="Times New Roman" w:hAnsi="Times New Roman" w:eastAsia="方正仿宋_GBK" w:cs="Times New Roman"/>
          <w:sz w:val="32"/>
          <w:szCs w:val="32"/>
        </w:rPr>
        <w:t>5个项目8名本土运动员参加第十三届全运会，创历史之最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58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全区现有注册医疗机构 543个，其中综合医院20 家，民营医院16 家，社区卫生服务中心7 所，镇卫生院12 所、分院10所，村卫生室335 个。全区床位总数 4624张（其中民营医疗机构床位1165 张），执业（助理）医师 1895 人，注册护士2320人。全区每千人口拥有医院床位6.16张，每千人口卫生技术人员4.95 人。</w:t>
      </w:r>
    </w:p>
    <w:p>
      <w:pPr>
        <w:spacing w:line="558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十二、资源、环境和安全生产</w:t>
      </w:r>
    </w:p>
    <w:p>
      <w:pPr>
        <w:spacing w:line="560" w:lineRule="exact"/>
        <w:ind w:firstLine="640" w:firstLineChars="200"/>
        <w:rPr>
          <w:rFonts w:eastAsia="方正仿宋_GBK"/>
        </w:rPr>
      </w:pPr>
      <w:r>
        <w:rPr>
          <w:rFonts w:hint="eastAsia" w:ascii="方正仿宋_GBK" w:eastAsia="方正仿宋_GBK"/>
          <w:sz w:val="32"/>
          <w:szCs w:val="32"/>
        </w:rPr>
        <w:t>2017年长寿区年平均气温为18.4℃，年总降水量为1158毫米，年总日照时数为1114.7小时，城区环境空气质量优良天数达282天。三级河长制覆盖全区所有河库，长江长寿段水体稳定在Ⅲ类水质，龙溪河长寿段水质达到水域功能要求，城区集中式饮用水源地水质合格率达100%；龙溪河流域纳入国家首批水环境综合治理与可持续发展试点，完成50个集中式饮用水源地规范化建设。建成高速公路沿线3公里隔音墙和56.9平方公里噪声达标区。危险废物和医疗废物规范处置率达100%。全区林地稳定在100万亩以上，森林覆盖率达45.5%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加强立体化、信息化防控体系建设，社会治安形势持续向好，全年治安、刑事、暴力、侵财和可防性案件分别下降54%、23.6%、21.4%、27.4%和43.3%。国家食品安全示范城市创建取得阶段性进展，人民群众饮食用药安</w:t>
      </w:r>
      <w:bookmarkStart w:id="1" w:name="_GoBack"/>
      <w:bookmarkEnd w:id="1"/>
      <w:r>
        <w:rPr>
          <w:rFonts w:hint="eastAsia" w:ascii="方正仿宋_GBK" w:eastAsia="方正仿宋_GBK"/>
          <w:sz w:val="32"/>
          <w:szCs w:val="32"/>
        </w:rPr>
        <w:t>全得到有效保障。</w:t>
      </w:r>
    </w:p>
    <w:bookmarkEnd w:id="0"/>
    <w:p>
      <w:pPr>
        <w:spacing w:line="558" w:lineRule="exac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15B"/>
    <w:rsid w:val="00047048"/>
    <w:rsid w:val="0005107F"/>
    <w:rsid w:val="000620EA"/>
    <w:rsid w:val="000639F5"/>
    <w:rsid w:val="000A17EB"/>
    <w:rsid w:val="000E7083"/>
    <w:rsid w:val="00101372"/>
    <w:rsid w:val="001141F6"/>
    <w:rsid w:val="00156A93"/>
    <w:rsid w:val="00161147"/>
    <w:rsid w:val="00182DAA"/>
    <w:rsid w:val="001A7567"/>
    <w:rsid w:val="001C5426"/>
    <w:rsid w:val="001E0C2E"/>
    <w:rsid w:val="002627FB"/>
    <w:rsid w:val="00286485"/>
    <w:rsid w:val="00292CCC"/>
    <w:rsid w:val="002B28D0"/>
    <w:rsid w:val="002C1CCA"/>
    <w:rsid w:val="00315F5C"/>
    <w:rsid w:val="00331DB0"/>
    <w:rsid w:val="0034343E"/>
    <w:rsid w:val="00376762"/>
    <w:rsid w:val="003A2EA3"/>
    <w:rsid w:val="003C40CA"/>
    <w:rsid w:val="003E2BA8"/>
    <w:rsid w:val="004269D7"/>
    <w:rsid w:val="0044161C"/>
    <w:rsid w:val="004A2784"/>
    <w:rsid w:val="004C2A49"/>
    <w:rsid w:val="004C369A"/>
    <w:rsid w:val="004E6FE6"/>
    <w:rsid w:val="00504DB8"/>
    <w:rsid w:val="00532520"/>
    <w:rsid w:val="005600D0"/>
    <w:rsid w:val="00570885"/>
    <w:rsid w:val="005C5EBE"/>
    <w:rsid w:val="005D409A"/>
    <w:rsid w:val="00613A81"/>
    <w:rsid w:val="00620432"/>
    <w:rsid w:val="006211D9"/>
    <w:rsid w:val="0062481D"/>
    <w:rsid w:val="006A2106"/>
    <w:rsid w:val="006A3376"/>
    <w:rsid w:val="006D436A"/>
    <w:rsid w:val="006D7819"/>
    <w:rsid w:val="00796B26"/>
    <w:rsid w:val="007A20F8"/>
    <w:rsid w:val="007A3512"/>
    <w:rsid w:val="007A415B"/>
    <w:rsid w:val="007C5133"/>
    <w:rsid w:val="00817D44"/>
    <w:rsid w:val="008205F2"/>
    <w:rsid w:val="00852235"/>
    <w:rsid w:val="008524FB"/>
    <w:rsid w:val="008559F3"/>
    <w:rsid w:val="00857C72"/>
    <w:rsid w:val="008675DC"/>
    <w:rsid w:val="00881B6F"/>
    <w:rsid w:val="00932D1A"/>
    <w:rsid w:val="00941B69"/>
    <w:rsid w:val="009436F9"/>
    <w:rsid w:val="00973021"/>
    <w:rsid w:val="00985463"/>
    <w:rsid w:val="00985A8A"/>
    <w:rsid w:val="00990F30"/>
    <w:rsid w:val="00AA0637"/>
    <w:rsid w:val="00AA0D4A"/>
    <w:rsid w:val="00AB7874"/>
    <w:rsid w:val="00AE6AD9"/>
    <w:rsid w:val="00B631C0"/>
    <w:rsid w:val="00B6446B"/>
    <w:rsid w:val="00BA77A4"/>
    <w:rsid w:val="00BD74A2"/>
    <w:rsid w:val="00BE445C"/>
    <w:rsid w:val="00C31BE3"/>
    <w:rsid w:val="00C55C09"/>
    <w:rsid w:val="00CA1895"/>
    <w:rsid w:val="00CB1378"/>
    <w:rsid w:val="00D34902"/>
    <w:rsid w:val="00D72443"/>
    <w:rsid w:val="00D87075"/>
    <w:rsid w:val="00DA7264"/>
    <w:rsid w:val="00E04E4A"/>
    <w:rsid w:val="00E31EA9"/>
    <w:rsid w:val="00E83DDD"/>
    <w:rsid w:val="00EB1AA1"/>
    <w:rsid w:val="00EE1F82"/>
    <w:rsid w:val="00EE347E"/>
    <w:rsid w:val="00EE7A2D"/>
    <w:rsid w:val="00F1529C"/>
    <w:rsid w:val="00F17E00"/>
    <w:rsid w:val="00F277A1"/>
    <w:rsid w:val="00F30B57"/>
    <w:rsid w:val="00F77A04"/>
    <w:rsid w:val="00F94F27"/>
    <w:rsid w:val="00FA4056"/>
    <w:rsid w:val="00FB7787"/>
    <w:rsid w:val="00FC43A1"/>
    <w:rsid w:val="00FD4852"/>
    <w:rsid w:val="7E7334BE"/>
    <w:rsid w:val="AB9E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610</Words>
  <Characters>3477</Characters>
  <Lines>28</Lines>
  <Paragraphs>8</Paragraphs>
  <TotalTime>2633</TotalTime>
  <ScaleCrop>false</ScaleCrop>
  <LinksUpToDate>false</LinksUpToDate>
  <CharactersWithSpaces>4079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2018-02-09T10:16:00Z</dcterms:created>
  <dc:creator>Administrator</dc:creator>
  <cp:lastModifiedBy>guest</cp:lastModifiedBy>
  <cp:lastPrinted>2018-03-19T09:51:00Z</cp:lastPrinted>
  <dcterms:modified xsi:type="dcterms:W3CDTF">2023-06-20T09:25:25Z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