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napToGrid w:val="0"/>
        <w:spacing w:line="680" w:lineRule="exact"/>
        <w:jc w:val="center"/>
        <w:rPr>
          <w:rFonts w:hint="eastAsia" w:eastAsia="方正仿宋_GBK"/>
          <w:bCs/>
        </w:rPr>
      </w:pPr>
      <w:bookmarkStart w:id="0" w:name="docNum"/>
    </w:p>
    <w:p>
      <w:pPr>
        <w:pStyle w:val="3"/>
        <w:snapToGrid w:val="0"/>
        <w:spacing w:line="680" w:lineRule="exact"/>
        <w:jc w:val="center"/>
        <w:rPr>
          <w:rFonts w:hint="eastAsia" w:eastAsia="方正仿宋_GBK"/>
          <w:bCs/>
        </w:rPr>
      </w:pPr>
    </w:p>
    <w:p>
      <w:pPr>
        <w:pStyle w:val="3"/>
        <w:snapToGrid w:val="0"/>
        <w:spacing w:line="680" w:lineRule="exact"/>
        <w:jc w:val="center"/>
        <w:rPr>
          <w:rFonts w:hint="eastAsia" w:eastAsia="方正仿宋_GBK"/>
          <w:bCs/>
        </w:rPr>
      </w:pPr>
    </w:p>
    <w:p>
      <w:pPr>
        <w:pStyle w:val="3"/>
        <w:snapToGrid w:val="0"/>
        <w:spacing w:line="560" w:lineRule="exact"/>
        <w:jc w:val="center"/>
        <w:rPr>
          <w:rFonts w:hint="eastAsia" w:eastAsia="方正仿宋_GBK"/>
          <w:bCs/>
        </w:rPr>
      </w:pPr>
      <w:r>
        <w:rPr>
          <w:rFonts w:hint="eastAsia" w:eastAsia="方正仿宋_GBK"/>
          <w:bCs/>
        </w:rPr>
        <w:t>渝（长）环准〔2023〕26号</w:t>
      </w:r>
      <w:bookmarkEnd w:id="0"/>
    </w:p>
    <w:p>
      <w:pPr>
        <w:pStyle w:val="3"/>
        <w:snapToGrid w:val="0"/>
        <w:spacing w:line="560" w:lineRule="exact"/>
        <w:jc w:val="center"/>
        <w:rPr>
          <w:rFonts w:hint="eastAsia" w:eastAsia="方正仿宋_GBK"/>
          <w:bCs/>
        </w:rPr>
      </w:pPr>
    </w:p>
    <w:p>
      <w:pPr>
        <w:pStyle w:val="11"/>
        <w:spacing w:line="560" w:lineRule="exact"/>
        <w:rPr>
          <w:rFonts w:ascii="Times New Roman" w:hAnsi="Times New Roman" w:eastAsia="方正仿宋_GBK"/>
          <w:bCs/>
          <w:sz w:val="32"/>
          <w:szCs w:val="32"/>
        </w:rPr>
      </w:pPr>
      <w:bookmarkStart w:id="1" w:name="companyName"/>
      <w:r>
        <w:rPr>
          <w:rFonts w:hint="eastAsia" w:ascii="Times New Roman" w:hAnsi="Times New Roman" w:eastAsia="方正仿宋_GBK"/>
          <w:bCs/>
          <w:sz w:val="32"/>
          <w:szCs w:val="32"/>
        </w:rPr>
        <w:t>福安药业集团重庆博圣制药有限公司</w:t>
      </w:r>
      <w:bookmarkEnd w:id="1"/>
      <w:r>
        <w:rPr>
          <w:rFonts w:hint="eastAsia" w:ascii="Times New Roman" w:hAnsi="Times New Roman" w:eastAsia="方正仿宋_GBK"/>
          <w:bCs/>
          <w:sz w:val="32"/>
          <w:szCs w:val="32"/>
        </w:rPr>
        <w:t>：</w:t>
      </w:r>
    </w:p>
    <w:p>
      <w:pPr>
        <w:adjustRightInd w:val="0"/>
        <w:snapToGrid w:val="0"/>
        <w:spacing w:line="560" w:lineRule="exact"/>
        <w:ind w:firstLine="640" w:firstLineChars="200"/>
        <w:rPr>
          <w:rFonts w:eastAsia="方正仿宋_GBK"/>
          <w:sz w:val="32"/>
          <w:szCs w:val="32"/>
        </w:rPr>
      </w:pPr>
      <w:r>
        <w:rPr>
          <w:rFonts w:eastAsia="方正仿宋_GBK"/>
          <w:sz w:val="32"/>
          <w:szCs w:val="32"/>
        </w:rPr>
        <w:t>你单位报送的</w:t>
      </w:r>
      <w:r>
        <w:rPr>
          <w:rFonts w:hint="eastAsia" w:eastAsia="方正仿宋_GBK"/>
          <w:sz w:val="32"/>
          <w:szCs w:val="32"/>
        </w:rPr>
        <w:t>原料药绿色化、智能化高端场地建设项目</w:t>
      </w:r>
      <w:r>
        <w:rPr>
          <w:rFonts w:eastAsia="方正仿宋_GBK"/>
          <w:sz w:val="32"/>
          <w:szCs w:val="32"/>
        </w:rPr>
        <w:t>（项目代码：</w:t>
      </w:r>
      <w:r>
        <w:rPr>
          <w:rFonts w:hint="eastAsia" w:eastAsia="方正仿宋_GBK"/>
          <w:sz w:val="32"/>
          <w:szCs w:val="32"/>
        </w:rPr>
        <w:t>2112-500115-04-01-847843</w:t>
      </w:r>
      <w:r>
        <w:rPr>
          <w:rFonts w:eastAsia="方正仿宋_GBK"/>
          <w:sz w:val="32"/>
          <w:szCs w:val="32"/>
        </w:rPr>
        <w:t>）环境影响评价文件审批申请表及相关资料收悉。根据《中华人民共和国环境影响评价法》等法律法规的有关规定，我局原则同意</w:t>
      </w:r>
      <w:r>
        <w:rPr>
          <w:rFonts w:hint="eastAsia" w:eastAsia="方正仿宋_GBK"/>
          <w:sz w:val="32"/>
          <w:szCs w:val="32"/>
        </w:rPr>
        <w:t>重庆医设源环境技术有限公司</w:t>
      </w:r>
      <w:r>
        <w:rPr>
          <w:rFonts w:eastAsia="方正仿宋_GBK"/>
          <w:sz w:val="32"/>
          <w:szCs w:val="32"/>
        </w:rPr>
        <w:t>（统一社会信用代码</w:t>
      </w:r>
      <w:r>
        <w:rPr>
          <w:rFonts w:hint="eastAsia" w:eastAsia="方正仿宋_GBK"/>
          <w:sz w:val="32"/>
          <w:szCs w:val="32"/>
        </w:rPr>
        <w:t>：</w:t>
      </w:r>
      <w:r>
        <w:rPr>
          <w:rFonts w:eastAsia="方正仿宋_GBK"/>
          <w:sz w:val="32"/>
          <w:szCs w:val="32"/>
        </w:rPr>
        <w:t>91500103MA7GPCN508）编制的项目环境影响报告书结论及其提出的环境保护措施。</w:t>
      </w:r>
    </w:p>
    <w:p>
      <w:pPr>
        <w:overflowPunct w:val="0"/>
        <w:topLinePunct/>
        <w:spacing w:line="560" w:lineRule="exact"/>
        <w:ind w:firstLine="640" w:firstLineChars="200"/>
        <w:textAlignment w:val="center"/>
        <w:rPr>
          <w:rFonts w:eastAsia="方正仿宋_GBK"/>
          <w:sz w:val="32"/>
          <w:szCs w:val="32"/>
        </w:rPr>
      </w:pPr>
      <w:r>
        <w:rPr>
          <w:rFonts w:eastAsia="方正仿宋_GBK"/>
          <w:sz w:val="32"/>
          <w:szCs w:val="32"/>
        </w:rPr>
        <w:t>一、项目主要建设内容：</w:t>
      </w:r>
      <w:r>
        <w:rPr>
          <w:rFonts w:eastAsia="方正仿宋_GBK"/>
          <w:bCs/>
          <w:sz w:val="32"/>
          <w:szCs w:val="32"/>
        </w:rPr>
        <w:t>项目属改扩建项目，位于重庆长寿经济技术开发区晏家组团重庆博圣制药有限公司新厂区内。通过调整现有新厂区部分产品方案、生产工艺，新增生产车间及完善配套设施，新增25种化学原料药、中间体及粗品</w:t>
      </w:r>
      <w:r>
        <w:rPr>
          <w:rFonts w:hint="eastAsia" w:eastAsia="方正仿宋_GBK"/>
          <w:bCs/>
          <w:sz w:val="32"/>
          <w:szCs w:val="32"/>
        </w:rPr>
        <w:t>，</w:t>
      </w:r>
      <w:r>
        <w:rPr>
          <w:rFonts w:eastAsia="方正仿宋_GBK"/>
          <w:bCs/>
          <w:sz w:val="32"/>
          <w:szCs w:val="32"/>
        </w:rPr>
        <w:t>生产规模187吨/年，包括：尼麦角林成品7.3吨/年、罗库溴铵粗品及成品1吨/年、富马酸替诺福韦艾拉酚胺成品10吨/年、沙库巴曲成品10吨/年、奥拉西坦粗品10吨/年、Mz-1（头孢美唑酸中间体）10吨/年、替格瑞洛成品30吨/年、尼麦角林粗品8吨/年、拉氧头孢侧链10吨/年、光麦角酸甲酯（尼麦角林中间体）8吨/年、富马酸喹硫平成品20吨/年、恩格净列成品20吨/年、硫酸羟氯喹成品20吨/年、艾司奥美拉唑钠成品0.5吨/年、雷诺嗪成品1吨/年、吡贝地尔成品0.1吨/年、法莫替丁成品4吨/年、阿戈美拉汀成品2.1吨/年、艾拉戈克钠成品1吨/年、水飞蓟宾葡甲胺成品1吨/年、己酮可可碱成品1吨/年、艾沙康唑成品1吨/年、替普瑞酮成品1吨/年、托瑞米芬成品10吨/年。项目实施后，现有工程除拉氧头孢主环、布坦主环生产规模调减外，其余原料药生产规模均保持不变。主要建设内容包括：（1）依托现有十五车间（原201生产车间）设备新增尼麦角林成品生产。（2）在现有十六车间（原202车间）新增1套冻干机，新增罗库溴铵成品生产。变更现有酮亮氨酸钙、酮缬氨酸钙生产工艺，其中酮亮氨酸钙用纯化水替代甲醇并减少乙醇投加，中间体I取消结晶、干燥等工序，以湿品参与后续反应；变更酮缬氨酸钙工艺路线，由草乙酸二乙酯、甲醇钠、异丁醛生产中间体，氯化钙成盐变更为丙酮、海因合成中间体并经氢氧化钾水解、加盐酸制酮缬氨酸、草酸钙成盐，两个产品生产工艺变更后，生产规模均保持不变。（3）调整现有十七车间（原203生产车间）生产制度，缩减拉氧头孢主环全年生产批次，生产规模由20吨/年调减为5吨/年；依托现有设备新增富马酸替诺福韦艾拉酚胺成品、沙库巴曲成品、奥拉西坦粗品、MZ-1（头孢美唑酸中间体）、替格瑞洛成品5种产品生产。（4）调整现有十八车间（原204生产车间）生产制度，缩减布坦主环全年生产批次，生产规模由25吨/年调减为4吨/年；新增反应釜、三合一、真空干燥箱、层析柱等设备，新增尼麦角林粗品、罗库溴铵粗品、拉氧头孢侧链、光麦角酸甲酯粗品生产。（5）新建2#非无菌原料药厂房，内设二十、二十二、二十三车间，车间均为4层建筑，建筑面积均为3605平方米。其中二十车间设1条生产线，新增生产富马酸喹硫平成品、恩格净列成品、硫酸羟氯喹成品3种产品；二十二车间设1条生产线，新增生产艾司奥美拉唑钠成品、雷诺嗪成品、吡贝地尔成品、法莫替丁成品、阿戈美拉汀成品、艾拉戈克钠成品、水飞蓟宾葡甲胺成品、己酮可可碱成品、艾沙康唑成品、替普瑞酮成品等11种产品；二十三车间设1条生产线，新增生产托瑞米芬成品；2#非无菌原料药厂房设1套废气处理装置，3个车间废气集中收集后采用“碱洗+水洗+除沫塔+碳纤维吸附脱附+活性炭吸附脱附”工艺处理并由1根30米高排气筒有组织排放。（6）在现有动力中心新设1套注射用水制备机组，采用六效蒸发工艺，产水能力为1t/h；新建1栋3层综合楼，建筑面积约5146平方米；新建1座2#固体库房，共3层，建筑面积3850平方米。其他公用、辅助、储运、环保工程均依托现有设施。溶剂回收依托现有溶剂回收车间（十九车间）。项目总投资30000万元，其中环保投资300万元。</w:t>
      </w:r>
    </w:p>
    <w:p>
      <w:pPr>
        <w:pStyle w:val="4"/>
        <w:adjustRightInd w:val="0"/>
        <w:snapToGrid w:val="0"/>
        <w:spacing w:after="0" w:line="560" w:lineRule="exact"/>
        <w:ind w:left="0" w:leftChars="0" w:firstLine="640" w:firstLineChars="200"/>
        <w:rPr>
          <w:rFonts w:ascii="Times New Roman" w:hAnsi="Times New Roman" w:eastAsia="方正仿宋_GBK"/>
          <w:sz w:val="32"/>
          <w:szCs w:val="32"/>
        </w:rPr>
      </w:pPr>
      <w:r>
        <w:rPr>
          <w:rFonts w:ascii="Times New Roman" w:hAnsi="Times New Roman" w:eastAsia="方正仿宋_GBK"/>
          <w:sz w:val="32"/>
          <w:szCs w:val="32"/>
        </w:rPr>
        <w:t>二、项目建设与运营管理中，必须认真落实项目环境影响报告书提出的各项污染防治措施，实施清洁生产，减少污染物产生和排放，重点应做好以下工作：</w:t>
      </w:r>
    </w:p>
    <w:p>
      <w:pPr>
        <w:overflowPunct w:val="0"/>
        <w:topLinePunct/>
        <w:spacing w:line="560" w:lineRule="exact"/>
        <w:ind w:firstLine="640" w:firstLineChars="200"/>
        <w:textAlignment w:val="center"/>
        <w:rPr>
          <w:rFonts w:eastAsia="方正仿宋_GBK"/>
          <w:sz w:val="32"/>
          <w:szCs w:val="32"/>
        </w:rPr>
      </w:pPr>
      <w:r>
        <w:rPr>
          <w:rFonts w:eastAsia="方正仿宋_GBK"/>
          <w:sz w:val="32"/>
          <w:szCs w:val="32"/>
        </w:rPr>
        <w:t>（一）严格落实大气污染防治措施。项目生产车间含VOCs物料投加和卸放、化学反应、萃取/提取、蒸馏/精馏、结晶、离心、过滤、干燥以及配料、混合、搅拌等过程，采用密闭设备或在密闭空间内操作，废气接入废气处理系统；无法密闭的采取局部气体收集措施，废气接入废气处理系统；固体物料加料口设置集气罩，投料废气接入废气处理系统；尽量选用干式真空泵，真空泵排气和循环槽（罐）排气接入废气处理系统；产品包装在车间洁净区内完成，包装废气经设备自带收尘系统处理后在洁净区内无组织排放，最后通过洁净区通风系统排出车间。十五～十八车间产生的工艺废气依托现有1套处理装置经</w:t>
      </w:r>
      <w:r>
        <w:rPr>
          <w:rFonts w:hint="eastAsia" w:ascii="方正仿宋_GBK" w:eastAsia="方正仿宋_GBK"/>
          <w:sz w:val="32"/>
          <w:szCs w:val="32"/>
        </w:rPr>
        <w:t>“碱洗+水洗+除沫塔+碳纤维吸附/脱附+活性炭吸附/脱附”处理</w:t>
      </w:r>
      <w:r>
        <w:rPr>
          <w:rFonts w:eastAsia="方正仿宋_GBK"/>
          <w:sz w:val="32"/>
          <w:szCs w:val="32"/>
        </w:rPr>
        <w:t>后由现有30米高DA020排气筒排放。二十车间、二十二车间、二十三车间产生的工艺废气由新建的1套处理装置经“碱洗+水洗+除沫塔+碳纤维吸附脱附+活性炭吸附脱附”处理后由1根30米高排气筒DA026排放。溶剂回收车间工艺废气依托现有1套处理装置经“二级冷凝预处理+碱洗+石蜡油吸收+活性</w:t>
      </w:r>
      <w:bookmarkStart w:id="3" w:name="_GoBack"/>
      <w:bookmarkEnd w:id="3"/>
      <w:r>
        <w:rPr>
          <w:rFonts w:hint="eastAsia" w:eastAsia="方正仿宋_GBK"/>
          <w:sz w:val="32"/>
          <w:szCs w:val="32"/>
          <w:lang w:eastAsia="zh-CN"/>
        </w:rPr>
        <w:t>炭</w:t>
      </w:r>
      <w:r>
        <w:rPr>
          <w:rFonts w:eastAsia="方正仿宋_GBK"/>
          <w:sz w:val="32"/>
          <w:szCs w:val="32"/>
        </w:rPr>
        <w:t>吸附”处理后由现有30米高DA022排气筒排放。厂区废水处理站格栅、电解池、调节池、曝气池、厌氧、好氧等工段加盖密闭，废气收集后依托现有1套处理装置经“二级碱洗+活性炭吸附”处理后由现有15米高DA019排气筒排放。液体原料储罐采取氮封，储罐区废气与危废暂存间废气收集后一并依托现有1套处理装</w:t>
      </w:r>
      <w:r>
        <w:rPr>
          <w:rFonts w:hint="eastAsia" w:ascii="方正仿宋_GBK" w:eastAsia="方正仿宋_GBK"/>
          <w:sz w:val="32"/>
          <w:szCs w:val="32"/>
        </w:rPr>
        <w:t>置经“碱洗+活性炭吸附”处理</w:t>
      </w:r>
      <w:r>
        <w:rPr>
          <w:rFonts w:eastAsia="方正仿宋_GBK"/>
          <w:sz w:val="32"/>
          <w:szCs w:val="32"/>
        </w:rPr>
        <w:t>后由现有15米高DA021排气筒排放。定期对设备及管线组件密封点进行VOCs泄漏检测与修复，确保有机废气厂界无组织排放浓度和厂区内无组织监控点浓度满足《制药工业大气污染物排放标准》（GB37823-2019）要求。</w:t>
      </w:r>
    </w:p>
    <w:p>
      <w:pPr>
        <w:overflowPunct w:val="0"/>
        <w:topLinePunct/>
        <w:spacing w:line="560" w:lineRule="exact"/>
        <w:ind w:firstLine="800" w:firstLineChars="250"/>
        <w:textAlignment w:val="center"/>
        <w:rPr>
          <w:rFonts w:eastAsia="方正仿宋_GBK"/>
          <w:bCs/>
          <w:sz w:val="32"/>
          <w:szCs w:val="32"/>
        </w:rPr>
      </w:pPr>
      <w:r>
        <w:rPr>
          <w:rFonts w:eastAsia="方正仿宋_GBK"/>
          <w:sz w:val="32"/>
          <w:szCs w:val="32"/>
        </w:rPr>
        <w:t>（二）</w:t>
      </w:r>
      <w:r>
        <w:rPr>
          <w:rFonts w:eastAsia="方正仿宋_GBK"/>
          <w:bCs/>
          <w:sz w:val="32"/>
          <w:szCs w:val="32"/>
        </w:rPr>
        <w:t>严格落实水污染防治措施。项目新厂区废水主要包括超高浓度、高浓度、低浓度工艺废水，设备清洗废水、水环真空泵废水、地坪冲洗废水、废气处理系统排水、循环水系统排污水、实验室排水、纯化水系统排污水、注射水系统排污水、生活污水。除纯化水系统排污水、注射水系统排污水直接经新厂区污水总排口排放外，其他废水预处理或直接进入现有新厂区废水处理站分类处理。超高浓度工艺废水依托现有溶剂回收车间经单效或多效蒸发预处理后与高浓度工艺废水一并进入现有新厂区废水处理站高浓度废水预处理单元。高浓度废水（含高浓度工艺废水和蒸发预处理后的超高浓度工艺废水）经“UV+H2O2+高效多维电解”预处理后与低浓度工艺废水、设备清洗废水、水环真空泵废水、地坪冲洗废水、废气处理系统排水、循环水系统排污水、实验室排水、生活污水一并采用“改良型ABR厌氧工艺+AB工艺+接触氧化工艺+臭氧深度氧化絮凝沉淀工艺”处理。新厂区废水经处理pH、COD、BOD</w:t>
      </w:r>
      <w:r>
        <w:rPr>
          <w:rFonts w:eastAsia="方正仿宋_GBK"/>
          <w:bCs/>
          <w:sz w:val="32"/>
          <w:szCs w:val="32"/>
          <w:vertAlign w:val="subscript"/>
        </w:rPr>
        <w:t>5</w:t>
      </w:r>
      <w:r>
        <w:rPr>
          <w:rFonts w:eastAsia="方正仿宋_GBK"/>
          <w:bCs/>
          <w:sz w:val="32"/>
          <w:szCs w:val="32"/>
        </w:rPr>
        <w:t>、SS、甲苯、动植物油、石油类满足《污水综合排放标准》（GB 8978-1996）三级标准，氨氮和总氮满足参考的《污水排入城镇下水道水质标准》（GB/T 31962-2015）B级标准，氯离子、硫酸盐和总磷满足园区中法污水处理厂进水水质要求，氟化物和三氯甲烷执行《污水综合排放标准》一级标准，二氯甲烷、总氰化物、挥发酚满足《化学合成类制药工业水污染物排放标准》（GB21904-2008）后，进入中法污水处理厂进一步处理达《化工园区主要水污染物排放标准》（DB50/457-2012）（其中化学需氧量</w:t>
      </w:r>
      <w:r>
        <w:rPr>
          <w:rFonts w:hint="eastAsia" w:eastAsia="方正仿宋_GBK"/>
          <w:bCs/>
          <w:sz w:val="32"/>
          <w:szCs w:val="32"/>
        </w:rPr>
        <w:t>≤</w:t>
      </w:r>
      <w:r>
        <w:rPr>
          <w:rFonts w:eastAsia="方正仿宋_GBK"/>
          <w:bCs/>
          <w:sz w:val="32"/>
          <w:szCs w:val="32"/>
        </w:rPr>
        <w:t>60毫克/升）后排入长江。</w:t>
      </w:r>
    </w:p>
    <w:p>
      <w:pPr>
        <w:overflowPunct w:val="0"/>
        <w:topLinePunct/>
        <w:spacing w:line="560" w:lineRule="exact"/>
        <w:ind w:firstLine="800" w:firstLineChars="250"/>
        <w:textAlignment w:val="center"/>
        <w:rPr>
          <w:rFonts w:eastAsia="方正仿宋_GBK"/>
          <w:sz w:val="32"/>
          <w:szCs w:val="32"/>
        </w:rPr>
      </w:pPr>
      <w:r>
        <w:rPr>
          <w:rFonts w:eastAsia="方正仿宋_GBK"/>
          <w:sz w:val="32"/>
          <w:szCs w:val="32"/>
        </w:rPr>
        <w:t>（三）严格落实地下水和土壤污染防治措施。项目采取管网可视化和分区防渗措施，并设置</w:t>
      </w:r>
      <w:r>
        <w:rPr>
          <w:rFonts w:eastAsia="方正仿宋_GBK"/>
          <w:bCs/>
          <w:sz w:val="32"/>
          <w:szCs w:val="32"/>
        </w:rPr>
        <w:t>罐区围堰、事故池和事故水收集系统</w:t>
      </w:r>
      <w:r>
        <w:rPr>
          <w:rFonts w:hint="eastAsia" w:eastAsia="方正仿宋_GBK"/>
          <w:bCs/>
          <w:sz w:val="32"/>
          <w:szCs w:val="32"/>
        </w:rPr>
        <w:t>和</w:t>
      </w:r>
      <w:r>
        <w:rPr>
          <w:rFonts w:eastAsia="方正仿宋_GBK"/>
          <w:sz w:val="32"/>
          <w:szCs w:val="32"/>
        </w:rPr>
        <w:t>地下水监控井，建立地下水监测环境管理体系。</w:t>
      </w:r>
    </w:p>
    <w:p>
      <w:pPr>
        <w:overflowPunct w:val="0"/>
        <w:topLinePunct/>
        <w:spacing w:line="560" w:lineRule="exact"/>
        <w:ind w:firstLine="800" w:firstLineChars="250"/>
        <w:textAlignment w:val="center"/>
        <w:rPr>
          <w:rFonts w:eastAsia="方正仿宋_GBK"/>
          <w:bCs/>
          <w:sz w:val="32"/>
          <w:szCs w:val="32"/>
        </w:rPr>
      </w:pPr>
      <w:r>
        <w:rPr>
          <w:rFonts w:eastAsia="方正仿宋_GBK"/>
          <w:sz w:val="32"/>
          <w:szCs w:val="32"/>
        </w:rPr>
        <w:t>（四）严格落实噪声污染防治措施。项目新增噪声源主要包括冻干机、泵、风机等。通过合理布局，尽量选用低噪声设备，并采取减振、隔声等降噪措施后，厂界噪声能够满足《工业企业厂界环境噪声排放标准》（GB 12348-2008）3类标准，临化中大道一侧厂界噪声能够满足4类标准。</w:t>
      </w:r>
    </w:p>
    <w:p>
      <w:pPr>
        <w:overflowPunct w:val="0"/>
        <w:topLinePunct/>
        <w:spacing w:line="560" w:lineRule="exact"/>
        <w:ind w:firstLine="800" w:firstLineChars="250"/>
        <w:textAlignment w:val="center"/>
        <w:rPr>
          <w:rFonts w:eastAsia="方正仿宋_GBK"/>
          <w:sz w:val="32"/>
          <w:szCs w:val="32"/>
        </w:rPr>
      </w:pPr>
      <w:r>
        <w:rPr>
          <w:rFonts w:eastAsia="方正仿宋_GBK"/>
          <w:sz w:val="32"/>
          <w:szCs w:val="32"/>
        </w:rPr>
        <w:t>（五）加强固体废物管理。项目不新增生活垃圾，实施后产生的未沾染有毒有害物质的废包材属一般工业固废，定期交专业机构回收利用；产生的工艺废液、溶剂回收车间精馏塔釜残液、超高浓度废水处理设施多效蒸发釜残液和不凝气冷凝废液、工艺废渣、废催化剂、废活性炭、质检废液、废活性炭和碳纤维脱附废液、沾染有毒有害物质的废包材、除尘设施截留药粉、废水处理站污泥、罐底污泥等危险废物，分类收集后及时按《危险废物转移管理办法》（生态环境部 公安部 交通运输部 部令 第23号）要求送有危险废物处理资质单位处置。新厂区现有1座12平方米的一般工业固废暂存间和1座350平方米的危险废物暂存间，可满足项目实施后固废的暂存需要。项目实施后回收溶剂出厂利用应履行相关定向利用程序，制定回收溶剂出厂控制标准，达不到出厂控制标准要求的溶剂不得进行定向利用。</w:t>
      </w:r>
    </w:p>
    <w:p>
      <w:pPr>
        <w:spacing w:line="560" w:lineRule="exact"/>
        <w:ind w:firstLine="640" w:firstLineChars="200"/>
        <w:rPr>
          <w:rFonts w:eastAsia="方正仿宋_GBK"/>
          <w:bCs/>
          <w:spacing w:val="-2"/>
          <w:sz w:val="32"/>
          <w:szCs w:val="32"/>
        </w:rPr>
      </w:pPr>
      <w:r>
        <w:rPr>
          <w:rFonts w:eastAsia="方正仿宋_GBK"/>
          <w:sz w:val="32"/>
          <w:szCs w:val="32"/>
        </w:rPr>
        <w:t>（六）严格落实环境风险防范措施。严格落实和完善项目环境影响报告书中提出的各项风险防范措施，</w:t>
      </w:r>
      <w:r>
        <w:rPr>
          <w:rFonts w:hint="eastAsia" w:eastAsia="方正仿宋_GBK"/>
          <w:sz w:val="32"/>
          <w:szCs w:val="32"/>
        </w:rPr>
        <w:t>修订</w:t>
      </w:r>
      <w:r>
        <w:rPr>
          <w:rFonts w:eastAsia="方正仿宋_GBK"/>
          <w:sz w:val="32"/>
          <w:szCs w:val="32"/>
        </w:rPr>
        <w:t>应急预案，建立环境风险防范制度，落实环境风险防范责任，加强环境风险管理，并储备应急物资，并定期演练，防范环境风险事故发生。项目主要依托企业现有环境风险防范措施</w:t>
      </w:r>
      <w:r>
        <w:rPr>
          <w:rFonts w:hint="eastAsia" w:eastAsia="方正仿宋_GBK"/>
          <w:sz w:val="32"/>
          <w:szCs w:val="32"/>
        </w:rPr>
        <w:t>和园区事故废水防控体系</w:t>
      </w:r>
      <w:r>
        <w:rPr>
          <w:rFonts w:eastAsia="方正仿宋_GBK"/>
          <w:sz w:val="32"/>
          <w:szCs w:val="32"/>
        </w:rPr>
        <w:t>，新增的环境防范措施主要包括新建生产车间、固体库地面采取防腐防渗措施，设置截污沟与事故池连通，设置有毒或可燃气体检测报警装置等。</w:t>
      </w:r>
    </w:p>
    <w:p>
      <w:pPr>
        <w:pStyle w:val="3"/>
        <w:widowControl w:val="0"/>
        <w:overflowPunct w:val="0"/>
        <w:spacing w:line="560" w:lineRule="exact"/>
        <w:ind w:firstLine="632" w:firstLineChars="200"/>
        <w:jc w:val="both"/>
        <w:rPr>
          <w:rFonts w:eastAsia="方正仿宋_GBK"/>
          <w:szCs w:val="32"/>
        </w:rPr>
      </w:pPr>
      <w:r>
        <w:rPr>
          <w:rFonts w:eastAsia="方正仿宋_GBK"/>
          <w:bCs/>
          <w:spacing w:val="-2"/>
          <w:szCs w:val="32"/>
        </w:rPr>
        <w:t>（七）</w:t>
      </w:r>
      <w:r>
        <w:rPr>
          <w:rFonts w:eastAsia="方正仿宋_GBK"/>
          <w:szCs w:val="32"/>
        </w:rPr>
        <w:t>严格执行排污总量控制。项目实施后，</w:t>
      </w:r>
      <w:r>
        <w:rPr>
          <w:rFonts w:eastAsia="方正仿宋_GBK"/>
          <w:bCs/>
          <w:szCs w:val="32"/>
        </w:rPr>
        <w:t>废气污染物有组织排放总量分别为总挥发性有机物（TVOC）12.579吨/年（含NMHC 6.357吨/年）、二氧化硫4.524吨/年、氮氧化物0.008吨/年；废水污染物排入外环境的总量分别为化学需氧量11.135吨/年、氨氮1.856吨/年。新厂区新增排放二氧化硫4.524吨/年、化学需氧量0.433吨/年、氨氮0.072吨/年。</w:t>
      </w:r>
    </w:p>
    <w:p>
      <w:pPr>
        <w:spacing w:line="560" w:lineRule="exact"/>
        <w:ind w:firstLine="640" w:firstLineChars="200"/>
        <w:rPr>
          <w:rFonts w:eastAsia="方正仿宋_GBK"/>
          <w:sz w:val="32"/>
          <w:szCs w:val="32"/>
        </w:rPr>
      </w:pPr>
      <w:r>
        <w:rPr>
          <w:rFonts w:eastAsia="方正仿宋_GBK"/>
          <w:bCs/>
          <w:sz w:val="32"/>
          <w:szCs w:val="32"/>
        </w:rPr>
        <w:t>（八）</w:t>
      </w:r>
      <w:r>
        <w:rPr>
          <w:rFonts w:eastAsia="方正仿宋_GBK"/>
          <w:sz w:val="32"/>
          <w:szCs w:val="32"/>
        </w:rPr>
        <w:t>建立健全相应的环境保护管理机构和制度，加强环境管理与环境监测工作，并根据运营期的实际情况，进一步完善环境保护措施。</w:t>
      </w:r>
    </w:p>
    <w:p>
      <w:pPr>
        <w:spacing w:line="560" w:lineRule="exact"/>
        <w:ind w:firstLine="640" w:firstLineChars="200"/>
        <w:rPr>
          <w:rFonts w:eastAsia="方正仿宋_GBK"/>
          <w:sz w:val="32"/>
          <w:szCs w:val="32"/>
        </w:rPr>
      </w:pPr>
      <w:r>
        <w:rPr>
          <w:rFonts w:eastAsia="方正仿宋_GBK"/>
          <w:sz w:val="32"/>
          <w:szCs w:val="32"/>
        </w:rPr>
        <w:t>三、项目建设必须严格执行环境保护设施与主体工程同时设计、同时施工、同时投入使用的环境保</w:t>
      </w:r>
      <w:r>
        <w:rPr>
          <w:rFonts w:hint="eastAsia" w:ascii="方正仿宋_GBK" w:eastAsia="方正仿宋_GBK"/>
          <w:sz w:val="32"/>
          <w:szCs w:val="32"/>
        </w:rPr>
        <w:t>护“三同时”制度。项</w:t>
      </w:r>
      <w:r>
        <w:rPr>
          <w:rFonts w:eastAsia="方正仿宋_GBK"/>
          <w:sz w:val="32"/>
          <w:szCs w:val="32"/>
        </w:rPr>
        <w:t>目环保投资应纳入工程投资概算并予以落实。项目投入运行前，应依据有关规定向区生态环境行政主管部门申请排污许可，不得无证排污或不按证排污。项目竣工后，你单位应按照有关规定对配套建设的环境保护设施进行验收，编制验收报告并依法向社会公开验收报告，公示期满5个工作日内，应登录全国建设项目竣工环境保护验收信息平台，填报验收等相关信息。</w:t>
      </w:r>
    </w:p>
    <w:p>
      <w:pPr>
        <w:adjustRightInd w:val="0"/>
        <w:snapToGrid w:val="0"/>
        <w:spacing w:line="560" w:lineRule="exact"/>
        <w:ind w:firstLine="640" w:firstLineChars="200"/>
        <w:rPr>
          <w:rFonts w:eastAsia="方正仿宋_GBK"/>
          <w:sz w:val="32"/>
          <w:szCs w:val="32"/>
        </w:rPr>
      </w:pPr>
      <w:r>
        <w:rPr>
          <w:rFonts w:eastAsia="方正仿宋_GBK"/>
          <w:sz w:val="32"/>
          <w:szCs w:val="32"/>
        </w:rPr>
        <w:t>四、若项目的性质、规模、地点、采用的生产工艺或者防治污染措施发生重大变动的，应依法重新报批项目环境影响评价文件。自批准之日起超过5年该项目方开工建设的，其环评文件应当报我局重新审核。</w:t>
      </w:r>
    </w:p>
    <w:p>
      <w:pPr>
        <w:adjustRightInd w:val="0"/>
        <w:snapToGrid w:val="0"/>
        <w:spacing w:line="560" w:lineRule="exact"/>
        <w:ind w:firstLine="640" w:firstLineChars="200"/>
        <w:rPr>
          <w:rFonts w:eastAsia="方正仿宋_GBK"/>
          <w:sz w:val="32"/>
          <w:szCs w:val="32"/>
        </w:rPr>
      </w:pPr>
      <w:r>
        <w:rPr>
          <w:rFonts w:eastAsia="方正仿宋_GBK"/>
          <w:sz w:val="32"/>
          <w:szCs w:val="32"/>
        </w:rPr>
        <w:t>五、按《环境影响评价法》和原环保部《建设项目环境影响后评价管理办法（试行）》相关要求，建设单位应适时开展环境影响后评价并报我局备案。</w:t>
      </w:r>
    </w:p>
    <w:p>
      <w:pPr>
        <w:adjustRightInd w:val="0"/>
        <w:snapToGrid w:val="0"/>
        <w:spacing w:line="560" w:lineRule="exact"/>
        <w:ind w:firstLine="640" w:firstLineChars="200"/>
        <w:rPr>
          <w:rFonts w:eastAsia="方正仿宋_GBK"/>
          <w:sz w:val="32"/>
          <w:szCs w:val="32"/>
        </w:rPr>
      </w:pPr>
      <w:r>
        <w:rPr>
          <w:rFonts w:eastAsia="方正仿宋_GBK"/>
          <w:sz w:val="32"/>
          <w:szCs w:val="32"/>
        </w:rPr>
        <w:t>六、项目按规定接受长寿区生态环境保护综合行政执法支队的环保日常监管。</w:t>
      </w:r>
    </w:p>
    <w:p>
      <w:pPr>
        <w:pStyle w:val="11"/>
        <w:spacing w:line="56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 xml:space="preserve">                      </w:t>
      </w:r>
    </w:p>
    <w:p>
      <w:pPr>
        <w:pStyle w:val="11"/>
        <w:spacing w:line="560" w:lineRule="exact"/>
        <w:ind w:firstLine="640" w:firstLineChars="200"/>
        <w:rPr>
          <w:rFonts w:ascii="Times New Roman" w:hAnsi="Times New Roman" w:eastAsia="方正仿宋_GBK"/>
          <w:bCs/>
          <w:sz w:val="32"/>
          <w:szCs w:val="32"/>
        </w:rPr>
      </w:pPr>
    </w:p>
    <w:p>
      <w:pPr>
        <w:pStyle w:val="11"/>
        <w:spacing w:line="560" w:lineRule="exact"/>
        <w:ind w:firstLine="640" w:firstLineChars="200"/>
        <w:rPr>
          <w:rFonts w:ascii="Times New Roman" w:hAnsi="Times New Roman" w:eastAsia="方正仿宋_GBK"/>
          <w:bCs/>
          <w:sz w:val="32"/>
          <w:szCs w:val="32"/>
        </w:rPr>
      </w:pPr>
    </w:p>
    <w:p>
      <w:pPr>
        <w:wordWrap w:val="0"/>
        <w:spacing w:line="560" w:lineRule="exact"/>
        <w:ind w:left="210" w:right="323" w:firstLine="646"/>
        <w:jc w:val="right"/>
        <w:rPr>
          <w:rFonts w:eastAsia="方正仿宋_GBK"/>
          <w:bCs/>
          <w:sz w:val="32"/>
        </w:rPr>
      </w:pPr>
      <w:r>
        <w:rPr>
          <w:rFonts w:eastAsia="方正仿宋_GBK"/>
          <w:bCs/>
          <w:sz w:val="32"/>
        </w:rPr>
        <w:t>重庆市长寿区生态环境局</w:t>
      </w:r>
      <w:r>
        <w:rPr>
          <w:rFonts w:hint="eastAsia" w:eastAsia="方正仿宋_GBK"/>
          <w:bCs/>
          <w:sz w:val="32"/>
        </w:rPr>
        <w:t xml:space="preserve">  </w:t>
      </w:r>
    </w:p>
    <w:p>
      <w:pPr>
        <w:wordWrap w:val="0"/>
        <w:spacing w:line="560" w:lineRule="exact"/>
        <w:ind w:left="210" w:right="323" w:firstLine="646"/>
        <w:jc w:val="right"/>
        <w:rPr>
          <w:rFonts w:eastAsia="方正仿宋_GBK"/>
          <w:bCs/>
          <w:sz w:val="32"/>
        </w:rPr>
      </w:pPr>
      <w:r>
        <w:rPr>
          <w:rFonts w:hint="eastAsia" w:eastAsia="方正仿宋_GBK"/>
          <w:bCs/>
          <w:sz w:val="32"/>
        </w:rPr>
        <w:t xml:space="preserve">   </w:t>
      </w:r>
      <w:bookmarkStart w:id="2" w:name="timeDate"/>
      <w:r>
        <w:rPr>
          <w:rFonts w:hint="eastAsia" w:eastAsia="方正仿宋_GBK"/>
          <w:bCs/>
          <w:sz w:val="32"/>
        </w:rPr>
        <w:t>2023年3月27日</w:t>
      </w:r>
      <w:bookmarkEnd w:id="2"/>
      <w:r>
        <w:rPr>
          <w:rFonts w:hint="eastAsia" w:eastAsia="方正仿宋_GBK"/>
          <w:bCs/>
          <w:sz w:val="32"/>
        </w:rPr>
        <w:t xml:space="preserve">     </w:t>
      </w:r>
    </w:p>
    <w:p>
      <w:pPr>
        <w:spacing w:line="560" w:lineRule="exact"/>
        <w:rPr>
          <w:rFonts w:hint="eastAsia" w:eastAsia="方正仿宋_GBK"/>
          <w:bCs/>
          <w:sz w:val="32"/>
          <w:szCs w:val="32"/>
        </w:rPr>
      </w:pPr>
    </w:p>
    <w:p>
      <w:pPr>
        <w:spacing w:line="560" w:lineRule="exact"/>
        <w:rPr>
          <w:rFonts w:hint="eastAsia" w:eastAsia="方正仿宋_GBK"/>
          <w:sz w:val="32"/>
          <w:szCs w:val="32"/>
        </w:rPr>
      </w:pPr>
    </w:p>
    <w:p>
      <w:pPr>
        <w:spacing w:line="560" w:lineRule="exact"/>
        <w:rPr>
          <w:rFonts w:eastAsia="方正仿宋_GBK"/>
          <w:sz w:val="32"/>
          <w:szCs w:val="32"/>
        </w:rPr>
      </w:pPr>
    </w:p>
    <w:p>
      <w:pPr>
        <w:pStyle w:val="4"/>
        <w:adjustRightInd w:val="0"/>
        <w:snapToGrid w:val="0"/>
        <w:spacing w:after="0" w:line="560" w:lineRule="exact"/>
        <w:ind w:left="0" w:leftChars="0" w:firstLine="140" w:firstLineChars="50"/>
        <w:rPr>
          <w:rFonts w:ascii="Times New Roman" w:hAnsi="Times New Roman"/>
        </w:rPr>
      </w:pPr>
      <w:r>
        <w:rPr>
          <w:rFonts w:hint="eastAsia" w:ascii="Times New Roman" w:hAnsi="Times New Roman" w:eastAsia="方正仿宋_GBK"/>
          <w:sz w:val="28"/>
          <w:szCs w:val="28"/>
        </w:rPr>
        <w:t>抄送：</w:t>
      </w:r>
      <w:r>
        <w:rPr>
          <w:rFonts w:ascii="Times New Roman" w:hAnsi="Times New Roman" w:eastAsia="方正仿宋_GBK"/>
          <w:sz w:val="28"/>
          <w:szCs w:val="28"/>
        </w:rPr>
        <w:t>区生态环境保护综合行政执法支队，长寿经开区生态环境局。</w:t>
      </w:r>
      <w:r>
        <w:rPr>
          <w:rFonts w:hint="eastAsia" w:ascii="Times New Roman" w:hAnsi="Times New Roman" w:eastAsia="方正仿宋_GBK"/>
          <w:sz w:val="28"/>
          <w:szCs w:val="28"/>
        </w:rPr>
        <w:t xml:space="preserve"> </w:t>
      </w:r>
    </w:p>
    <w:sectPr>
      <w:footerReference r:id="rId5" w:type="default"/>
      <w:footerReference r:id="rId6" w:type="even"/>
      <w:pgSz w:w="11906" w:h="16838"/>
      <w:pgMar w:top="2098" w:right="1474" w:bottom="1985" w:left="1588"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方正书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1</w:t>
    </w:r>
    <w:r>
      <w:rPr>
        <w:rStyle w:val="8"/>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A7FB2"/>
    <w:rsid w:val="00173F42"/>
    <w:rsid w:val="001C585C"/>
    <w:rsid w:val="001D74F0"/>
    <w:rsid w:val="00281DA2"/>
    <w:rsid w:val="002A7FB2"/>
    <w:rsid w:val="004508FC"/>
    <w:rsid w:val="004A0B9E"/>
    <w:rsid w:val="004E5A62"/>
    <w:rsid w:val="005406D4"/>
    <w:rsid w:val="00543117"/>
    <w:rsid w:val="005675B2"/>
    <w:rsid w:val="00667569"/>
    <w:rsid w:val="007B25CC"/>
    <w:rsid w:val="00855D9E"/>
    <w:rsid w:val="008B30BC"/>
    <w:rsid w:val="00A76360"/>
    <w:rsid w:val="00B36D54"/>
    <w:rsid w:val="00C11F82"/>
    <w:rsid w:val="00C224E6"/>
    <w:rsid w:val="00CF4887"/>
    <w:rsid w:val="00E56B90"/>
    <w:rsid w:val="00E622EA"/>
    <w:rsid w:val="00EB6D52"/>
    <w:rsid w:val="00F479C8"/>
    <w:rsid w:val="00F75A10"/>
    <w:rsid w:val="00FB5653"/>
    <w:rsid w:val="00FF7088"/>
    <w:rsid w:val="EFCF61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方正仿宋_GBK"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
    <w:qFormat/>
    <w:uiPriority w:val="0"/>
    <w:pPr>
      <w:keepNext/>
      <w:spacing w:line="240" w:lineRule="exact"/>
      <w:jc w:val="center"/>
      <w:outlineLvl w:val="0"/>
    </w:pPr>
    <w:rPr>
      <w:rFonts w:ascii="仿宋_GB2312" w:eastAsia="仿宋_GB2312"/>
      <w:b/>
      <w:color w:val="000000"/>
      <w:sz w:val="2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3"/>
    <w:qFormat/>
    <w:uiPriority w:val="0"/>
    <w:pPr>
      <w:widowControl/>
      <w:jc w:val="left"/>
    </w:pPr>
    <w:rPr>
      <w:kern w:val="0"/>
      <w:sz w:val="32"/>
      <w:szCs w:val="20"/>
    </w:rPr>
  </w:style>
  <w:style w:type="paragraph" w:styleId="4">
    <w:name w:val="Body Text Indent"/>
    <w:basedOn w:val="1"/>
    <w:link w:val="12"/>
    <w:qFormat/>
    <w:uiPriority w:val="0"/>
    <w:pPr>
      <w:spacing w:after="120"/>
      <w:ind w:left="420" w:leftChars="200"/>
    </w:pPr>
    <w:rPr>
      <w:rFonts w:ascii="Calibri" w:hAnsi="Calibri"/>
    </w:rPr>
  </w:style>
  <w:style w:type="paragraph" w:styleId="5">
    <w:name w:val="footer"/>
    <w:basedOn w:val="1"/>
    <w:link w:val="14"/>
    <w:semiHidden/>
    <w:unhideWhenUsed/>
    <w:qFormat/>
    <w:uiPriority w:val="99"/>
    <w:pPr>
      <w:tabs>
        <w:tab w:val="center" w:pos="4153"/>
        <w:tab w:val="right" w:pos="8306"/>
      </w:tabs>
      <w:snapToGrid w:val="0"/>
      <w:jc w:val="left"/>
    </w:pPr>
    <w:rPr>
      <w:sz w:val="18"/>
      <w:szCs w:val="18"/>
    </w:rPr>
  </w:style>
  <w:style w:type="character" w:styleId="8">
    <w:name w:val="page number"/>
    <w:basedOn w:val="7"/>
    <w:semiHidden/>
    <w:unhideWhenUsed/>
    <w:qFormat/>
    <w:uiPriority w:val="99"/>
  </w:style>
  <w:style w:type="character" w:customStyle="1" w:styleId="9">
    <w:name w:val="标题 1 Char"/>
    <w:basedOn w:val="7"/>
    <w:link w:val="2"/>
    <w:qFormat/>
    <w:uiPriority w:val="0"/>
    <w:rPr>
      <w:rFonts w:ascii="仿宋_GB2312" w:eastAsia="仿宋_GB2312" w:cs="Times New Roman"/>
      <w:b/>
      <w:color w:val="000000"/>
      <w:sz w:val="24"/>
      <w:szCs w:val="24"/>
    </w:rPr>
  </w:style>
  <w:style w:type="character" w:customStyle="1" w:styleId="10">
    <w:name w:val="tb Char"/>
    <w:link w:val="11"/>
    <w:qFormat/>
    <w:uiPriority w:val="0"/>
    <w:rPr>
      <w:rFonts w:ascii="宋体" w:hAnsi="Arial" w:eastAsia="宋体"/>
      <w:sz w:val="24"/>
    </w:rPr>
  </w:style>
  <w:style w:type="paragraph" w:customStyle="1" w:styleId="11">
    <w:name w:val="tb"/>
    <w:basedOn w:val="1"/>
    <w:link w:val="10"/>
    <w:qFormat/>
    <w:uiPriority w:val="0"/>
    <w:pPr>
      <w:spacing w:line="400" w:lineRule="atLeast"/>
    </w:pPr>
    <w:rPr>
      <w:rFonts w:ascii="宋体" w:hAnsi="Arial" w:cstheme="minorBidi"/>
      <w:sz w:val="24"/>
      <w:szCs w:val="22"/>
    </w:rPr>
  </w:style>
  <w:style w:type="character" w:customStyle="1" w:styleId="12">
    <w:name w:val="正文文本缩进 Char"/>
    <w:basedOn w:val="7"/>
    <w:link w:val="4"/>
    <w:qFormat/>
    <w:uiPriority w:val="0"/>
    <w:rPr>
      <w:rFonts w:ascii="Calibri" w:hAnsi="Calibri" w:eastAsia="宋体" w:cs="Times New Roman"/>
      <w:sz w:val="21"/>
      <w:szCs w:val="24"/>
    </w:rPr>
  </w:style>
  <w:style w:type="character" w:customStyle="1" w:styleId="13">
    <w:name w:val="正文文本 Char"/>
    <w:basedOn w:val="7"/>
    <w:link w:val="3"/>
    <w:qFormat/>
    <w:uiPriority w:val="0"/>
    <w:rPr>
      <w:rFonts w:eastAsia="宋体" w:cs="Times New Roman"/>
      <w:kern w:val="0"/>
      <w:szCs w:val="20"/>
    </w:rPr>
  </w:style>
  <w:style w:type="character" w:customStyle="1" w:styleId="14">
    <w:name w:val="页脚 Char"/>
    <w:basedOn w:val="7"/>
    <w:link w:val="5"/>
    <w:semiHidden/>
    <w:qFormat/>
    <w:uiPriority w:val="99"/>
    <w:rPr>
      <w:rFonts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691</Words>
  <Characters>3943</Characters>
  <Lines>32</Lines>
  <Paragraphs>9</Paragraphs>
  <TotalTime>3</TotalTime>
  <ScaleCrop>false</ScaleCrop>
  <LinksUpToDate>false</LinksUpToDate>
  <CharactersWithSpaces>4625</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2023-03-29T09:04:00Z</dcterms:created>
  <dc:creator>LYL</dc:creator>
  <cp:lastModifiedBy>guest</cp:lastModifiedBy>
  <dcterms:modified xsi:type="dcterms:W3CDTF">2024-09-27T14:41:40Z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