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60" w:lineRule="exact"/>
        <w:ind w:firstLine="0" w:firstLineChars="0"/>
        <w:jc w:val="center"/>
        <w:textAlignment w:val="auto"/>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重庆市水利局</w:t>
      </w:r>
    </w:p>
    <w:p>
      <w:pPr>
        <w:pStyle w:val="3"/>
        <w:keepNext w:val="0"/>
        <w:keepLines w:val="0"/>
        <w:pageBreakBefore w:val="0"/>
        <w:widowControl w:val="0"/>
        <w:kinsoku/>
        <w:wordWrap/>
        <w:overflowPunct/>
        <w:topLinePunct w:val="0"/>
        <w:autoSpaceDE/>
        <w:autoSpaceDN/>
        <w:bidi w:val="0"/>
        <w:adjustRightInd/>
        <w:snapToGrid w:val="0"/>
        <w:spacing w:before="0" w:after="0" w:line="660" w:lineRule="exact"/>
        <w:ind w:firstLine="0" w:firstLineChars="0"/>
        <w:jc w:val="center"/>
        <w:textAlignment w:val="auto"/>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重庆市发展和改革委员会</w:t>
      </w:r>
    </w:p>
    <w:p>
      <w:pPr>
        <w:keepNext w:val="0"/>
        <w:keepLines w:val="0"/>
        <w:pageBreakBefore w:val="0"/>
        <w:widowControl w:val="0"/>
        <w:kinsoku/>
        <w:wordWrap/>
        <w:overflowPunct/>
        <w:topLinePunct w:val="0"/>
        <w:autoSpaceDE/>
        <w:autoSpaceDN/>
        <w:bidi w:val="0"/>
        <w:adjustRightInd/>
        <w:snapToGrid w:val="0"/>
        <w:spacing w:line="660" w:lineRule="exact"/>
        <w:ind w:firstLine="0" w:firstLineChars="0"/>
        <w:jc w:val="center"/>
        <w:textAlignment w:val="auto"/>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关于印发《重庆市取用水领域信用评价</w:t>
      </w:r>
    </w:p>
    <w:p>
      <w:pPr>
        <w:keepNext w:val="0"/>
        <w:keepLines w:val="0"/>
        <w:pageBreakBefore w:val="0"/>
        <w:widowControl w:val="0"/>
        <w:kinsoku/>
        <w:wordWrap/>
        <w:overflowPunct/>
        <w:topLinePunct w:val="0"/>
        <w:autoSpaceDE/>
        <w:autoSpaceDN/>
        <w:bidi w:val="0"/>
        <w:adjustRightInd/>
        <w:snapToGrid w:val="0"/>
        <w:spacing w:line="660" w:lineRule="exact"/>
        <w:ind w:firstLine="0" w:firstLineChars="0"/>
        <w:jc w:val="center"/>
        <w:textAlignment w:val="auto"/>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工作方案（试行）》的通知</w:t>
      </w:r>
    </w:p>
    <w:p>
      <w:pPr>
        <w:pStyle w:val="3"/>
        <w:keepNext w:val="0"/>
        <w:keepLines w:val="0"/>
        <w:pageBreakBefore w:val="0"/>
        <w:widowControl w:val="0"/>
        <w:kinsoku/>
        <w:wordWrap/>
        <w:overflowPunct/>
        <w:topLinePunct w:val="0"/>
        <w:autoSpaceDE/>
        <w:autoSpaceDN/>
        <w:bidi w:val="0"/>
        <w:adjustRightInd/>
        <w:snapToGrid w:val="0"/>
        <w:spacing w:before="0" w:after="0" w:line="660" w:lineRule="exact"/>
        <w:ind w:firstLine="0" w:firstLineChars="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660" w:lineRule="exact"/>
        <w:ind w:firstLine="0" w:firstLineChars="0"/>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各区县（自治县）、西部科学城重庆高新区、万盛经开区水行政主管部门、发展改革委：</w:t>
      </w:r>
    </w:p>
    <w:p>
      <w:pPr>
        <w:pStyle w:val="3"/>
        <w:keepNext w:val="0"/>
        <w:keepLines w:val="0"/>
        <w:pageBreakBefore w:val="0"/>
        <w:widowControl w:val="0"/>
        <w:kinsoku/>
        <w:wordWrap/>
        <w:overflowPunct/>
        <w:topLinePunct w:val="0"/>
        <w:autoSpaceDE/>
        <w:autoSpaceDN/>
        <w:bidi w:val="0"/>
        <w:adjustRightInd/>
        <w:snapToGrid w:val="0"/>
        <w:spacing w:before="0" w:after="0" w:line="660" w:lineRule="exact"/>
        <w:ind w:firstLine="640" w:firstLineChars="200"/>
        <w:textAlignment w:val="auto"/>
        <w:rPr>
          <w:rFonts w:hint="eastAsia" w:ascii="Times New Roman" w:hAnsi="Times New Roman" w:eastAsia="方正仿宋_GBK" w:cs="方正仿宋_GBK"/>
          <w:color w:val="000000"/>
          <w:kern w:val="0"/>
          <w:sz w:val="32"/>
          <w:szCs w:val="32"/>
          <w:lang w:val="en-US"/>
        </w:rPr>
      </w:pPr>
      <w:r>
        <w:rPr>
          <w:rFonts w:hint="eastAsia" w:ascii="Times New Roman" w:hAnsi="Times New Roman" w:eastAsia="方正仿宋_GBK" w:cs="方正仿宋_GBK"/>
          <w:color w:val="000000"/>
          <w:kern w:val="0"/>
          <w:sz w:val="32"/>
          <w:szCs w:val="32"/>
          <w:lang w:val="en-US"/>
        </w:rPr>
        <w:t>为进一步贯彻落实党中央、国务院关于实行水资源刚性约束制度和关于社会信用体系建设的决策部署，加快我市取用水领域信用体系建设，强化取用水领域信用监管，促进取用水领域健康有序发展，结合我市工作实际，研究制定了《重庆市取用水领域信用评价工作方案</w:t>
      </w:r>
      <w:r>
        <w:rPr>
          <w:rFonts w:hint="eastAsia" w:ascii="Times New Roman" w:hAnsi="Times New Roman" w:eastAsia="方正仿宋_GBK" w:cs="方正仿宋_GBK"/>
          <w:color w:val="000000"/>
          <w:kern w:val="0"/>
          <w:sz w:val="32"/>
          <w:szCs w:val="32"/>
          <w:lang w:val="en-US" w:eastAsia="zh-CN"/>
        </w:rPr>
        <w:t>（试行）</w:t>
      </w:r>
      <w:r>
        <w:rPr>
          <w:rFonts w:hint="eastAsia" w:ascii="Times New Roman" w:hAnsi="Times New Roman" w:eastAsia="方正仿宋_GBK" w:cs="方正仿宋_GBK"/>
          <w:color w:val="000000"/>
          <w:kern w:val="0"/>
          <w:sz w:val="32"/>
          <w:szCs w:val="32"/>
          <w:lang w:val="en-US"/>
        </w:rPr>
        <w:t>》，现印发给你们，请认真按照方案抓好落实。</w:t>
      </w:r>
    </w:p>
    <w:p>
      <w:pPr>
        <w:keepNext w:val="0"/>
        <w:keepLines w:val="0"/>
        <w:pageBreakBefore w:val="0"/>
        <w:widowControl w:val="0"/>
        <w:kinsoku/>
        <w:wordWrap/>
        <w:overflowPunct/>
        <w:topLinePunct w:val="0"/>
        <w:autoSpaceDE/>
        <w:autoSpaceDN/>
        <w:bidi w:val="0"/>
        <w:snapToGrid w:val="0"/>
        <w:spacing w:line="594" w:lineRule="exact"/>
        <w:ind w:firstLine="0" w:firstLineChars="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snapToGrid w:val="0"/>
        <w:spacing w:line="594" w:lineRule="exact"/>
        <w:ind w:firstLine="0" w:firstLineChars="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snapToGrid w:val="0"/>
        <w:spacing w:line="594" w:lineRule="exact"/>
        <w:ind w:firstLine="0" w:firstLineChars="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重庆市水利局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重庆市发展和改革委员会</w:t>
      </w:r>
    </w:p>
    <w:p>
      <w:pPr>
        <w:keepNext w:val="0"/>
        <w:keepLines w:val="0"/>
        <w:pageBreakBefore w:val="0"/>
        <w:widowControl w:val="0"/>
        <w:kinsoku/>
        <w:wordWrap/>
        <w:overflowPunct/>
        <w:topLinePunct w:val="0"/>
        <w:autoSpaceDE/>
        <w:autoSpaceDN/>
        <w:bidi w:val="0"/>
        <w:snapToGrid w:val="0"/>
        <w:spacing w:line="594" w:lineRule="exact"/>
        <w:ind w:firstLine="0" w:firstLineChars="0"/>
        <w:jc w:val="right"/>
        <w:textAlignment w:val="auto"/>
        <w:rPr>
          <w:rFonts w:hint="eastAsia" w:ascii="Times New Roman" w:hAnsi="Times New Roman" w:eastAsia="方正仿宋_GBK" w:cs="方正仿宋_GBK"/>
          <w:sz w:val="32"/>
          <w:szCs w:val="32"/>
        </w:rPr>
      </w:pPr>
    </w:p>
    <w:p>
      <w:pPr>
        <w:pStyle w:val="3"/>
        <w:keepNext w:val="0"/>
        <w:keepLines w:val="0"/>
        <w:pageBreakBefore w:val="0"/>
        <w:widowControl w:val="0"/>
        <w:kinsoku/>
        <w:wordWrap/>
        <w:overflowPunct/>
        <w:topLinePunct w:val="0"/>
        <w:autoSpaceDE/>
        <w:autoSpaceDN/>
        <w:bidi w:val="0"/>
        <w:snapToGrid w:val="0"/>
        <w:spacing w:before="0" w:after="0" w:line="594" w:lineRule="exact"/>
        <w:jc w:val="right"/>
        <w:textAlignment w:val="auto"/>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lang w:val="en-US"/>
        </w:rPr>
        <w:t>年</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val="en-US"/>
        </w:rPr>
        <w:t>月</w:t>
      </w:r>
      <w:r>
        <w:rPr>
          <w:rFonts w:hint="eastAsia" w:ascii="Times New Roman" w:hAnsi="Times New Roman" w:eastAsia="方正仿宋_GBK" w:cs="方正仿宋_GBK"/>
          <w:sz w:val="32"/>
          <w:szCs w:val="32"/>
          <w:lang w:val="en-US" w:eastAsia="zh-CN"/>
        </w:rPr>
        <w:t>6</w:t>
      </w:r>
      <w:bookmarkStart w:id="0" w:name="_GoBack"/>
      <w:bookmarkEnd w:id="0"/>
      <w:r>
        <w:rPr>
          <w:rFonts w:hint="eastAsia" w:ascii="Times New Roman" w:hAnsi="Times New Roman" w:eastAsia="方正仿宋_GBK" w:cs="方正仿宋_GBK"/>
          <w:sz w:val="32"/>
          <w:szCs w:val="32"/>
          <w:lang w:val="en-US"/>
        </w:rPr>
        <w:t>日</w:t>
      </w:r>
    </w:p>
    <w:p>
      <w:pPr>
        <w:rPr>
          <w:rFonts w:hint="eastAsia" w:ascii="Times New Roman" w:hAnsi="Times New Roman" w:eastAsia="方正仿宋_GBK" w:cs="方正仿宋_GBK"/>
          <w:sz w:val="32"/>
          <w:szCs w:val="32"/>
          <w:lang w:val="en-US"/>
        </w:rPr>
        <w:sectPr>
          <w:pgSz w:w="11906" w:h="16838"/>
          <w:pgMar w:top="1984" w:right="1446" w:bottom="1644" w:left="1446" w:header="851" w:footer="992" w:gutter="0"/>
          <w:cols w:space="425" w:num="1"/>
          <w:docGrid w:type="lines" w:linePitch="312" w:charSpace="0"/>
        </w:sectPr>
      </w:pPr>
    </w:p>
    <w:p>
      <w:pPr>
        <w:keepNext w:val="0"/>
        <w:keepLines w:val="0"/>
        <w:pageBreakBefore w:val="0"/>
        <w:kinsoku/>
        <w:wordWrap/>
        <w:overflowPunct/>
        <w:topLinePunct w:val="0"/>
        <w:autoSpaceDN/>
        <w:bidi w:val="0"/>
        <w:snapToGrid w:val="0"/>
        <w:spacing w:line="594" w:lineRule="exact"/>
        <w:jc w:val="center"/>
        <w:textAlignment w:val="auto"/>
        <w:rPr>
          <w:rFonts w:ascii="Times New Roman" w:hAnsi="Times New Roman" w:eastAsia="方正仿宋_GBK" w:cs="方正仿宋_GBK"/>
          <w:snapToGrid w:val="0"/>
          <w:kern w:val="0"/>
          <w:sz w:val="32"/>
          <w:szCs w:val="32"/>
        </w:rPr>
      </w:pPr>
    </w:p>
    <w:p>
      <w:pPr>
        <w:keepNext w:val="0"/>
        <w:keepLines w:val="0"/>
        <w:pageBreakBefore w:val="0"/>
        <w:kinsoku/>
        <w:wordWrap/>
        <w:overflowPunct/>
        <w:topLinePunct w:val="0"/>
        <w:autoSpaceDN/>
        <w:bidi w:val="0"/>
        <w:snapToGrid w:val="0"/>
        <w:spacing w:line="594" w:lineRule="exact"/>
        <w:jc w:val="center"/>
        <w:textAlignment w:val="auto"/>
        <w:rPr>
          <w:rFonts w:ascii="Times New Roman" w:hAnsi="Times New Roman" w:eastAsia="方正小标宋_GBK" w:cs="方正小标宋_GBK"/>
          <w:snapToGrid w:val="0"/>
          <w:kern w:val="0"/>
          <w:sz w:val="44"/>
          <w:szCs w:val="44"/>
        </w:rPr>
      </w:pPr>
      <w:r>
        <w:rPr>
          <w:rFonts w:hint="eastAsia" w:ascii="Times New Roman" w:hAnsi="Times New Roman" w:eastAsia="方正小标宋_GBK" w:cs="方正小标宋_GBK"/>
          <w:snapToGrid w:val="0"/>
          <w:kern w:val="0"/>
          <w:sz w:val="44"/>
          <w:szCs w:val="44"/>
        </w:rPr>
        <w:t>重庆市取用水领域信用评价工作方案</w:t>
      </w:r>
    </w:p>
    <w:p>
      <w:pPr>
        <w:keepNext w:val="0"/>
        <w:keepLines w:val="0"/>
        <w:pageBreakBefore w:val="0"/>
        <w:kinsoku/>
        <w:wordWrap/>
        <w:overflowPunct/>
        <w:topLinePunct w:val="0"/>
        <w:autoSpaceDN/>
        <w:bidi w:val="0"/>
        <w:snapToGrid w:val="0"/>
        <w:spacing w:line="594" w:lineRule="exact"/>
        <w:jc w:val="center"/>
        <w:textAlignment w:val="auto"/>
        <w:rPr>
          <w:rFonts w:ascii="Times New Roman" w:hAnsi="Times New Roman" w:eastAsia="方正楷体_GBK" w:cs="方正楷体_GBK"/>
          <w:kern w:val="0"/>
          <w:sz w:val="32"/>
          <w:szCs w:val="32"/>
        </w:rPr>
      </w:pPr>
      <w:r>
        <w:rPr>
          <w:rFonts w:hint="eastAsia" w:ascii="Times New Roman" w:hAnsi="Times New Roman" w:eastAsia="方正楷体_GBK" w:cs="方正楷体_GBK"/>
          <w:snapToGrid w:val="0"/>
          <w:kern w:val="0"/>
          <w:sz w:val="32"/>
          <w:szCs w:val="32"/>
        </w:rPr>
        <w:t>（试 行）</w:t>
      </w:r>
    </w:p>
    <w:p>
      <w:pPr>
        <w:keepNext w:val="0"/>
        <w:keepLines w:val="0"/>
        <w:pageBreakBefore w:val="0"/>
        <w:kinsoku/>
        <w:wordWrap/>
        <w:overflowPunct/>
        <w:topLinePunct w:val="0"/>
        <w:autoSpaceDN/>
        <w:bidi w:val="0"/>
        <w:snapToGrid w:val="0"/>
        <w:spacing w:line="594" w:lineRule="exact"/>
        <w:jc w:val="center"/>
        <w:textAlignment w:val="auto"/>
        <w:rPr>
          <w:rFonts w:ascii="Times New Roman" w:hAnsi="Times New Roman" w:eastAsia="方正仿宋_GBK" w:cs="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为贯彻落实党中央、国务院关于实行水资源刚性约束制度和关于社会信用体系建设的决策部署，加快我市取用水领域信用体系建设，强化取用水领域信用监管，促进取用水领域健康有序发展，根据《水利部 国家发展改革委关于实施取用水领域信用评价的指导意见》（水资管〔2024〕172号）要求，制定本方案。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0"/>
        <w:rPr>
          <w:rFonts w:ascii="Times New Roman" w:hAnsi="Times New Roman" w:eastAsia="方正黑体_GBK" w:cs="方正黑体_GBK"/>
          <w:spacing w:val="0"/>
          <w:kern w:val="21"/>
          <w:sz w:val="32"/>
          <w:szCs w:val="32"/>
        </w:rPr>
      </w:pPr>
      <w:r>
        <w:rPr>
          <w:rFonts w:hint="eastAsia" w:ascii="Times New Roman" w:hAnsi="Times New Roman" w:eastAsia="方正黑体_GBK" w:cs="方正黑体_GBK"/>
          <w:spacing w:val="0"/>
          <w:kern w:val="21"/>
          <w:sz w:val="32"/>
          <w:szCs w:val="32"/>
        </w:rPr>
        <w:t>一、总体要求</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坚持以习近平新时代中国特色社会主义思想为指导，贯彻落实习近平总书记“节水优先、空间均衡、系统治理、两手发力”治水思路和关于治水的重要论述精神，以强化用水权管理、实施取水许可制度为前提，以加强取用水信用监管为着力点，将取用水领域违法违规和弄虚作假等行为计入信用记录，建立取用水领域信用评价规则，规范取用水领域信用评价程序，强化取用水领域信用评价结果运用，引导取用水户依法依规取用水资源，规范水资源开发利用秩序，支撑和保障高质量发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0"/>
        <w:rPr>
          <w:rFonts w:ascii="Times New Roman" w:hAnsi="Times New Roman" w:eastAsia="方正黑体_GBK" w:cs="方正黑体_GBK"/>
          <w:spacing w:val="0"/>
          <w:kern w:val="21"/>
          <w:sz w:val="32"/>
          <w:szCs w:val="32"/>
        </w:rPr>
      </w:pPr>
      <w:r>
        <w:rPr>
          <w:rFonts w:hint="eastAsia" w:ascii="Times New Roman" w:hAnsi="Times New Roman" w:eastAsia="方正黑体_GBK" w:cs="方正黑体_GBK"/>
          <w:spacing w:val="0"/>
          <w:kern w:val="21"/>
          <w:sz w:val="32"/>
          <w:szCs w:val="32"/>
        </w:rPr>
        <w:t>二、评价对象与主体</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（一）评价对象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按照稳慎适度原则，先期将市、区县（自治县，以下简称“区县”）</w:t>
      </w:r>
      <w:r>
        <w:rPr>
          <w:rFonts w:hint="eastAsia" w:ascii="Times New Roman" w:hAnsi="Times New Roman" w:eastAsia="方正仿宋_GBK" w:cs="方正仿宋_GBK"/>
          <w:snapToGrid w:val="0"/>
          <w:spacing w:val="0"/>
          <w:kern w:val="21"/>
          <w:sz w:val="32"/>
          <w:szCs w:val="32"/>
          <w:lang w:val="en-US" w:eastAsia="zh-CN"/>
        </w:rPr>
        <w:t>已纳入</w:t>
      </w:r>
      <w:r>
        <w:rPr>
          <w:rFonts w:hint="eastAsia" w:ascii="Times New Roman" w:hAnsi="Times New Roman" w:eastAsia="方正仿宋_GBK" w:cs="方正仿宋_GBK"/>
          <w:snapToGrid w:val="0"/>
          <w:spacing w:val="0"/>
          <w:kern w:val="21"/>
          <w:sz w:val="32"/>
          <w:szCs w:val="32"/>
        </w:rPr>
        <w:t>取水许可管理和未经批准擅自取水的非农业取用水户作为评价对象。后续，市水利局将根据取用水领域信用评价工作开展情况适时扩大评价范围。水利部流域管理机构审批的取用水户按照水利部相关规定执行。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（二）评价主体</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市水利局为评价主体，统一组织开展全市取用水领域信用评价工作。</w:t>
      </w:r>
      <w:r>
        <w:rPr>
          <w:rFonts w:hint="eastAsia" w:ascii="Times New Roman" w:hAnsi="Times New Roman" w:eastAsia="方正仿宋_GBK" w:cs="方正仿宋_GBK"/>
          <w:snapToGrid w:val="0"/>
          <w:spacing w:val="0"/>
          <w:kern w:val="21"/>
          <w:sz w:val="32"/>
          <w:szCs w:val="32"/>
          <w:highlight w:val="none"/>
        </w:rPr>
        <w:t>其中区县水行政主管部门为本级审批发证取用水户和辖区内未经批准擅自取水的取用水户初评单位；市水资源中心为市管取用水户初评单位。</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0"/>
        <w:rPr>
          <w:rFonts w:ascii="Times New Roman" w:hAnsi="Times New Roman" w:eastAsia="方正黑体_GBK" w:cs="方正黑体_GBK"/>
          <w:spacing w:val="0"/>
          <w:kern w:val="21"/>
          <w:sz w:val="32"/>
          <w:szCs w:val="32"/>
        </w:rPr>
      </w:pPr>
      <w:r>
        <w:rPr>
          <w:rFonts w:hint="eastAsia" w:ascii="Times New Roman" w:hAnsi="Times New Roman" w:eastAsia="方正黑体_GBK" w:cs="方正黑体_GBK"/>
          <w:spacing w:val="0"/>
          <w:kern w:val="21"/>
          <w:sz w:val="32"/>
          <w:szCs w:val="32"/>
        </w:rPr>
        <w:t>三、评价标准和依据</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（一）评价方法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取用水领域信用评价实行扣分制，初始分为100分，扣完为止</w:t>
      </w:r>
      <w:r>
        <w:rPr>
          <w:rFonts w:hint="eastAsia" w:ascii="Times New Roman" w:hAnsi="Times New Roman" w:eastAsia="方正仿宋_GBK" w:cs="方正仿宋_GBK"/>
          <w:snapToGrid w:val="0"/>
          <w:spacing w:val="0"/>
          <w:kern w:val="21"/>
          <w:sz w:val="32"/>
          <w:szCs w:val="32"/>
          <w:lang w:eastAsia="zh-CN"/>
        </w:rPr>
        <w:t>，</w:t>
      </w:r>
      <w:r>
        <w:rPr>
          <w:rFonts w:hint="eastAsia" w:ascii="Times New Roman" w:hAnsi="Times New Roman" w:eastAsia="方正仿宋_GBK" w:cs="方正仿宋_GBK"/>
          <w:snapToGrid w:val="0"/>
          <w:kern w:val="21"/>
          <w:sz w:val="32"/>
          <w:szCs w:val="32"/>
        </w:rPr>
        <w:t>根据管理中发现的取用水户违法违规和弄虚作假等失信行为，以相关生效的行政决定文书，以及其他权威、准确的文件或记录为依据进行扣分，根据评分情况确定对应的信用等级。</w:t>
      </w:r>
      <w:r>
        <w:rPr>
          <w:rFonts w:hint="eastAsia" w:ascii="Times New Roman" w:hAnsi="Times New Roman" w:eastAsia="方正仿宋_GBK" w:cs="方正仿宋_GBK"/>
          <w:snapToGrid w:val="0"/>
          <w:spacing w:val="0"/>
          <w:kern w:val="21"/>
          <w:sz w:val="32"/>
          <w:szCs w:val="32"/>
        </w:rPr>
        <w:t>对情节严重、影响恶劣、拒不整改或者整改不力的违法取水行为，从严从重扣分。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（二）信用等级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napToGrid w:val="0"/>
          <w:spacing w:val="0"/>
          <w:kern w:val="21"/>
          <w:sz w:val="32"/>
          <w:szCs w:val="32"/>
        </w:rPr>
        <w:t>评价结果实行等级制，按照扣分情况从高到低划分为四个等级，分别是信用优秀（A级）、信用良好（B级）、信用一般（C级）、信用较差（D级）。</w:t>
      </w:r>
      <w:r>
        <w:rPr>
          <w:rFonts w:hint="eastAsia" w:ascii="Times New Roman" w:hAnsi="Times New Roman" w:eastAsia="方正仿宋_GBK" w:cs="方正仿宋_GBK"/>
          <w:spacing w:val="0"/>
          <w:kern w:val="21"/>
          <w:sz w:val="32"/>
          <w:szCs w:val="32"/>
        </w:rPr>
        <w:t>各信用等级对应的分值（N）分别为：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信用优秀（A级）：N=100；</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信用良好（B级）：85≤N&lt;100；</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信用一般（C级）：60≤N&lt;85；</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信用较差（D级）：0≤N&lt;60。</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（三）评价指标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重庆市评价指标与全国取用水领域信用评价标准（试行）保持一致，随国家标准适时调整，具体见附件1。</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结合《水利部关于印发水资源管理监督检查办法（试行）的通知》（水资管〔2019〕402号）中不同问题的等级分类和法律法规相关处罚条款规定，将评价指标涉及的取用水违法违规和弄虚作假等行为严重程度分为一般、较重、严重3个等级，不同等级对应不同的扣减分值。</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（四）评分规则</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1</w:t>
      </w:r>
      <w:r>
        <w:rPr>
          <w:rFonts w:hint="eastAsia" w:ascii="Times New Roman" w:hAnsi="Times New Roman" w:eastAsia="方正楷体_GBK" w:cs="方正楷体_GBK"/>
          <w:snapToGrid w:val="0"/>
          <w:spacing w:val="0"/>
          <w:kern w:val="21"/>
          <w:sz w:val="32"/>
          <w:szCs w:val="32"/>
        </w:rPr>
        <w:t>．</w:t>
      </w:r>
      <w:r>
        <w:rPr>
          <w:rFonts w:hint="eastAsia" w:ascii="Times New Roman" w:hAnsi="Times New Roman" w:eastAsia="方正仿宋_GBK" w:cs="方正仿宋_GBK"/>
          <w:spacing w:val="0"/>
          <w:kern w:val="21"/>
          <w:sz w:val="32"/>
          <w:szCs w:val="32"/>
        </w:rPr>
        <w:t>以相关行政决定文书以及其他权威、准确的文件或记录明确的取用水户违法违规和弄虚作假等失信行为作为扣分依据，</w:t>
      </w:r>
      <w:r>
        <w:rPr>
          <w:rFonts w:hint="eastAsia" w:ascii="Times New Roman" w:hAnsi="Times New Roman" w:eastAsia="方正仿宋_GBK" w:cs="方正仿宋_GBK"/>
          <w:snapToGrid w:val="0"/>
          <w:spacing w:val="0"/>
          <w:kern w:val="21"/>
          <w:sz w:val="32"/>
          <w:szCs w:val="32"/>
        </w:rPr>
        <w:t>一个失信行为对应一项评价指标，多个失信行为对应多项评价指</w:t>
      </w:r>
      <w:r>
        <w:rPr>
          <w:rFonts w:hint="eastAsia" w:ascii="Times New Roman" w:hAnsi="Times New Roman" w:eastAsia="方正仿宋_GBK" w:cs="方正仿宋_GBK"/>
          <w:spacing w:val="0"/>
          <w:kern w:val="21"/>
          <w:sz w:val="32"/>
          <w:szCs w:val="32"/>
        </w:rPr>
        <w:t>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2</w:t>
      </w:r>
      <w:r>
        <w:rPr>
          <w:rFonts w:hint="eastAsia" w:ascii="Times New Roman" w:hAnsi="Times New Roman" w:eastAsia="方正楷体_GBK" w:cs="方正楷体_GBK"/>
          <w:snapToGrid w:val="0"/>
          <w:spacing w:val="0"/>
          <w:kern w:val="21"/>
          <w:sz w:val="32"/>
          <w:szCs w:val="32"/>
        </w:rPr>
        <w:t>．</w:t>
      </w:r>
      <w:r>
        <w:rPr>
          <w:rFonts w:hint="eastAsia" w:ascii="Times New Roman" w:hAnsi="Times New Roman" w:eastAsia="方正仿宋_GBK" w:cs="方正仿宋_GBK"/>
          <w:spacing w:val="0"/>
          <w:kern w:val="21"/>
          <w:sz w:val="32"/>
          <w:szCs w:val="32"/>
        </w:rPr>
        <w:t>失信行为涉及一项评价指标的，对该项指标扣分；涉及两项及以上评价指标的，累计扣分，扣完为止。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3</w:t>
      </w:r>
      <w:r>
        <w:rPr>
          <w:rFonts w:hint="eastAsia" w:ascii="Times New Roman" w:hAnsi="Times New Roman" w:eastAsia="方正楷体_GBK" w:cs="方正楷体_GBK"/>
          <w:snapToGrid w:val="0"/>
          <w:spacing w:val="0"/>
          <w:kern w:val="21"/>
          <w:sz w:val="32"/>
          <w:szCs w:val="32"/>
        </w:rPr>
        <w:t>．</w:t>
      </w:r>
      <w:r>
        <w:rPr>
          <w:rFonts w:hint="eastAsia" w:ascii="Times New Roman" w:hAnsi="Times New Roman" w:eastAsia="方正仿宋_GBK" w:cs="方正仿宋_GBK"/>
          <w:spacing w:val="0"/>
          <w:kern w:val="21"/>
          <w:sz w:val="32"/>
          <w:szCs w:val="32"/>
        </w:rPr>
        <w:t>取用水户失信行为涉及的评价指标为一般或较重等级，水行政主管部门已下达停止违法违规行为责令整改通知书，且仍未在规定期限内完成整改的，直接评定为C级。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4</w:t>
      </w:r>
      <w:r>
        <w:rPr>
          <w:rFonts w:hint="eastAsia" w:ascii="Times New Roman" w:hAnsi="Times New Roman" w:eastAsia="方正楷体_GBK" w:cs="方正楷体_GBK"/>
          <w:snapToGrid w:val="0"/>
          <w:spacing w:val="0"/>
          <w:kern w:val="21"/>
          <w:sz w:val="32"/>
          <w:szCs w:val="32"/>
        </w:rPr>
        <w:t>．</w:t>
      </w:r>
      <w:r>
        <w:rPr>
          <w:rFonts w:hint="eastAsia" w:ascii="Times New Roman" w:hAnsi="Times New Roman" w:eastAsia="方正仿宋_GBK" w:cs="方正仿宋_GBK"/>
          <w:spacing w:val="0"/>
          <w:kern w:val="21"/>
          <w:sz w:val="32"/>
          <w:szCs w:val="32"/>
        </w:rPr>
        <w:t>取用水户有下列情形之一的，直接评定为D级：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（1）取用水户失信行为涉及的评价指标为严重等级，水行政主管部门已下达停止违法违规行为责令整改通知书，且仍未在规定期限内完成整改的；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（2）取用水户失信行为被市级及以上水行政主管部门或其他有关部门实施挂牌督办的；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（3）因取用水违法，相关责任人被追究刑事责任的；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（4）被列入取用水严重失信主体名单的；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（5）其他造成与取用水相关的严重恶劣社会影响的。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5</w:t>
      </w:r>
      <w:r>
        <w:rPr>
          <w:rFonts w:hint="eastAsia" w:ascii="Times New Roman" w:hAnsi="Times New Roman" w:eastAsia="方正楷体_GBK" w:cs="方正楷体_GBK"/>
          <w:snapToGrid w:val="0"/>
          <w:spacing w:val="0"/>
          <w:kern w:val="21"/>
          <w:sz w:val="32"/>
          <w:szCs w:val="32"/>
        </w:rPr>
        <w:t>．</w:t>
      </w:r>
      <w:r>
        <w:rPr>
          <w:rFonts w:hint="eastAsia" w:ascii="Times New Roman" w:hAnsi="Times New Roman" w:eastAsia="方正仿宋_GBK" w:cs="方正仿宋_GBK"/>
          <w:spacing w:val="0"/>
          <w:kern w:val="21"/>
          <w:sz w:val="32"/>
          <w:szCs w:val="32"/>
        </w:rPr>
        <w:t>参考相关部门在行政管理和公共服务的公共信用信息、公共信用综合评价信息，对取用水户在其他领域信用评价结果为最低等级的或被列入其他领域严重失信主体名单的，其取用水领域信用评价等级不能高于C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pacing w:val="0"/>
          <w:kern w:val="21"/>
          <w:sz w:val="32"/>
          <w:szCs w:val="32"/>
        </w:rPr>
      </w:pPr>
      <w:r>
        <w:rPr>
          <w:rFonts w:hint="eastAsia" w:ascii="Times New Roman" w:hAnsi="Times New Roman" w:eastAsia="方正仿宋_GBK" w:cs="方正仿宋_GBK"/>
          <w:spacing w:val="0"/>
          <w:kern w:val="21"/>
          <w:sz w:val="32"/>
          <w:szCs w:val="32"/>
        </w:rPr>
        <w:t>6</w:t>
      </w:r>
      <w:r>
        <w:rPr>
          <w:rFonts w:hint="eastAsia" w:ascii="Times New Roman" w:hAnsi="Times New Roman" w:eastAsia="方正楷体_GBK" w:cs="方正楷体_GBK"/>
          <w:snapToGrid w:val="0"/>
          <w:spacing w:val="0"/>
          <w:kern w:val="21"/>
          <w:sz w:val="32"/>
          <w:szCs w:val="32"/>
        </w:rPr>
        <w:t>．</w:t>
      </w:r>
      <w:r>
        <w:rPr>
          <w:rFonts w:hint="eastAsia" w:ascii="Times New Roman" w:hAnsi="Times New Roman" w:eastAsia="方正仿宋_GBK" w:cs="方正仿宋_GBK"/>
          <w:spacing w:val="0"/>
          <w:kern w:val="21"/>
          <w:sz w:val="32"/>
          <w:szCs w:val="32"/>
        </w:rPr>
        <w:t>对于一个取用水户有多个取水许可证的，如发证机关相同，以取水许可证为单元分别评分，取最低分值对应的信用等级作为该取用水户的信用评价结果；如发证机关不同，由共同的上一级或最高一级发证机关综合所有发证机关的评价结果，取最低信用等级作为该取用水户最终的信用评价结果。</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0"/>
        <w:rPr>
          <w:rFonts w:ascii="Times New Roman" w:hAnsi="Times New Roman" w:eastAsia="方正黑体_GBK" w:cs="方正黑体_GBK"/>
          <w:spacing w:val="0"/>
          <w:kern w:val="21"/>
          <w:sz w:val="32"/>
          <w:szCs w:val="32"/>
        </w:rPr>
      </w:pPr>
      <w:r>
        <w:rPr>
          <w:rFonts w:hint="eastAsia" w:ascii="Times New Roman" w:hAnsi="Times New Roman" w:eastAsia="方正黑体_GBK" w:cs="方正黑体_GBK"/>
          <w:spacing w:val="0"/>
          <w:kern w:val="21"/>
          <w:sz w:val="32"/>
          <w:szCs w:val="32"/>
        </w:rPr>
        <w:t>四、评价周期与程序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（一）评价周期</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取用水领域信用评价工作每年开展一次，于每年3月底前完成对上一年度的取用水领域信用评价工作，评价结果需反映取用水户上一年度1月1日至12月31日期间的取用水领域信用状况。</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（二）评价流程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取用水领域信用评价程序分为初评和终评两个阶段：</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1</w:t>
      </w:r>
      <w:r>
        <w:rPr>
          <w:rFonts w:hint="eastAsia" w:ascii="Times New Roman" w:hAnsi="Times New Roman" w:eastAsia="方正楷体_GBK" w:cs="方正楷体_GBK"/>
          <w:snapToGrid w:val="0"/>
          <w:spacing w:val="0"/>
          <w:kern w:val="21"/>
          <w:sz w:val="32"/>
          <w:szCs w:val="32"/>
        </w:rPr>
        <w:t>．</w:t>
      </w:r>
      <w:r>
        <w:rPr>
          <w:rFonts w:hint="eastAsia" w:ascii="Times New Roman" w:hAnsi="Times New Roman" w:eastAsia="方正仿宋_GBK" w:cs="方正仿宋_GBK"/>
          <w:snapToGrid w:val="0"/>
          <w:spacing w:val="0"/>
          <w:kern w:val="21"/>
          <w:sz w:val="32"/>
          <w:szCs w:val="32"/>
        </w:rPr>
        <w:t>初评阶段：各区县水行政主管部门和市水资源中心于每年1月31日前，组织完成上一年度取用水领域信用初评工作，并将初评结果（附件2）报送市水利局复核。</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2</w:t>
      </w:r>
      <w:r>
        <w:rPr>
          <w:rFonts w:hint="eastAsia" w:ascii="Times New Roman" w:hAnsi="Times New Roman" w:eastAsia="方正楷体_GBK" w:cs="方正楷体_GBK"/>
          <w:snapToGrid w:val="0"/>
          <w:spacing w:val="0"/>
          <w:kern w:val="21"/>
          <w:sz w:val="32"/>
          <w:szCs w:val="32"/>
        </w:rPr>
        <w:t>．</w:t>
      </w:r>
      <w:r>
        <w:rPr>
          <w:rFonts w:hint="eastAsia" w:ascii="Times New Roman" w:hAnsi="Times New Roman" w:eastAsia="方正仿宋_GBK" w:cs="方正仿宋_GBK"/>
          <w:snapToGrid w:val="0"/>
          <w:spacing w:val="0"/>
          <w:kern w:val="21"/>
          <w:sz w:val="32"/>
          <w:szCs w:val="32"/>
        </w:rPr>
        <w:t>终评阶段：市水利局于每年2月28日前组织完成初评成果复核工作，汇总形成上一年度全市取用水领域信用评价成果，正式确定取用水户信用评价等级。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（三）结果公开</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市水利局通过重庆市水利局官网网站等渠道对取用水领域信用评价结果进行公示，公示期为15个工作日。对信用评价等级为“C”“D”的，按照行政许可管理权限或取用水户隶属的行政区域，由相应的水行政主管部门在公示期内，以书面形式（附件3）告知取用水户。公示期结束后，将在市水利局官网、“信用中国（重庆）”网站公布取用水户信用评价结果。信用评价结果公开期限为1年，自公开之日起计算，至期限届满之日终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楷体_GBK" w:cs="方正楷体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（四）异议申诉</w:t>
      </w:r>
    </w:p>
    <w:p>
      <w:pPr>
        <w:keepNext w:val="0"/>
        <w:keepLines w:val="0"/>
        <w:pageBreakBefore w:val="0"/>
        <w:widowControl w:val="0"/>
        <w:kinsoku/>
        <w:wordWrap/>
        <w:overflowPunct/>
        <w:topLinePunct w:val="0"/>
        <w:autoSpaceDE/>
        <w:autoSpaceDN/>
        <w:bidi w:val="0"/>
        <w:adjustRightInd/>
        <w:snapToGrid w:val="0"/>
        <w:spacing w:line="594" w:lineRule="exact"/>
        <w:ind w:right="159"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对信用评价结果有异议的取用水户可在公示期内对评价结果向市水利局提交核实申请及证据资料；并对提交材料的真实性负责。市水利局需统筹区县水行政主管部门在收到申请之日起20个工作日进行复核，并将复核意见告知取用水户。异议处理需要现场核查、检测、检定、鉴定或者专家评审的，所需时间不计入异议申请办理时间。经核实申请理由成立的，对评价结果予以调整并公示5个工作日。取用水户对评价结果仍有异议的，可依法对评价结果申请行政复议。公示期内未提出异议的，视为对评价结果认可。</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信用主体对评价结果进行申诉、复议的，申诉、复议期间不停止对评价结果的公布，如申诉、复议后评价结果发生变化的，市水利局将及时调整公布的取用水户信用评价结果。</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0"/>
        <w:rPr>
          <w:rFonts w:ascii="Times New Roman" w:hAnsi="Times New Roman" w:eastAsia="方正黑体_GBK" w:cs="方正黑体_GBK"/>
          <w:spacing w:val="0"/>
          <w:kern w:val="21"/>
          <w:sz w:val="32"/>
          <w:szCs w:val="32"/>
        </w:rPr>
      </w:pPr>
      <w:r>
        <w:rPr>
          <w:rFonts w:hint="eastAsia" w:ascii="Times New Roman" w:hAnsi="Times New Roman" w:eastAsia="方正黑体_GBK" w:cs="方正黑体_GBK"/>
          <w:spacing w:val="0"/>
          <w:kern w:val="21"/>
          <w:sz w:val="32"/>
          <w:szCs w:val="32"/>
        </w:rPr>
        <w:t>五、信用修复</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（一）修复机制。</w:t>
      </w:r>
      <w:r>
        <w:rPr>
          <w:rFonts w:hint="eastAsia" w:ascii="Times New Roman" w:hAnsi="Times New Roman" w:eastAsia="方正仿宋_GBK" w:cs="方正仿宋_GBK"/>
          <w:snapToGrid w:val="0"/>
          <w:spacing w:val="0"/>
          <w:kern w:val="21"/>
          <w:sz w:val="32"/>
          <w:szCs w:val="32"/>
        </w:rPr>
        <w:t>取用水领域失信行为信息自相应行政处罚、行政强制等生效之日起即纳入取用水领域信用评价。</w:t>
      </w:r>
      <w:r>
        <w:rPr>
          <w:rFonts w:hint="eastAsia" w:ascii="Times New Roman" w:hAnsi="Times New Roman" w:eastAsia="方正仿宋_GBK" w:cs="方正仿宋_GBK"/>
          <w:snapToGrid w:val="0"/>
          <w:kern w:val="21"/>
          <w:sz w:val="32"/>
          <w:szCs w:val="32"/>
        </w:rPr>
        <w:t>失信取用水户主动开展信用修复的</w:t>
      </w:r>
      <w:r>
        <w:rPr>
          <w:rFonts w:hint="eastAsia" w:ascii="Times New Roman" w:hAnsi="Times New Roman" w:eastAsia="方正仿宋_GBK" w:cs="方正仿宋_GBK"/>
          <w:snapToGrid w:val="0"/>
          <w:spacing w:val="0"/>
          <w:kern w:val="21"/>
          <w:sz w:val="32"/>
          <w:szCs w:val="32"/>
        </w:rPr>
        <w:t>，履行完相应行政处罚并完成信用修复</w:t>
      </w:r>
      <w:r>
        <w:rPr>
          <w:rFonts w:hint="eastAsia" w:ascii="Times New Roman" w:hAnsi="Times New Roman" w:eastAsia="方正仿宋_GBK" w:cs="方正仿宋_GBK"/>
          <w:snapToGrid w:val="0"/>
          <w:spacing w:val="0"/>
          <w:kern w:val="21"/>
          <w:sz w:val="32"/>
          <w:szCs w:val="32"/>
          <w:lang w:val="en-US" w:eastAsia="zh-CN"/>
        </w:rPr>
        <w:t>后</w:t>
      </w:r>
      <w:r>
        <w:rPr>
          <w:rFonts w:hint="eastAsia" w:ascii="Times New Roman" w:hAnsi="Times New Roman" w:eastAsia="方正仿宋_GBK" w:cs="方正仿宋_GBK"/>
          <w:snapToGrid w:val="0"/>
          <w:spacing w:val="0"/>
          <w:kern w:val="21"/>
          <w:sz w:val="32"/>
          <w:szCs w:val="32"/>
        </w:rPr>
        <w:t>，且未产生新的违法失信行为的，相关信息在下一次取用水领域信用评价中不再使用，但予以留档。</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（二）</w:t>
      </w:r>
      <w:r>
        <w:rPr>
          <w:rFonts w:hint="eastAsia" w:ascii="Times New Roman" w:hAnsi="Times New Roman" w:eastAsia="方正楷体_GBK" w:cs="方正楷体_GBK"/>
          <w:snapToGrid w:val="0"/>
          <w:spacing w:val="0"/>
          <w:kern w:val="21"/>
          <w:sz w:val="32"/>
          <w:szCs w:val="32"/>
        </w:rPr>
        <w:t>修复流程。</w:t>
      </w:r>
      <w:r>
        <w:rPr>
          <w:rFonts w:hint="eastAsia" w:ascii="Times New Roman" w:hAnsi="Times New Roman" w:eastAsia="方正仿宋_GBK" w:cs="方正仿宋_GBK"/>
          <w:snapToGrid w:val="0"/>
          <w:spacing w:val="0"/>
          <w:kern w:val="21"/>
          <w:sz w:val="32"/>
          <w:szCs w:val="32"/>
        </w:rPr>
        <w:t>取用水户在规定时限内纠正失信行为、消除不良影响，</w:t>
      </w:r>
      <w:r>
        <w:rPr>
          <w:rFonts w:hint="eastAsia" w:ascii="Times New Roman" w:hAnsi="Times New Roman" w:eastAsia="方正仿宋_GBK" w:cs="方正仿宋_GBK"/>
          <w:spacing w:val="0"/>
          <w:kern w:val="21"/>
          <w:sz w:val="30"/>
          <w:szCs w:val="30"/>
        </w:rPr>
        <w:t>并通过“信用中国”网站提出信用修复申请。申请信用修复应当提交</w:t>
      </w:r>
      <w:r>
        <w:rPr>
          <w:rFonts w:hint="eastAsia" w:ascii="Times New Roman" w:hAnsi="Times New Roman" w:eastAsia="方正仿宋_GBK" w:cs="方正仿宋_GBK"/>
          <w:spacing w:val="0"/>
          <w:kern w:val="21"/>
          <w:sz w:val="30"/>
          <w:szCs w:val="30"/>
          <w:lang w:val="en-US" w:eastAsia="zh-CN"/>
        </w:rPr>
        <w:t>纠正失信行为、履行法定义务等证明材料、信用承诺书及法律、行政法规、部门规章要求提供的其他材料</w:t>
      </w:r>
      <w:r>
        <w:rPr>
          <w:rFonts w:hint="eastAsia" w:ascii="Times New Roman" w:hAnsi="Times New Roman" w:eastAsia="方正仿宋_GBK" w:cs="方正仿宋_GBK"/>
          <w:spacing w:val="0"/>
          <w:kern w:val="21"/>
          <w:sz w:val="30"/>
          <w:szCs w:val="30"/>
        </w:rPr>
        <w:t>。取用水户向行政处罚机关申请出具履行完毕意见的，应当提交取</w:t>
      </w:r>
      <w:r>
        <w:rPr>
          <w:rFonts w:hint="eastAsia" w:ascii="Times New Roman" w:hAnsi="Times New Roman" w:eastAsia="方正仿宋_GBK" w:cs="方正仿宋_GBK"/>
          <w:snapToGrid w:val="0"/>
          <w:spacing w:val="0"/>
          <w:kern w:val="21"/>
          <w:sz w:val="30"/>
          <w:szCs w:val="30"/>
        </w:rPr>
        <w:t>用水领域信用修复申请表</w:t>
      </w:r>
      <w:r>
        <w:rPr>
          <w:rFonts w:hint="eastAsia" w:ascii="Times New Roman" w:hAnsi="Times New Roman" w:eastAsia="方正仿宋_GBK" w:cs="方正仿宋_GBK"/>
          <w:spacing w:val="0"/>
          <w:kern w:val="21"/>
          <w:sz w:val="30"/>
          <w:szCs w:val="30"/>
        </w:rPr>
        <w:t>（详见附件4），行政处罚机关应当在收到申请表5个工作日内完成核实并出具意见后报市水利局备案。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黑体_GBK" w:cs="方正黑体_GBK"/>
          <w:snapToGrid w:val="0"/>
          <w:spacing w:val="0"/>
          <w:kern w:val="21"/>
          <w:sz w:val="32"/>
          <w:szCs w:val="32"/>
        </w:rPr>
      </w:pPr>
      <w:r>
        <w:rPr>
          <w:rFonts w:hint="eastAsia" w:ascii="Times New Roman" w:hAnsi="Times New Roman" w:eastAsia="方正黑体_GBK" w:cs="方正黑体_GBK"/>
          <w:snapToGrid w:val="0"/>
          <w:spacing w:val="0"/>
          <w:kern w:val="21"/>
          <w:sz w:val="32"/>
          <w:szCs w:val="32"/>
        </w:rPr>
        <w:t>六、分类监管</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仿宋_GBK" w:cs="方正仿宋_GBK"/>
          <w:snapToGrid w:val="0"/>
          <w:spacing w:val="0"/>
          <w:kern w:val="21"/>
          <w:sz w:val="32"/>
          <w:szCs w:val="32"/>
        </w:rPr>
        <w:t>对信用评价等级为“A”的取用水户，在减少抽查比例和频次，以及取用水领域的评优评奖、财政补助资金申请等方面进行激励。对信用评价等级为“D”的取用水户，列为重点监管对象，加大日常监管力度，提高抽查比例和频次，暂停取用水领域的各类专项资金补助，且不适用取水许可告知承诺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0"/>
        <w:rPr>
          <w:rFonts w:ascii="Times New Roman" w:hAnsi="Times New Roman" w:eastAsia="方正黑体_GBK" w:cs="方正黑体_GBK"/>
          <w:spacing w:val="0"/>
          <w:kern w:val="21"/>
          <w:sz w:val="32"/>
          <w:szCs w:val="32"/>
        </w:rPr>
      </w:pPr>
      <w:r>
        <w:rPr>
          <w:rFonts w:hint="eastAsia" w:ascii="Times New Roman" w:hAnsi="Times New Roman" w:eastAsia="方正黑体_GBK" w:cs="方正黑体_GBK"/>
          <w:spacing w:val="0"/>
          <w:kern w:val="21"/>
          <w:sz w:val="32"/>
          <w:szCs w:val="32"/>
        </w:rPr>
        <w:t>七、组织实施</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（一）加强组织领导。</w:t>
      </w:r>
      <w:r>
        <w:rPr>
          <w:rFonts w:hint="eastAsia" w:ascii="Times New Roman" w:hAnsi="Times New Roman" w:eastAsia="方正仿宋_GBK" w:cs="方正仿宋_GBK"/>
          <w:snapToGrid w:val="0"/>
          <w:spacing w:val="0"/>
          <w:kern w:val="21"/>
          <w:sz w:val="32"/>
          <w:szCs w:val="32"/>
        </w:rPr>
        <w:t>各区县水行政主管部门和市水资源中心要将实施取用水领域信用评价作为实行水资源刚性约束制度的一项重要任务，加强组织领导，做好经费保障，有序推进信用评价实施工作。要加强与同级发展改革等部门沟通协作，加快构建以信用为基础的取用水领域新型监管机制。</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4"/>
        <w:jc w:val="both"/>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（二）强化技术支撑。</w:t>
      </w:r>
      <w:r>
        <w:rPr>
          <w:rFonts w:hint="eastAsia" w:ascii="Times New Roman" w:hAnsi="Times New Roman" w:eastAsia="方正仿宋_GBK" w:cs="方正仿宋_GBK"/>
          <w:snapToGrid w:val="0"/>
          <w:spacing w:val="0"/>
          <w:kern w:val="21"/>
          <w:sz w:val="32"/>
          <w:szCs w:val="32"/>
        </w:rPr>
        <w:t>按照数字重庆建设要求，市水利局将依托国家水资源管理系统（重庆）将取用水户的基础信息、执法监管和处置、信用评价结果等信息与全国取用水管理平台、“渝悦·信用”应用平台等按需共享。区县水行政主管部门和市水资源中心应当结合日常监管工作开展取用水领域信用记录归集、信用信息共享、失信案例核查等工作。</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4"/>
        <w:jc w:val="both"/>
        <w:textAlignment w:val="auto"/>
        <w:rPr>
          <w:rFonts w:ascii="Times New Roman" w:hAnsi="Times New Roman" w:eastAsia="方正仿宋_GBK" w:cs="方正仿宋_GBK"/>
          <w:snapToGrid w:val="0"/>
          <w:spacing w:val="0"/>
          <w:kern w:val="21"/>
          <w:sz w:val="32"/>
          <w:szCs w:val="32"/>
        </w:rPr>
      </w:pPr>
      <w:r>
        <w:rPr>
          <w:rFonts w:hint="eastAsia" w:ascii="Times New Roman" w:hAnsi="Times New Roman" w:eastAsia="方正楷体_GBK" w:cs="方正楷体_GBK"/>
          <w:snapToGrid w:val="0"/>
          <w:spacing w:val="0"/>
          <w:kern w:val="21"/>
          <w:sz w:val="32"/>
          <w:szCs w:val="32"/>
        </w:rPr>
        <w:t>（三）保护信息安全。</w:t>
      </w:r>
      <w:r>
        <w:rPr>
          <w:rFonts w:hint="eastAsia" w:ascii="Times New Roman" w:hAnsi="Times New Roman" w:eastAsia="方正仿宋_GBK" w:cs="方正仿宋_GBK"/>
          <w:snapToGrid w:val="0"/>
          <w:spacing w:val="0"/>
          <w:kern w:val="21"/>
          <w:sz w:val="32"/>
          <w:szCs w:val="32"/>
        </w:rPr>
        <w:t>各区县水行政主管部门和市水资源中心要严格落实信息安全保护责任，规范信用信息查询使用权限和程序，依法依规采集、归集、共享和使用相关信息，保护取用水户的商业秘密。</w:t>
      </w:r>
    </w:p>
    <w:p>
      <w:pPr>
        <w:snapToGrid w:val="0"/>
        <w:spacing w:line="580" w:lineRule="exact"/>
        <w:rPr>
          <w:rFonts w:ascii="Times New Roman" w:hAnsi="Times New Roman" w:eastAsia="方正仿宋_GBK" w:cs="方正仿宋_GBK"/>
          <w:snapToGrid w:val="0"/>
          <w:kern w:val="0"/>
          <w:sz w:val="32"/>
          <w:szCs w:val="32"/>
        </w:rPr>
      </w:pPr>
    </w:p>
    <w:p>
      <w:pPr>
        <w:pStyle w:val="5"/>
        <w:rPr>
          <w:rFonts w:ascii="Times New Roman" w:hAnsi="Times New Roman" w:eastAsia="方正仿宋_GBK" w:cs="方正仿宋_GBK"/>
          <w:snapToGrid w:val="0"/>
          <w:kern w:val="0"/>
          <w:sz w:val="32"/>
          <w:szCs w:val="32"/>
        </w:rPr>
        <w:sectPr>
          <w:footerReference r:id="rId3" w:type="default"/>
          <w:pgSz w:w="11900" w:h="16838"/>
          <w:pgMar w:top="1984" w:right="1446" w:bottom="1644" w:left="1446" w:header="850" w:footer="1474" w:gutter="0"/>
          <w:pgNumType w:fmt="decimal"/>
          <w:cols w:space="720" w:num="1"/>
          <w:docGrid w:linePitch="436" w:charSpace="0"/>
        </w:sectPr>
      </w:pPr>
    </w:p>
    <w:p>
      <w:pPr>
        <w:snapToGrid w:val="0"/>
        <w:spacing w:line="594" w:lineRule="exact"/>
        <w:rPr>
          <w:rFonts w:hint="eastAsia" w:ascii="Times New Roman" w:hAnsi="Times New Roman" w:eastAsia="方正黑体_GBK" w:cs="Times New Roman"/>
          <w:kern w:val="0"/>
          <w:sz w:val="32"/>
          <w:szCs w:val="32"/>
          <w:lang w:val="en-US" w:eastAsia="zh-CN"/>
        </w:rPr>
      </w:pPr>
      <w:r>
        <w:rPr>
          <w:rFonts w:ascii="Times New Roman" w:hAnsi="Times New Roman" w:eastAsia="方正黑体_GBK" w:cs="Times New Roman"/>
          <w:kern w:val="0"/>
          <w:sz w:val="32"/>
          <w:szCs w:val="32"/>
        </w:rPr>
        <w:t>附件</w:t>
      </w:r>
      <w:r>
        <w:rPr>
          <w:rFonts w:hint="eastAsia" w:ascii="Times New Roman" w:hAnsi="Times New Roman" w:eastAsia="方正黑体_GBK" w:cs="Times New Roman"/>
          <w:kern w:val="0"/>
          <w:sz w:val="32"/>
          <w:szCs w:val="32"/>
          <w:lang w:val="en-US" w:eastAsia="zh-CN"/>
        </w:rPr>
        <w:t>1</w:t>
      </w:r>
    </w:p>
    <w:p>
      <w:pPr>
        <w:pStyle w:val="2"/>
        <w:spacing w:before="107" w:line="218" w:lineRule="auto"/>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全国取用水领域信用评价指标及评分标准</w:t>
      </w:r>
    </w:p>
    <w:tbl>
      <w:tblPr>
        <w:tblStyle w:val="12"/>
        <w:tblW w:w="512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40"/>
        <w:gridCol w:w="2767"/>
        <w:gridCol w:w="671"/>
        <w:gridCol w:w="798"/>
        <w:gridCol w:w="3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63" w:type="pct"/>
            <w:vAlign w:val="center"/>
          </w:tcPr>
          <w:p>
            <w:pPr>
              <w:pStyle w:val="11"/>
              <w:widowControl w:val="0"/>
              <w:kinsoku/>
              <w:ind w:left="105" w:leftChars="50" w:right="105" w:rightChars="50"/>
              <w:jc w:val="center"/>
              <w:rPr>
                <w:rFonts w:ascii="Times New Roman" w:hAnsi="Times New Roman"/>
                <w:b/>
                <w:bCs w:val="0"/>
                <w:sz w:val="21"/>
                <w:szCs w:val="21"/>
              </w:rPr>
            </w:pPr>
            <w:r>
              <w:rPr>
                <w:rFonts w:hint="eastAsia" w:ascii="Times New Roman" w:hAnsi="Times New Roman"/>
                <w:b/>
                <w:bCs w:val="0"/>
                <w:sz w:val="21"/>
                <w:szCs w:val="21"/>
              </w:rPr>
              <w:t>序号</w:t>
            </w:r>
          </w:p>
        </w:tc>
        <w:tc>
          <w:tcPr>
            <w:tcW w:w="616" w:type="pct"/>
            <w:vAlign w:val="center"/>
          </w:tcPr>
          <w:p>
            <w:pPr>
              <w:pStyle w:val="11"/>
              <w:widowControl w:val="0"/>
              <w:kinsoku/>
              <w:ind w:left="105" w:leftChars="50" w:right="105" w:rightChars="50"/>
              <w:jc w:val="center"/>
              <w:rPr>
                <w:rFonts w:ascii="Times New Roman" w:hAnsi="Times New Roman"/>
                <w:b/>
                <w:bCs w:val="0"/>
                <w:sz w:val="21"/>
                <w:szCs w:val="21"/>
              </w:rPr>
            </w:pPr>
            <w:r>
              <w:rPr>
                <w:rFonts w:hint="eastAsia" w:ascii="Times New Roman" w:hAnsi="Times New Roman"/>
                <w:b/>
                <w:bCs w:val="0"/>
                <w:sz w:val="21"/>
                <w:szCs w:val="21"/>
              </w:rPr>
              <w:t>类别</w:t>
            </w:r>
          </w:p>
        </w:tc>
        <w:tc>
          <w:tcPr>
            <w:tcW w:w="1495" w:type="pct"/>
            <w:vAlign w:val="center"/>
          </w:tcPr>
          <w:p>
            <w:pPr>
              <w:pStyle w:val="11"/>
              <w:widowControl w:val="0"/>
              <w:kinsoku/>
              <w:ind w:left="105" w:leftChars="50" w:right="105" w:rightChars="50"/>
              <w:jc w:val="center"/>
              <w:rPr>
                <w:rFonts w:ascii="Times New Roman" w:hAnsi="Times New Roman"/>
                <w:b/>
                <w:bCs w:val="0"/>
                <w:sz w:val="21"/>
                <w:szCs w:val="21"/>
              </w:rPr>
            </w:pPr>
            <w:r>
              <w:rPr>
                <w:rFonts w:hint="eastAsia" w:ascii="Times New Roman" w:hAnsi="Times New Roman"/>
                <w:b/>
                <w:bCs w:val="0"/>
                <w:sz w:val="21"/>
                <w:szCs w:val="21"/>
              </w:rPr>
              <w:t>评价指标</w:t>
            </w:r>
          </w:p>
        </w:tc>
        <w:tc>
          <w:tcPr>
            <w:tcW w:w="362" w:type="pct"/>
            <w:vAlign w:val="center"/>
          </w:tcPr>
          <w:p>
            <w:pPr>
              <w:pStyle w:val="11"/>
              <w:widowControl w:val="0"/>
              <w:kinsoku/>
              <w:ind w:left="105" w:leftChars="50" w:right="105" w:rightChars="50"/>
              <w:jc w:val="center"/>
              <w:rPr>
                <w:rFonts w:ascii="Times New Roman" w:hAnsi="Times New Roman"/>
                <w:b/>
                <w:bCs w:val="0"/>
                <w:sz w:val="21"/>
                <w:szCs w:val="21"/>
                <w:lang w:eastAsia="zh-CN"/>
              </w:rPr>
            </w:pPr>
            <w:r>
              <w:rPr>
                <w:rFonts w:hint="eastAsia" w:ascii="Times New Roman" w:hAnsi="Times New Roman"/>
                <w:b/>
                <w:bCs w:val="0"/>
                <w:sz w:val="21"/>
                <w:szCs w:val="21"/>
                <w:lang w:eastAsia="zh-CN"/>
              </w:rPr>
              <w:t>严重</w:t>
            </w:r>
          </w:p>
          <w:p>
            <w:pPr>
              <w:pStyle w:val="11"/>
              <w:widowControl w:val="0"/>
              <w:kinsoku/>
              <w:ind w:left="105" w:leftChars="50" w:right="105" w:rightChars="50"/>
              <w:jc w:val="center"/>
              <w:rPr>
                <w:rFonts w:ascii="Times New Roman" w:hAnsi="Times New Roman"/>
                <w:b/>
                <w:bCs w:val="0"/>
                <w:sz w:val="21"/>
                <w:szCs w:val="21"/>
              </w:rPr>
            </w:pPr>
            <w:r>
              <w:rPr>
                <w:rFonts w:hint="eastAsia" w:ascii="Times New Roman" w:hAnsi="Times New Roman"/>
                <w:b/>
                <w:bCs w:val="0"/>
                <w:sz w:val="21"/>
                <w:szCs w:val="21"/>
                <w:lang w:eastAsia="zh-CN"/>
              </w:rPr>
              <w:t>程度</w:t>
            </w:r>
          </w:p>
        </w:tc>
        <w:tc>
          <w:tcPr>
            <w:tcW w:w="431" w:type="pct"/>
            <w:vAlign w:val="center"/>
          </w:tcPr>
          <w:p>
            <w:pPr>
              <w:pStyle w:val="11"/>
              <w:widowControl w:val="0"/>
              <w:kinsoku/>
              <w:ind w:left="105" w:leftChars="50" w:right="105" w:rightChars="50"/>
              <w:jc w:val="center"/>
              <w:rPr>
                <w:rFonts w:ascii="Times New Roman" w:hAnsi="Times New Roman"/>
                <w:b/>
                <w:bCs w:val="0"/>
                <w:sz w:val="21"/>
                <w:szCs w:val="21"/>
              </w:rPr>
            </w:pPr>
            <w:r>
              <w:rPr>
                <w:rFonts w:hint="eastAsia" w:ascii="Times New Roman" w:hAnsi="Times New Roman"/>
                <w:b/>
                <w:bCs w:val="0"/>
                <w:sz w:val="21"/>
                <w:szCs w:val="21"/>
              </w:rPr>
              <w:t>扣分</w:t>
            </w:r>
          </w:p>
          <w:p>
            <w:pPr>
              <w:pStyle w:val="11"/>
              <w:widowControl w:val="0"/>
              <w:kinsoku/>
              <w:ind w:left="105" w:leftChars="50" w:right="105" w:rightChars="50"/>
              <w:jc w:val="center"/>
              <w:rPr>
                <w:rFonts w:ascii="Times New Roman" w:hAnsi="Times New Roman"/>
                <w:b/>
                <w:bCs w:val="0"/>
                <w:sz w:val="21"/>
                <w:szCs w:val="21"/>
              </w:rPr>
            </w:pPr>
            <w:r>
              <w:rPr>
                <w:rFonts w:hint="eastAsia" w:ascii="Times New Roman" w:hAnsi="Times New Roman"/>
                <w:b/>
                <w:bCs w:val="0"/>
                <w:sz w:val="21"/>
                <w:szCs w:val="21"/>
              </w:rPr>
              <w:t>分值</w:t>
            </w:r>
          </w:p>
        </w:tc>
        <w:tc>
          <w:tcPr>
            <w:tcW w:w="1729" w:type="pct"/>
            <w:vAlign w:val="center"/>
          </w:tcPr>
          <w:p>
            <w:pPr>
              <w:pStyle w:val="11"/>
              <w:widowControl w:val="0"/>
              <w:kinsoku/>
              <w:ind w:left="105" w:leftChars="50" w:right="105" w:rightChars="50"/>
              <w:jc w:val="center"/>
              <w:rPr>
                <w:rFonts w:ascii="Times New Roman" w:hAnsi="Times New Roman"/>
                <w:b/>
                <w:bCs w:val="0"/>
                <w:sz w:val="21"/>
                <w:szCs w:val="21"/>
              </w:rPr>
            </w:pPr>
            <w:r>
              <w:rPr>
                <w:rFonts w:hint="eastAsia" w:ascii="Times New Roman" w:hAnsi="Times New Roman"/>
                <w:b/>
                <w:bCs w:val="0"/>
                <w:sz w:val="21"/>
                <w:szCs w:val="21"/>
              </w:rPr>
              <w:t>法律法规</w:t>
            </w:r>
            <w:r>
              <w:rPr>
                <w:rFonts w:hint="eastAsia" w:ascii="Times New Roman" w:hAnsi="Times New Roman"/>
                <w:b/>
                <w:bCs w:val="0"/>
                <w:sz w:val="21"/>
                <w:szCs w:val="21"/>
                <w:lang w:eastAsia="zh-CN"/>
              </w:rPr>
              <w:t>等</w:t>
            </w:r>
            <w:r>
              <w:rPr>
                <w:rFonts w:hint="eastAsia" w:ascii="Times New Roman" w:hAnsi="Times New Roman"/>
                <w:b/>
                <w:bCs w:val="0"/>
                <w:sz w:val="21"/>
                <w:szCs w:val="21"/>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w:t>
            </w:r>
          </w:p>
        </w:tc>
        <w:tc>
          <w:tcPr>
            <w:tcW w:w="616" w:type="pct"/>
            <w:vMerge w:val="restar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取水许可行为</w:t>
            </w: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未经批准擅自取水的</w:t>
            </w:r>
            <w:r>
              <w:rPr>
                <w:rFonts w:hint="eastAsia" w:ascii="Times New Roman" w:hAnsi="Times New Roman"/>
                <w:bCs/>
                <w:sz w:val="21"/>
                <w:szCs w:val="21"/>
                <w:vertAlign w:val="superscript"/>
                <w:lang w:eastAsia="zh-CN"/>
              </w:rPr>
              <w:t>①</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严重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20分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《中华人民共和国水法》第六十九条；《取水许可和水资源费征收管理条例》第四十八条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2</w:t>
            </w:r>
          </w:p>
        </w:tc>
        <w:tc>
          <w:tcPr>
            <w:tcW w:w="616" w:type="pct"/>
            <w:vMerge w:val="continue"/>
            <w:vAlign w:val="center"/>
          </w:tcPr>
          <w:p>
            <w:pPr>
              <w:snapToGrid w:val="0"/>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未依照批准的取水许可规定条件取水的</w:t>
            </w:r>
            <w:r>
              <w:rPr>
                <w:rFonts w:hint="eastAsia" w:ascii="Times New Roman" w:hAnsi="Times New Roman"/>
                <w:bCs/>
                <w:sz w:val="21"/>
                <w:szCs w:val="21"/>
                <w:vertAlign w:val="superscript"/>
                <w:lang w:eastAsia="zh-CN"/>
              </w:rPr>
              <w:t>②</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较重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《中华人民共和国水法》第六十九条；《取水许可和水资源费征收管理条例》第四十八条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3</w:t>
            </w:r>
          </w:p>
        </w:tc>
        <w:tc>
          <w:tcPr>
            <w:tcW w:w="616" w:type="pct"/>
            <w:vMerge w:val="continue"/>
            <w:vAlign w:val="center"/>
          </w:tcPr>
          <w:p>
            <w:pPr>
              <w:snapToGrid w:val="0"/>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未取得取水申请批准文件擅自建设取水工程或者设施的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较重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《取水许可和水资源费征收管理条例》第四十九条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4</w:t>
            </w:r>
          </w:p>
        </w:tc>
        <w:tc>
          <w:tcPr>
            <w:tcW w:w="616" w:type="pct"/>
            <w:vMerge w:val="continue"/>
            <w:vAlign w:val="center"/>
          </w:tcPr>
          <w:p>
            <w:pPr>
              <w:snapToGrid w:val="0"/>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申请人隐瞒有关情况或者提供虚假材料骗取取水申请批准文件或者取水许可证的</w:t>
            </w:r>
            <w:r>
              <w:rPr>
                <w:rFonts w:hint="eastAsia" w:ascii="Times New Roman" w:hAnsi="Times New Roman"/>
                <w:bCs/>
                <w:sz w:val="21"/>
                <w:szCs w:val="21"/>
                <w:vertAlign w:val="superscript"/>
                <w:lang w:eastAsia="zh-CN"/>
              </w:rPr>
              <w:t>③</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严重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20分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《取水许可和水资源费征收管理条例》第五十条；《建设项目水资源论证管理办法》第十二条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5</w:t>
            </w:r>
          </w:p>
        </w:tc>
        <w:tc>
          <w:tcPr>
            <w:tcW w:w="616" w:type="pct"/>
            <w:vMerge w:val="continue"/>
            <w:vAlign w:val="center"/>
          </w:tcPr>
          <w:p>
            <w:pPr>
              <w:snapToGrid w:val="0"/>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拒不执行审批机关作出的取水量限制决定的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严重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20分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《取水许可和水资源费征收管理条例》第五十一条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6</w:t>
            </w:r>
          </w:p>
        </w:tc>
        <w:tc>
          <w:tcPr>
            <w:tcW w:w="616" w:type="pct"/>
            <w:vMerge w:val="continue"/>
            <w:vAlign w:val="center"/>
          </w:tcPr>
          <w:p>
            <w:pPr>
              <w:snapToGrid w:val="0"/>
              <w:ind w:left="105" w:leftChars="50" w:right="105" w:rightChars="50"/>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未经批准擅自转让取水权的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一般</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5分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《取水许可和水资源费征收管理条例》第五十一条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7</w:t>
            </w:r>
          </w:p>
        </w:tc>
        <w:tc>
          <w:tcPr>
            <w:tcW w:w="616" w:type="pct"/>
            <w:vMerge w:val="continue"/>
            <w:vAlign w:val="center"/>
          </w:tcPr>
          <w:p>
            <w:pPr>
              <w:snapToGrid w:val="0"/>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伪造、涂改、冒用取水申请批准文件、取水许可证的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严重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2</w:t>
            </w:r>
            <w:r>
              <w:rPr>
                <w:rFonts w:hint="eastAsia" w:ascii="Times New Roman" w:hAnsi="Times New Roman"/>
                <w:bCs/>
                <w:sz w:val="21"/>
                <w:szCs w:val="21"/>
                <w:lang w:eastAsia="zh-CN"/>
              </w:rPr>
              <w:t>0</w:t>
            </w:r>
            <w:r>
              <w:rPr>
                <w:rFonts w:hint="eastAsia" w:ascii="Times New Roman" w:hAnsi="Times New Roman"/>
                <w:bCs/>
                <w:sz w:val="21"/>
                <w:szCs w:val="21"/>
              </w:rPr>
              <w:t>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《取水许可和水资源费征收管理条例》第五十六条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lang w:eastAsia="zh-CN"/>
              </w:rPr>
              <w:t>8</w:t>
            </w:r>
          </w:p>
        </w:tc>
        <w:tc>
          <w:tcPr>
            <w:tcW w:w="616" w:type="pct"/>
            <w:vMerge w:val="restart"/>
            <w:tcBorders>
              <w:top w:val="nil"/>
            </w:tcBorders>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lang w:eastAsia="zh-CN"/>
              </w:rPr>
              <w:t>取用水监测计量统计</w:t>
            </w:r>
            <w:r>
              <w:rPr>
                <w:rFonts w:hint="eastAsia" w:ascii="Times New Roman" w:hAnsi="Times New Roman"/>
                <w:bCs/>
                <w:sz w:val="21"/>
                <w:szCs w:val="21"/>
                <w:vertAlign w:val="superscript"/>
                <w:lang w:eastAsia="zh-CN"/>
              </w:rPr>
              <w:t>⑤</w:t>
            </w:r>
          </w:p>
        </w:tc>
        <w:tc>
          <w:tcPr>
            <w:tcW w:w="1495" w:type="pct"/>
            <w:vAlign w:val="center"/>
          </w:tcPr>
          <w:p>
            <w:pPr>
              <w:pStyle w:val="11"/>
              <w:widowControl w:val="0"/>
              <w:kinsoku/>
              <w:ind w:left="105" w:leftChars="50" w:right="105" w:rightChars="50"/>
              <w:rPr>
                <w:rFonts w:ascii="Times New Roman" w:hAnsi="Times New Roman"/>
                <w:bCs/>
                <w:sz w:val="21"/>
                <w:szCs w:val="21"/>
              </w:rPr>
            </w:pPr>
            <w:r>
              <w:rPr>
                <w:rFonts w:hint="eastAsia" w:ascii="Times New Roman" w:hAnsi="Times New Roman"/>
                <w:bCs/>
                <w:sz w:val="21"/>
                <w:szCs w:val="21"/>
              </w:rPr>
              <w:t>未安装计量设施的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较重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《取水许可和水资源费征收管理条例》第五十三条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lang w:eastAsia="zh-CN"/>
              </w:rPr>
              <w:t>9</w:t>
            </w:r>
          </w:p>
        </w:tc>
        <w:tc>
          <w:tcPr>
            <w:tcW w:w="616" w:type="pct"/>
            <w:vMerge w:val="continue"/>
            <w:vAlign w:val="center"/>
          </w:tcPr>
          <w:p>
            <w:pPr>
              <w:snapToGrid w:val="0"/>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计量设施不合格或者运行不正常的</w:t>
            </w:r>
            <w:r>
              <w:rPr>
                <w:rFonts w:hint="eastAsia" w:ascii="Times New Roman" w:hAnsi="Times New Roman"/>
                <w:bCs/>
                <w:sz w:val="21"/>
                <w:szCs w:val="21"/>
                <w:vertAlign w:val="superscript"/>
                <w:lang w:eastAsia="zh-CN"/>
              </w:rPr>
              <w:t>④</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一般</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5分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《取水许可和水资源费征收管理条例》第五十三条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lang w:eastAsia="zh-CN"/>
              </w:rPr>
              <w:t>10</w:t>
            </w:r>
          </w:p>
        </w:tc>
        <w:tc>
          <w:tcPr>
            <w:tcW w:w="616" w:type="pct"/>
            <w:vMerge w:val="continue"/>
            <w:vAlign w:val="center"/>
          </w:tcPr>
          <w:p>
            <w:pPr>
              <w:snapToGrid w:val="0"/>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在用水统计工作中弄虚作假，篡改伪造取用水数据的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严重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20分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《中华人民共和国统计法》第四十一条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lang w:eastAsia="zh-CN"/>
              </w:rPr>
              <w:t>11</w:t>
            </w:r>
          </w:p>
        </w:tc>
        <w:tc>
          <w:tcPr>
            <w:tcW w:w="616" w:type="pct"/>
            <w:vMerge w:val="continue"/>
            <w:vAlign w:val="center"/>
          </w:tcPr>
          <w:p>
            <w:pPr>
              <w:snapToGrid w:val="0"/>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未按规定填报取用水调查表或未按规定开展用水统计工作的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一般</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5分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《中华人民共和国统计法》第四十一条、第四十二条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12</w:t>
            </w:r>
          </w:p>
        </w:tc>
        <w:tc>
          <w:tcPr>
            <w:tcW w:w="616" w:type="pct"/>
            <w:tcBorders>
              <w:top w:val="nil"/>
            </w:tcBorders>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水资源费</w:t>
            </w:r>
            <w:r>
              <w:rPr>
                <w:rFonts w:hint="eastAsia" w:ascii="Times New Roman" w:hAnsi="Times New Roman"/>
                <w:bCs/>
                <w:sz w:val="21"/>
                <w:szCs w:val="21"/>
                <w:lang w:eastAsia="zh-CN"/>
              </w:rPr>
              <w:t>（税）</w:t>
            </w:r>
            <w:r>
              <w:rPr>
                <w:rFonts w:hint="eastAsia" w:ascii="Times New Roman" w:hAnsi="Times New Roman"/>
                <w:bCs/>
                <w:sz w:val="21"/>
                <w:szCs w:val="21"/>
              </w:rPr>
              <w:t>缴纳</w:t>
            </w: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拒不缴纳、拖延缴纳或者拖欠水资源费（税）的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较重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《中华人民共和国水法》第七十条；《取水许可和水资源费征收管理条例》第五十四条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13</w:t>
            </w:r>
          </w:p>
        </w:tc>
        <w:tc>
          <w:tcPr>
            <w:tcW w:w="616" w:type="pct"/>
            <w:vMerge w:val="restart"/>
            <w:tcBorders>
              <w:top w:val="nil"/>
            </w:tcBorders>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lang w:eastAsia="zh-CN"/>
              </w:rPr>
              <w:t>地下水开发利用及保护</w:t>
            </w: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地下工程建设对地下水造成重大不利影响的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严重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20分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《地下水管理条例》第五十七条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14</w:t>
            </w:r>
          </w:p>
        </w:tc>
        <w:tc>
          <w:tcPr>
            <w:tcW w:w="616" w:type="pct"/>
            <w:vMerge w:val="continue"/>
            <w:vAlign w:val="center"/>
          </w:tcPr>
          <w:p>
            <w:pPr>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地下工程建设应当于开工前将工程建设方案和防止对地下水产生不利影响的措施方案备案而未备案的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较重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《地下水管理条例》第五十七条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15</w:t>
            </w:r>
          </w:p>
        </w:tc>
        <w:tc>
          <w:tcPr>
            <w:tcW w:w="616" w:type="pct"/>
            <w:vMerge w:val="continue"/>
            <w:vAlign w:val="center"/>
          </w:tcPr>
          <w:p>
            <w:pPr>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矿产资源开采、地下工程建设疏干排水应当定期报送疏干排水量和地下水水位状况而未报送的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较重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《地下水管理条例》第五十七条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363"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16</w:t>
            </w:r>
          </w:p>
        </w:tc>
        <w:tc>
          <w:tcPr>
            <w:tcW w:w="616" w:type="pct"/>
            <w:vMerge w:val="continue"/>
            <w:tcBorders>
              <w:bottom w:val="single" w:color="auto" w:sz="4" w:space="0"/>
            </w:tcBorders>
            <w:vAlign w:val="center"/>
          </w:tcPr>
          <w:p>
            <w:pPr>
              <w:ind w:left="105" w:leftChars="50" w:right="105" w:rightChars="50"/>
              <w:jc w:val="center"/>
              <w:rPr>
                <w:rFonts w:ascii="Times New Roman" w:hAnsi="Times New Roman" w:eastAsia="宋体" w:cs="宋体"/>
                <w:bCs/>
                <w:snapToGrid w:val="0"/>
                <w:color w:val="000000"/>
                <w:kern w:val="0"/>
                <w:szCs w:val="21"/>
                <w:lang w:eastAsia="en-US"/>
              </w:rPr>
            </w:pPr>
          </w:p>
        </w:tc>
        <w:tc>
          <w:tcPr>
            <w:tcW w:w="1495"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应当停止取水的地下水取水工程，未按照规定封井或者回填的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严重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20分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《地下水管理条例》第五十八条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363" w:type="pct"/>
            <w:tcBorders>
              <w:right w:val="single" w:color="auto" w:sz="4" w:space="0"/>
            </w:tcBorders>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17</w:t>
            </w:r>
          </w:p>
        </w:tc>
        <w:tc>
          <w:tcPr>
            <w:tcW w:w="616" w:type="pct"/>
            <w:tcBorders>
              <w:top w:val="single" w:color="auto" w:sz="4" w:space="0"/>
              <w:left w:val="single" w:color="auto" w:sz="4" w:space="0"/>
              <w:bottom w:val="single" w:color="auto" w:sz="4" w:space="0"/>
              <w:right w:val="single" w:color="auto" w:sz="4" w:space="0"/>
            </w:tcBorders>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取用水监督检查</w:t>
            </w:r>
          </w:p>
        </w:tc>
        <w:tc>
          <w:tcPr>
            <w:tcW w:w="1495" w:type="pct"/>
            <w:tcBorders>
              <w:left w:val="single" w:color="auto" w:sz="4" w:space="0"/>
            </w:tcBorders>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拒绝或阻碍接受监督检查的</w:t>
            </w:r>
          </w:p>
        </w:tc>
        <w:tc>
          <w:tcPr>
            <w:tcW w:w="362"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较重</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10分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《中华人民共和国水法》第六十一条；《取水许可和水资源费征收管理条例》第五十二条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363" w:type="pct"/>
            <w:tcBorders>
              <w:right w:val="single" w:color="auto" w:sz="4" w:space="0"/>
            </w:tcBorders>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lang w:eastAsia="zh-CN"/>
              </w:rPr>
              <w:t>18</w:t>
            </w:r>
          </w:p>
        </w:tc>
        <w:tc>
          <w:tcPr>
            <w:tcW w:w="616" w:type="pct"/>
            <w:tcBorders>
              <w:top w:val="single" w:color="auto" w:sz="4" w:space="0"/>
              <w:left w:val="single" w:color="auto" w:sz="4" w:space="0"/>
              <w:right w:val="single" w:color="auto" w:sz="4" w:space="0"/>
            </w:tcBorders>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rPr>
              <w:t>其他</w:t>
            </w:r>
          </w:p>
        </w:tc>
        <w:tc>
          <w:tcPr>
            <w:tcW w:w="1495" w:type="pct"/>
            <w:tcBorders>
              <w:left w:val="single" w:color="auto" w:sz="4" w:space="0"/>
            </w:tcBorders>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其他违反取用水相关法律法规的</w:t>
            </w:r>
          </w:p>
        </w:tc>
        <w:tc>
          <w:tcPr>
            <w:tcW w:w="362" w:type="pct"/>
            <w:vAlign w:val="center"/>
          </w:tcPr>
          <w:p>
            <w:pPr>
              <w:pStyle w:val="11"/>
              <w:widowControl w:val="0"/>
              <w:kinsoku/>
              <w:ind w:left="105" w:leftChars="50" w:right="105" w:rightChars="50"/>
              <w:jc w:val="center"/>
              <w:rPr>
                <w:rFonts w:ascii="Times New Roman" w:hAnsi="Times New Roman"/>
                <w:bCs/>
                <w:sz w:val="21"/>
                <w:szCs w:val="21"/>
                <w:lang w:eastAsia="zh-CN"/>
              </w:rPr>
            </w:pPr>
            <w:r>
              <w:rPr>
                <w:rFonts w:hint="eastAsia" w:ascii="Times New Roman" w:hAnsi="Times New Roman"/>
                <w:bCs/>
                <w:sz w:val="21"/>
                <w:szCs w:val="21"/>
              </w:rPr>
              <w:t>一般</w:t>
            </w:r>
          </w:p>
        </w:tc>
        <w:tc>
          <w:tcPr>
            <w:tcW w:w="431" w:type="pct"/>
            <w:vAlign w:val="center"/>
          </w:tcPr>
          <w:p>
            <w:pPr>
              <w:pStyle w:val="11"/>
              <w:widowControl w:val="0"/>
              <w:kinsoku/>
              <w:ind w:left="105" w:leftChars="50" w:right="105" w:rightChars="50"/>
              <w:jc w:val="center"/>
              <w:rPr>
                <w:rFonts w:ascii="Times New Roman" w:hAnsi="Times New Roman"/>
                <w:bCs/>
                <w:sz w:val="21"/>
                <w:szCs w:val="21"/>
              </w:rPr>
            </w:pPr>
            <w:r>
              <w:rPr>
                <w:rFonts w:hint="eastAsia" w:ascii="Times New Roman" w:hAnsi="Times New Roman"/>
                <w:bCs/>
                <w:sz w:val="21"/>
                <w:szCs w:val="21"/>
              </w:rPr>
              <w:t>5分</w:t>
            </w:r>
          </w:p>
        </w:tc>
        <w:tc>
          <w:tcPr>
            <w:tcW w:w="1729" w:type="pct"/>
            <w:vAlign w:val="center"/>
          </w:tcPr>
          <w:p>
            <w:pPr>
              <w:pStyle w:val="11"/>
              <w:widowControl w:val="0"/>
              <w:kinsoku/>
              <w:ind w:left="105" w:leftChars="50" w:right="105" w:rightChars="50"/>
              <w:rPr>
                <w:rFonts w:ascii="Times New Roman" w:hAnsi="Times New Roman"/>
                <w:bCs/>
                <w:sz w:val="21"/>
                <w:szCs w:val="21"/>
                <w:lang w:eastAsia="zh-CN"/>
              </w:rPr>
            </w:pPr>
            <w:r>
              <w:rPr>
                <w:rFonts w:hint="eastAsia" w:ascii="Times New Roman" w:hAnsi="Times New Roman"/>
                <w:bCs/>
                <w:sz w:val="21"/>
                <w:szCs w:val="21"/>
                <w:lang w:eastAsia="zh-CN"/>
              </w:rPr>
              <w:t>《中华人民共和国水法》《取水许可和水资源费征收管理条例》《地下水管理条例》《中华人民共和国统计法》</w:t>
            </w:r>
          </w:p>
        </w:tc>
      </w:tr>
    </w:tbl>
    <w:p>
      <w:pPr>
        <w:snapToGrid w:val="0"/>
        <w:spacing w:line="400" w:lineRule="exact"/>
        <w:ind w:firstLine="480" w:firstLineChars="200"/>
        <w:rPr>
          <w:rFonts w:ascii="Times New Roman" w:hAnsi="Times New Roman" w:eastAsia="黑体" w:cs="黑体"/>
          <w:bCs/>
          <w:color w:val="000000"/>
          <w:kern w:val="0"/>
          <w:sz w:val="24"/>
        </w:rPr>
      </w:pPr>
      <w:r>
        <w:rPr>
          <w:rFonts w:hint="eastAsia" w:ascii="Times New Roman" w:hAnsi="Times New Roman" w:eastAsia="黑体" w:cs="黑体"/>
          <w:bCs/>
          <w:color w:val="000000"/>
          <w:kern w:val="0"/>
          <w:sz w:val="24"/>
        </w:rPr>
        <w:t>说明：</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Times New Roman" w:hAnsi="Times New Roman" w:eastAsia="宋体" w:cs="宋体"/>
          <w:b/>
          <w:bCs/>
          <w:snapToGrid w:val="0"/>
          <w:kern w:val="0"/>
          <w:szCs w:val="21"/>
        </w:rPr>
      </w:pPr>
      <w:r>
        <w:rPr>
          <w:rFonts w:hint="eastAsia" w:ascii="Times New Roman" w:hAnsi="Times New Roman" w:eastAsia="宋体" w:cs="宋体"/>
          <w:snapToGrid w:val="0"/>
          <w:kern w:val="0"/>
          <w:szCs w:val="21"/>
        </w:rPr>
        <w:t>①未经批准擅自取水，包括无证取水和取水许可证逾期仍继续取水的情形，无论取水规模多大，均纳入评价范围；当同时存在“未经批准擅自取水”和“未取得取水申请批准文件擅自建设取水工程或者设施”两种情形时，按对应更高扣分分值的情形进行扣分。</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②未依照批准的取水许可规定条件取水，包括超许可水量取水，改变取水水源、取水地点或取水用途等，未按照泄放标准下泄水量（流量）等情形。其中超许可水量取水不纳入对水力发电取用水户的评价。</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③申请人隐瞒有关情况或者提供虚假材料骗取取水申请批准文件或者取水许可证，包含业主单位在建设项目水资源论证工作中弄虚作假的情形。</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④计量设施不合格或者运行不正常的，包含安装的计量设施不符合相关技术规范和标准、未按规定进行检定或校准的情形。</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⑤取用水监测计量统计类别，不纳入对水力发电取用水户的取用水领域信用评价。</w:t>
      </w:r>
    </w:p>
    <w:p>
      <w:pPr>
        <w:keepNext w:val="0"/>
        <w:keepLines w:val="0"/>
        <w:pageBreakBefore w:val="0"/>
        <w:widowControl w:val="0"/>
        <w:kinsoku/>
        <w:wordWrap/>
        <w:overflowPunct/>
        <w:topLinePunct w:val="0"/>
        <w:autoSpaceDE/>
        <w:autoSpaceDN/>
        <w:bidi w:val="0"/>
        <w:adjustRightInd/>
        <w:snapToGrid w:val="0"/>
        <w:spacing w:line="320" w:lineRule="exact"/>
        <w:ind w:firstLine="640" w:firstLineChars="200"/>
        <w:textAlignment w:val="auto"/>
        <w:rPr>
          <w:rFonts w:ascii="Times New Roman" w:hAnsi="Times New Roman" w:eastAsia="方正黑体_GBK" w:cs="Times New Roman"/>
          <w:bCs/>
          <w:kern w:val="0"/>
          <w:sz w:val="32"/>
          <w:szCs w:val="32"/>
        </w:rPr>
        <w:sectPr>
          <w:pgSz w:w="11900" w:h="16838"/>
          <w:pgMar w:top="1984" w:right="1446" w:bottom="1644" w:left="1446" w:header="850" w:footer="1474" w:gutter="0"/>
          <w:pgNumType w:fmt="decimal"/>
          <w:cols w:space="720" w:num="1"/>
          <w:docGrid w:linePitch="436" w:charSpace="0"/>
        </w:sectPr>
      </w:pPr>
    </w:p>
    <w:p>
      <w:pPr>
        <w:snapToGrid w:val="0"/>
        <w:spacing w:line="264" w:lineRule="auto"/>
        <w:ind w:right="159"/>
        <w:rPr>
          <w:rFonts w:hint="eastAsia" w:ascii="Times New Roman" w:hAnsi="Times New Roman" w:eastAsia="方正黑体_GBK" w:cs="Times New Roman"/>
          <w:bCs/>
          <w:kern w:val="0"/>
          <w:sz w:val="32"/>
          <w:szCs w:val="32"/>
          <w:lang w:val="en-US" w:eastAsia="zh-CN"/>
        </w:rPr>
      </w:pPr>
      <w:r>
        <w:rPr>
          <w:rFonts w:ascii="Times New Roman" w:hAnsi="Times New Roman" w:eastAsia="方正黑体_GBK" w:cs="Times New Roman"/>
          <w:bCs/>
          <w:kern w:val="0"/>
          <w:sz w:val="32"/>
          <w:szCs w:val="32"/>
        </w:rPr>
        <w:t>附件</w:t>
      </w:r>
      <w:r>
        <w:rPr>
          <w:rFonts w:hint="eastAsia" w:ascii="Times New Roman" w:hAnsi="Times New Roman" w:eastAsia="方正黑体_GBK" w:cs="Times New Roman"/>
          <w:bCs/>
          <w:kern w:val="0"/>
          <w:sz w:val="32"/>
          <w:szCs w:val="32"/>
          <w:lang w:val="en-US" w:eastAsia="zh-CN"/>
        </w:rPr>
        <w:t>2</w:t>
      </w:r>
    </w:p>
    <w:p>
      <w:pPr>
        <w:snapToGrid w:val="0"/>
        <w:spacing w:line="264" w:lineRule="auto"/>
        <w:ind w:left="108" w:right="159" w:firstLine="499"/>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___区县取用水领域信用评价初评结果汇总表</w:t>
      </w:r>
    </w:p>
    <w:tbl>
      <w:tblPr>
        <w:tblStyle w:val="7"/>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737"/>
        <w:gridCol w:w="1559"/>
        <w:gridCol w:w="1786"/>
        <w:gridCol w:w="1506"/>
        <w:gridCol w:w="1240"/>
        <w:gridCol w:w="820"/>
        <w:gridCol w:w="1613"/>
        <w:gridCol w:w="1652"/>
        <w:gridCol w:w="1170"/>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7"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序号</w:t>
            </w:r>
          </w:p>
        </w:tc>
        <w:tc>
          <w:tcPr>
            <w:tcW w:w="263"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区县</w:t>
            </w:r>
          </w:p>
        </w:tc>
        <w:tc>
          <w:tcPr>
            <w:tcW w:w="556"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取用水户名称</w:t>
            </w:r>
          </w:p>
        </w:tc>
        <w:tc>
          <w:tcPr>
            <w:tcW w:w="637"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社会信用代码</w:t>
            </w:r>
          </w:p>
        </w:tc>
        <w:tc>
          <w:tcPr>
            <w:tcW w:w="537"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取水许可证号</w:t>
            </w:r>
          </w:p>
        </w:tc>
        <w:tc>
          <w:tcPr>
            <w:tcW w:w="443"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初评得分</w:t>
            </w:r>
          </w:p>
        </w:tc>
        <w:tc>
          <w:tcPr>
            <w:tcW w:w="293"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初评等级</w:t>
            </w:r>
          </w:p>
        </w:tc>
        <w:tc>
          <w:tcPr>
            <w:tcW w:w="575"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扣分项</w:t>
            </w:r>
          </w:p>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序号</w:t>
            </w:r>
          </w:p>
        </w:tc>
        <w:tc>
          <w:tcPr>
            <w:tcW w:w="589"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佐证资料编号</w:t>
            </w:r>
          </w:p>
        </w:tc>
        <w:tc>
          <w:tcPr>
            <w:tcW w:w="418"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联系人</w:t>
            </w:r>
          </w:p>
        </w:tc>
        <w:tc>
          <w:tcPr>
            <w:tcW w:w="397" w:type="pct"/>
            <w:vAlign w:val="center"/>
          </w:tcPr>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联系</w:t>
            </w:r>
          </w:p>
          <w:p>
            <w:pPr>
              <w:adjustRightInd w:val="0"/>
              <w:snapToGrid w:val="0"/>
              <w:jc w:val="center"/>
              <w:rPr>
                <w:rFonts w:ascii="Times New Roman" w:hAnsi="Times New Roman" w:eastAsia="宋体" w:cs="宋体"/>
                <w:b/>
                <w:bCs/>
                <w:snapToGrid w:val="0"/>
                <w:kern w:val="0"/>
                <w:szCs w:val="21"/>
              </w:rPr>
            </w:pPr>
            <w:r>
              <w:rPr>
                <w:rFonts w:hint="eastAsia" w:ascii="Times New Roman" w:hAnsi="Times New Roman" w:eastAsia="宋体" w:cs="宋体"/>
                <w:b/>
                <w:bCs/>
                <w:snapToGrid w:val="0"/>
                <w:kern w:val="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87"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1</w:t>
            </w:r>
          </w:p>
        </w:tc>
        <w:tc>
          <w:tcPr>
            <w:tcW w:w="263"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xx</w:t>
            </w:r>
          </w:p>
        </w:tc>
        <w:tc>
          <w:tcPr>
            <w:tcW w:w="556"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xxxx</w:t>
            </w:r>
          </w:p>
        </w:tc>
        <w:tc>
          <w:tcPr>
            <w:tcW w:w="637" w:type="pct"/>
            <w:vAlign w:val="center"/>
          </w:tcPr>
          <w:p>
            <w:pPr>
              <w:adjustRightInd w:val="0"/>
              <w:snapToGrid w:val="0"/>
              <w:jc w:val="center"/>
              <w:rPr>
                <w:rFonts w:ascii="Times New Roman" w:hAnsi="Times New Roman" w:eastAsia="宋体" w:cs="宋体"/>
                <w:snapToGrid w:val="0"/>
                <w:kern w:val="0"/>
                <w:szCs w:val="21"/>
              </w:rPr>
            </w:pPr>
          </w:p>
        </w:tc>
        <w:tc>
          <w:tcPr>
            <w:tcW w:w="537" w:type="pct"/>
            <w:vAlign w:val="center"/>
          </w:tcPr>
          <w:p>
            <w:pPr>
              <w:adjustRightInd w:val="0"/>
              <w:snapToGrid w:val="0"/>
              <w:jc w:val="center"/>
              <w:rPr>
                <w:rFonts w:ascii="Times New Roman" w:hAnsi="Times New Roman" w:eastAsia="宋体" w:cs="宋体"/>
                <w:snapToGrid w:val="0"/>
                <w:kern w:val="0"/>
                <w:szCs w:val="21"/>
              </w:rPr>
            </w:pPr>
          </w:p>
        </w:tc>
        <w:tc>
          <w:tcPr>
            <w:tcW w:w="443" w:type="pct"/>
            <w:vAlign w:val="center"/>
          </w:tcPr>
          <w:p>
            <w:pPr>
              <w:adjustRightInd w:val="0"/>
              <w:snapToGrid w:val="0"/>
              <w:jc w:val="center"/>
              <w:rPr>
                <w:rFonts w:ascii="Times New Roman" w:hAnsi="Times New Roman" w:eastAsia="宋体" w:cs="宋体"/>
                <w:snapToGrid w:val="0"/>
                <w:kern w:val="0"/>
                <w:szCs w:val="21"/>
              </w:rPr>
            </w:pPr>
          </w:p>
        </w:tc>
        <w:tc>
          <w:tcPr>
            <w:tcW w:w="293" w:type="pct"/>
            <w:vAlign w:val="center"/>
          </w:tcPr>
          <w:p>
            <w:pPr>
              <w:adjustRightInd w:val="0"/>
              <w:snapToGrid w:val="0"/>
              <w:jc w:val="center"/>
              <w:rPr>
                <w:rFonts w:ascii="Times New Roman" w:hAnsi="Times New Roman" w:eastAsia="宋体" w:cs="宋体"/>
                <w:snapToGrid w:val="0"/>
                <w:kern w:val="0"/>
                <w:szCs w:val="21"/>
              </w:rPr>
            </w:pPr>
          </w:p>
        </w:tc>
        <w:tc>
          <w:tcPr>
            <w:tcW w:w="575"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按照评价指标及评分标准中对应扣分项如：1、2、3......</w:t>
            </w:r>
          </w:p>
        </w:tc>
        <w:tc>
          <w:tcPr>
            <w:tcW w:w="589"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文件夹名称按照区县名称加序号：xx区县-01、xx区县-02</w:t>
            </w:r>
          </w:p>
        </w:tc>
        <w:tc>
          <w:tcPr>
            <w:tcW w:w="418" w:type="pct"/>
            <w:vAlign w:val="center"/>
          </w:tcPr>
          <w:p>
            <w:pPr>
              <w:adjustRightInd w:val="0"/>
              <w:snapToGrid w:val="0"/>
              <w:jc w:val="center"/>
              <w:rPr>
                <w:rFonts w:ascii="Times New Roman" w:hAnsi="Times New Roman" w:eastAsia="宋体" w:cs="宋体"/>
                <w:snapToGrid w:val="0"/>
                <w:kern w:val="0"/>
                <w:szCs w:val="21"/>
              </w:rPr>
            </w:pPr>
          </w:p>
        </w:tc>
        <w:tc>
          <w:tcPr>
            <w:tcW w:w="397" w:type="pct"/>
            <w:vAlign w:val="center"/>
          </w:tcPr>
          <w:p>
            <w:pPr>
              <w:adjustRightInd w:val="0"/>
              <w:snapToGrid w:val="0"/>
              <w:jc w:val="center"/>
              <w:rPr>
                <w:rFonts w:ascii="Times New Roman" w:hAnsi="Times New Roman" w:eastAsia="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7"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2</w:t>
            </w:r>
          </w:p>
        </w:tc>
        <w:tc>
          <w:tcPr>
            <w:tcW w:w="263" w:type="pct"/>
            <w:vAlign w:val="center"/>
          </w:tcPr>
          <w:p>
            <w:pPr>
              <w:adjustRightInd w:val="0"/>
              <w:snapToGrid w:val="0"/>
              <w:jc w:val="center"/>
              <w:rPr>
                <w:rFonts w:ascii="Times New Roman" w:hAnsi="Times New Roman" w:eastAsia="宋体" w:cs="宋体"/>
                <w:kern w:val="0"/>
                <w:szCs w:val="21"/>
              </w:rPr>
            </w:pPr>
            <w:r>
              <w:rPr>
                <w:rFonts w:hint="eastAsia" w:ascii="Times New Roman" w:hAnsi="Times New Roman" w:eastAsia="宋体" w:cs="宋体"/>
                <w:kern w:val="0"/>
                <w:szCs w:val="21"/>
              </w:rPr>
              <w:t>xx</w:t>
            </w:r>
          </w:p>
        </w:tc>
        <w:tc>
          <w:tcPr>
            <w:tcW w:w="556"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xxxx</w:t>
            </w:r>
          </w:p>
        </w:tc>
        <w:tc>
          <w:tcPr>
            <w:tcW w:w="637" w:type="pct"/>
            <w:vAlign w:val="center"/>
          </w:tcPr>
          <w:p>
            <w:pPr>
              <w:adjustRightInd w:val="0"/>
              <w:snapToGrid w:val="0"/>
              <w:jc w:val="center"/>
              <w:rPr>
                <w:rFonts w:ascii="Times New Roman" w:hAnsi="Times New Roman" w:eastAsia="宋体" w:cs="宋体"/>
                <w:snapToGrid w:val="0"/>
                <w:kern w:val="0"/>
                <w:szCs w:val="21"/>
              </w:rPr>
            </w:pPr>
          </w:p>
        </w:tc>
        <w:tc>
          <w:tcPr>
            <w:tcW w:w="537" w:type="pct"/>
            <w:vAlign w:val="center"/>
          </w:tcPr>
          <w:p>
            <w:pPr>
              <w:adjustRightInd w:val="0"/>
              <w:snapToGrid w:val="0"/>
              <w:jc w:val="center"/>
              <w:rPr>
                <w:rFonts w:ascii="Times New Roman" w:hAnsi="Times New Roman" w:eastAsia="宋体" w:cs="宋体"/>
                <w:snapToGrid w:val="0"/>
                <w:kern w:val="0"/>
                <w:szCs w:val="21"/>
              </w:rPr>
            </w:pPr>
          </w:p>
        </w:tc>
        <w:tc>
          <w:tcPr>
            <w:tcW w:w="443" w:type="pct"/>
            <w:vAlign w:val="center"/>
          </w:tcPr>
          <w:p>
            <w:pPr>
              <w:adjustRightInd w:val="0"/>
              <w:snapToGrid w:val="0"/>
              <w:jc w:val="center"/>
              <w:rPr>
                <w:rFonts w:ascii="Times New Roman" w:hAnsi="Times New Roman" w:eastAsia="宋体" w:cs="宋体"/>
                <w:snapToGrid w:val="0"/>
                <w:kern w:val="0"/>
                <w:szCs w:val="21"/>
              </w:rPr>
            </w:pPr>
          </w:p>
        </w:tc>
        <w:tc>
          <w:tcPr>
            <w:tcW w:w="293" w:type="pct"/>
            <w:vAlign w:val="center"/>
          </w:tcPr>
          <w:p>
            <w:pPr>
              <w:adjustRightInd w:val="0"/>
              <w:snapToGrid w:val="0"/>
              <w:jc w:val="center"/>
              <w:rPr>
                <w:rFonts w:ascii="Times New Roman" w:hAnsi="Times New Roman" w:eastAsia="宋体" w:cs="宋体"/>
                <w:snapToGrid w:val="0"/>
                <w:kern w:val="0"/>
                <w:szCs w:val="21"/>
              </w:rPr>
            </w:pPr>
          </w:p>
        </w:tc>
        <w:tc>
          <w:tcPr>
            <w:tcW w:w="575" w:type="pct"/>
            <w:vAlign w:val="center"/>
          </w:tcPr>
          <w:p>
            <w:pPr>
              <w:adjustRightInd w:val="0"/>
              <w:snapToGrid w:val="0"/>
              <w:jc w:val="center"/>
              <w:rPr>
                <w:rFonts w:ascii="Times New Roman" w:hAnsi="Times New Roman" w:eastAsia="宋体" w:cs="宋体"/>
                <w:snapToGrid w:val="0"/>
                <w:kern w:val="0"/>
                <w:szCs w:val="21"/>
              </w:rPr>
            </w:pPr>
          </w:p>
        </w:tc>
        <w:tc>
          <w:tcPr>
            <w:tcW w:w="589" w:type="pct"/>
            <w:vAlign w:val="center"/>
          </w:tcPr>
          <w:p>
            <w:pPr>
              <w:adjustRightInd w:val="0"/>
              <w:snapToGrid w:val="0"/>
              <w:jc w:val="center"/>
              <w:rPr>
                <w:rFonts w:ascii="Times New Roman" w:hAnsi="Times New Roman" w:eastAsia="宋体" w:cs="宋体"/>
                <w:snapToGrid w:val="0"/>
                <w:kern w:val="0"/>
                <w:szCs w:val="21"/>
              </w:rPr>
            </w:pPr>
          </w:p>
        </w:tc>
        <w:tc>
          <w:tcPr>
            <w:tcW w:w="418" w:type="pct"/>
            <w:vAlign w:val="center"/>
          </w:tcPr>
          <w:p>
            <w:pPr>
              <w:adjustRightInd w:val="0"/>
              <w:snapToGrid w:val="0"/>
              <w:jc w:val="center"/>
              <w:rPr>
                <w:rFonts w:ascii="Times New Roman" w:hAnsi="Times New Roman" w:eastAsia="宋体" w:cs="宋体"/>
                <w:snapToGrid w:val="0"/>
                <w:kern w:val="0"/>
                <w:szCs w:val="21"/>
              </w:rPr>
            </w:pPr>
          </w:p>
        </w:tc>
        <w:tc>
          <w:tcPr>
            <w:tcW w:w="397" w:type="pct"/>
            <w:vAlign w:val="center"/>
          </w:tcPr>
          <w:p>
            <w:pPr>
              <w:adjustRightInd w:val="0"/>
              <w:snapToGrid w:val="0"/>
              <w:jc w:val="center"/>
              <w:rPr>
                <w:rFonts w:ascii="Times New Roman" w:hAnsi="Times New Roman" w:eastAsia="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7"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3</w:t>
            </w:r>
          </w:p>
        </w:tc>
        <w:tc>
          <w:tcPr>
            <w:tcW w:w="263"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xx</w:t>
            </w:r>
          </w:p>
        </w:tc>
        <w:tc>
          <w:tcPr>
            <w:tcW w:w="556"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xxxx</w:t>
            </w:r>
          </w:p>
        </w:tc>
        <w:tc>
          <w:tcPr>
            <w:tcW w:w="637" w:type="pct"/>
            <w:vAlign w:val="center"/>
          </w:tcPr>
          <w:p>
            <w:pPr>
              <w:adjustRightInd w:val="0"/>
              <w:snapToGrid w:val="0"/>
              <w:jc w:val="center"/>
              <w:rPr>
                <w:rFonts w:ascii="Times New Roman" w:hAnsi="Times New Roman" w:eastAsia="宋体" w:cs="宋体"/>
                <w:snapToGrid w:val="0"/>
                <w:kern w:val="0"/>
                <w:szCs w:val="21"/>
              </w:rPr>
            </w:pPr>
          </w:p>
        </w:tc>
        <w:tc>
          <w:tcPr>
            <w:tcW w:w="537" w:type="pct"/>
            <w:vAlign w:val="center"/>
          </w:tcPr>
          <w:p>
            <w:pPr>
              <w:adjustRightInd w:val="0"/>
              <w:snapToGrid w:val="0"/>
              <w:jc w:val="center"/>
              <w:rPr>
                <w:rFonts w:ascii="Times New Roman" w:hAnsi="Times New Roman" w:eastAsia="宋体" w:cs="宋体"/>
                <w:snapToGrid w:val="0"/>
                <w:kern w:val="0"/>
                <w:szCs w:val="21"/>
              </w:rPr>
            </w:pPr>
          </w:p>
        </w:tc>
        <w:tc>
          <w:tcPr>
            <w:tcW w:w="443" w:type="pct"/>
            <w:vAlign w:val="center"/>
          </w:tcPr>
          <w:p>
            <w:pPr>
              <w:adjustRightInd w:val="0"/>
              <w:snapToGrid w:val="0"/>
              <w:jc w:val="center"/>
              <w:rPr>
                <w:rFonts w:ascii="Times New Roman" w:hAnsi="Times New Roman" w:eastAsia="宋体" w:cs="宋体"/>
                <w:snapToGrid w:val="0"/>
                <w:kern w:val="0"/>
                <w:szCs w:val="21"/>
              </w:rPr>
            </w:pPr>
          </w:p>
        </w:tc>
        <w:tc>
          <w:tcPr>
            <w:tcW w:w="293" w:type="pct"/>
            <w:vAlign w:val="center"/>
          </w:tcPr>
          <w:p>
            <w:pPr>
              <w:adjustRightInd w:val="0"/>
              <w:snapToGrid w:val="0"/>
              <w:jc w:val="center"/>
              <w:rPr>
                <w:rFonts w:ascii="Times New Roman" w:hAnsi="Times New Roman" w:eastAsia="宋体" w:cs="宋体"/>
                <w:snapToGrid w:val="0"/>
                <w:kern w:val="0"/>
                <w:szCs w:val="21"/>
              </w:rPr>
            </w:pPr>
          </w:p>
        </w:tc>
        <w:tc>
          <w:tcPr>
            <w:tcW w:w="575" w:type="pct"/>
            <w:vAlign w:val="center"/>
          </w:tcPr>
          <w:p>
            <w:pPr>
              <w:adjustRightInd w:val="0"/>
              <w:snapToGrid w:val="0"/>
              <w:jc w:val="center"/>
              <w:rPr>
                <w:rFonts w:ascii="Times New Roman" w:hAnsi="Times New Roman" w:eastAsia="宋体" w:cs="宋体"/>
                <w:snapToGrid w:val="0"/>
                <w:kern w:val="0"/>
                <w:szCs w:val="21"/>
              </w:rPr>
            </w:pPr>
          </w:p>
        </w:tc>
        <w:tc>
          <w:tcPr>
            <w:tcW w:w="589" w:type="pct"/>
            <w:vAlign w:val="center"/>
          </w:tcPr>
          <w:p>
            <w:pPr>
              <w:adjustRightInd w:val="0"/>
              <w:snapToGrid w:val="0"/>
              <w:jc w:val="center"/>
              <w:rPr>
                <w:rFonts w:ascii="Times New Roman" w:hAnsi="Times New Roman" w:eastAsia="宋体" w:cs="宋体"/>
                <w:snapToGrid w:val="0"/>
                <w:kern w:val="0"/>
                <w:szCs w:val="21"/>
              </w:rPr>
            </w:pPr>
          </w:p>
        </w:tc>
        <w:tc>
          <w:tcPr>
            <w:tcW w:w="418" w:type="pct"/>
            <w:vAlign w:val="center"/>
          </w:tcPr>
          <w:p>
            <w:pPr>
              <w:adjustRightInd w:val="0"/>
              <w:snapToGrid w:val="0"/>
              <w:jc w:val="center"/>
              <w:rPr>
                <w:rFonts w:ascii="Times New Roman" w:hAnsi="Times New Roman" w:eastAsia="宋体" w:cs="宋体"/>
                <w:snapToGrid w:val="0"/>
                <w:kern w:val="0"/>
                <w:szCs w:val="21"/>
              </w:rPr>
            </w:pPr>
          </w:p>
        </w:tc>
        <w:tc>
          <w:tcPr>
            <w:tcW w:w="397" w:type="pct"/>
            <w:vAlign w:val="center"/>
          </w:tcPr>
          <w:p>
            <w:pPr>
              <w:adjustRightInd w:val="0"/>
              <w:snapToGrid w:val="0"/>
              <w:jc w:val="center"/>
              <w:rPr>
                <w:rFonts w:ascii="Times New Roman" w:hAnsi="Times New Roman" w:eastAsia="宋体" w:cs="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7" w:type="pct"/>
            <w:vAlign w:val="center"/>
          </w:tcPr>
          <w:p>
            <w:pPr>
              <w:adjustRightInd w:val="0"/>
              <w:snapToGrid w:val="0"/>
              <w:jc w:val="center"/>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w:t>
            </w:r>
          </w:p>
        </w:tc>
        <w:tc>
          <w:tcPr>
            <w:tcW w:w="263" w:type="pct"/>
            <w:vAlign w:val="center"/>
          </w:tcPr>
          <w:p>
            <w:pPr>
              <w:adjustRightInd w:val="0"/>
              <w:snapToGrid w:val="0"/>
              <w:jc w:val="center"/>
              <w:rPr>
                <w:rFonts w:ascii="Times New Roman" w:hAnsi="Times New Roman" w:eastAsia="宋体" w:cs="宋体"/>
                <w:snapToGrid w:val="0"/>
                <w:kern w:val="0"/>
                <w:szCs w:val="21"/>
              </w:rPr>
            </w:pPr>
          </w:p>
        </w:tc>
        <w:tc>
          <w:tcPr>
            <w:tcW w:w="556" w:type="pct"/>
            <w:vAlign w:val="center"/>
          </w:tcPr>
          <w:p>
            <w:pPr>
              <w:adjustRightInd w:val="0"/>
              <w:snapToGrid w:val="0"/>
              <w:jc w:val="center"/>
              <w:rPr>
                <w:rFonts w:ascii="Times New Roman" w:hAnsi="Times New Roman" w:eastAsia="宋体" w:cs="宋体"/>
                <w:snapToGrid w:val="0"/>
                <w:kern w:val="0"/>
                <w:szCs w:val="21"/>
              </w:rPr>
            </w:pPr>
          </w:p>
        </w:tc>
        <w:tc>
          <w:tcPr>
            <w:tcW w:w="637" w:type="pct"/>
            <w:vAlign w:val="center"/>
          </w:tcPr>
          <w:p>
            <w:pPr>
              <w:adjustRightInd w:val="0"/>
              <w:snapToGrid w:val="0"/>
              <w:jc w:val="center"/>
              <w:rPr>
                <w:rFonts w:ascii="Times New Roman" w:hAnsi="Times New Roman" w:eastAsia="宋体" w:cs="宋体"/>
                <w:snapToGrid w:val="0"/>
                <w:kern w:val="0"/>
                <w:szCs w:val="21"/>
              </w:rPr>
            </w:pPr>
          </w:p>
        </w:tc>
        <w:tc>
          <w:tcPr>
            <w:tcW w:w="537" w:type="pct"/>
            <w:vAlign w:val="center"/>
          </w:tcPr>
          <w:p>
            <w:pPr>
              <w:adjustRightInd w:val="0"/>
              <w:snapToGrid w:val="0"/>
              <w:jc w:val="center"/>
              <w:rPr>
                <w:rFonts w:ascii="Times New Roman" w:hAnsi="Times New Roman" w:eastAsia="宋体" w:cs="宋体"/>
                <w:snapToGrid w:val="0"/>
                <w:kern w:val="0"/>
                <w:szCs w:val="21"/>
              </w:rPr>
            </w:pPr>
          </w:p>
        </w:tc>
        <w:tc>
          <w:tcPr>
            <w:tcW w:w="443" w:type="pct"/>
            <w:vAlign w:val="center"/>
          </w:tcPr>
          <w:p>
            <w:pPr>
              <w:adjustRightInd w:val="0"/>
              <w:snapToGrid w:val="0"/>
              <w:jc w:val="center"/>
              <w:rPr>
                <w:rFonts w:ascii="Times New Roman" w:hAnsi="Times New Roman" w:eastAsia="宋体" w:cs="宋体"/>
                <w:snapToGrid w:val="0"/>
                <w:kern w:val="0"/>
                <w:szCs w:val="21"/>
              </w:rPr>
            </w:pPr>
          </w:p>
        </w:tc>
        <w:tc>
          <w:tcPr>
            <w:tcW w:w="293" w:type="pct"/>
            <w:vAlign w:val="center"/>
          </w:tcPr>
          <w:p>
            <w:pPr>
              <w:adjustRightInd w:val="0"/>
              <w:snapToGrid w:val="0"/>
              <w:jc w:val="center"/>
              <w:rPr>
                <w:rFonts w:ascii="Times New Roman" w:hAnsi="Times New Roman" w:eastAsia="宋体" w:cs="宋体"/>
                <w:snapToGrid w:val="0"/>
                <w:kern w:val="0"/>
                <w:szCs w:val="21"/>
              </w:rPr>
            </w:pPr>
          </w:p>
        </w:tc>
        <w:tc>
          <w:tcPr>
            <w:tcW w:w="575" w:type="pct"/>
            <w:vAlign w:val="center"/>
          </w:tcPr>
          <w:p>
            <w:pPr>
              <w:adjustRightInd w:val="0"/>
              <w:snapToGrid w:val="0"/>
              <w:jc w:val="center"/>
              <w:rPr>
                <w:rFonts w:ascii="Times New Roman" w:hAnsi="Times New Roman" w:eastAsia="宋体" w:cs="宋体"/>
                <w:snapToGrid w:val="0"/>
                <w:kern w:val="0"/>
                <w:szCs w:val="21"/>
              </w:rPr>
            </w:pPr>
          </w:p>
        </w:tc>
        <w:tc>
          <w:tcPr>
            <w:tcW w:w="589" w:type="pct"/>
            <w:vAlign w:val="center"/>
          </w:tcPr>
          <w:p>
            <w:pPr>
              <w:adjustRightInd w:val="0"/>
              <w:snapToGrid w:val="0"/>
              <w:jc w:val="center"/>
              <w:rPr>
                <w:rFonts w:ascii="Times New Roman" w:hAnsi="Times New Roman" w:eastAsia="宋体" w:cs="宋体"/>
                <w:snapToGrid w:val="0"/>
                <w:kern w:val="0"/>
                <w:szCs w:val="21"/>
              </w:rPr>
            </w:pPr>
          </w:p>
        </w:tc>
        <w:tc>
          <w:tcPr>
            <w:tcW w:w="418" w:type="pct"/>
            <w:vAlign w:val="center"/>
          </w:tcPr>
          <w:p>
            <w:pPr>
              <w:adjustRightInd w:val="0"/>
              <w:snapToGrid w:val="0"/>
              <w:jc w:val="center"/>
              <w:rPr>
                <w:rFonts w:ascii="Times New Roman" w:hAnsi="Times New Roman" w:eastAsia="宋体" w:cs="宋体"/>
                <w:snapToGrid w:val="0"/>
                <w:kern w:val="0"/>
                <w:szCs w:val="21"/>
              </w:rPr>
            </w:pPr>
          </w:p>
        </w:tc>
        <w:tc>
          <w:tcPr>
            <w:tcW w:w="397" w:type="pct"/>
            <w:vAlign w:val="center"/>
          </w:tcPr>
          <w:p>
            <w:pPr>
              <w:adjustRightInd w:val="0"/>
              <w:snapToGrid w:val="0"/>
              <w:jc w:val="center"/>
              <w:rPr>
                <w:rFonts w:ascii="Times New Roman" w:hAnsi="Times New Roman" w:eastAsia="宋体" w:cs="宋体"/>
                <w:snapToGrid w:val="0"/>
                <w:kern w:val="0"/>
                <w:szCs w:val="21"/>
              </w:rPr>
            </w:pPr>
          </w:p>
        </w:tc>
      </w:tr>
    </w:tbl>
    <w:p>
      <w:pPr>
        <w:snapToGrid w:val="0"/>
        <w:ind w:right="159"/>
        <w:rPr>
          <w:rFonts w:ascii="Times New Roman" w:hAnsi="Times New Roman" w:eastAsia="宋体" w:cs="宋体"/>
          <w:snapToGrid w:val="0"/>
          <w:kern w:val="0"/>
          <w:szCs w:val="21"/>
        </w:rPr>
      </w:pPr>
      <w:r>
        <w:rPr>
          <w:rFonts w:hint="eastAsia" w:ascii="Times New Roman" w:hAnsi="Times New Roman" w:eastAsia="宋体" w:cs="宋体"/>
          <w:snapToGrid w:val="0"/>
          <w:kern w:val="0"/>
          <w:szCs w:val="21"/>
        </w:rPr>
        <w:t>备注：1.对于取用水户注销或重组的，不再对其进行信用评价；对于取用水户发生单位名称变更的，其信用信息将调整为变更后单位信用信息。</w:t>
      </w:r>
    </w:p>
    <w:p>
      <w:pPr>
        <w:snapToGrid w:val="0"/>
        <w:spacing w:line="264" w:lineRule="auto"/>
        <w:ind w:right="159" w:firstLine="630" w:firstLineChars="300"/>
        <w:rPr>
          <w:rFonts w:ascii="Times New Roman" w:hAnsi="Times New Roman" w:eastAsia="方正仿宋_GBK" w:cs="方正仿宋_GBK"/>
          <w:bCs/>
          <w:kern w:val="0"/>
          <w:sz w:val="32"/>
          <w:szCs w:val="32"/>
        </w:rPr>
      </w:pPr>
      <w:r>
        <w:rPr>
          <w:rFonts w:hint="eastAsia" w:ascii="Times New Roman" w:hAnsi="Times New Roman" w:eastAsia="宋体" w:cs="宋体"/>
          <w:color w:val="000000"/>
          <w:kern w:val="0"/>
          <w:szCs w:val="21"/>
        </w:rPr>
        <w:t>2.对于在年度评价期结束日水行政主管部门正在依法查处尚未办结的违法违规取用水行为信用信息，不参加当年评价，纳入下一年度信用评价；对于评价周期未发现，评价期结束后水行政主管部门查处的违法违规取用水行为信用信息，纳入下一年度信用评价。</w:t>
      </w:r>
    </w:p>
    <w:p>
      <w:pPr>
        <w:snapToGrid w:val="0"/>
        <w:spacing w:line="264" w:lineRule="auto"/>
        <w:ind w:right="159"/>
        <w:rPr>
          <w:rFonts w:ascii="Times New Roman" w:hAnsi="Times New Roman" w:eastAsia="方正仿宋_GBK" w:cs="方正仿宋_GBK"/>
          <w:bCs/>
          <w:kern w:val="0"/>
          <w:sz w:val="32"/>
          <w:szCs w:val="32"/>
        </w:rPr>
        <w:sectPr>
          <w:pgSz w:w="16838" w:h="11900" w:orient="landscape"/>
          <w:pgMar w:top="1984" w:right="1446" w:bottom="1644" w:left="1446" w:header="850" w:footer="1474" w:gutter="0"/>
          <w:pgNumType w:fmt="decimal"/>
          <w:cols w:space="720" w:num="1"/>
          <w:docGrid w:linePitch="436" w:charSpace="0"/>
        </w:sectPr>
      </w:pPr>
    </w:p>
    <w:p>
      <w:pPr>
        <w:snapToGrid w:val="0"/>
        <w:spacing w:line="594" w:lineRule="exact"/>
        <w:ind w:right="159"/>
        <w:rPr>
          <w:rFonts w:hint="eastAsia" w:ascii="Times New Roman" w:hAnsi="Times New Roman" w:eastAsia="方正黑体_GBK" w:cs="Times New Roman"/>
          <w:bCs/>
          <w:kern w:val="0"/>
          <w:sz w:val="32"/>
          <w:szCs w:val="32"/>
          <w:lang w:val="en-US" w:eastAsia="zh-CN"/>
        </w:rPr>
      </w:pPr>
      <w:r>
        <w:rPr>
          <w:rFonts w:ascii="Times New Roman" w:hAnsi="Times New Roman" w:eastAsia="方正黑体_GBK" w:cs="Times New Roman"/>
          <w:bCs/>
          <w:kern w:val="0"/>
          <w:sz w:val="32"/>
          <w:szCs w:val="32"/>
        </w:rPr>
        <w:t>附件</w:t>
      </w:r>
      <w:r>
        <w:rPr>
          <w:rFonts w:hint="eastAsia" w:ascii="Times New Roman" w:hAnsi="Times New Roman" w:eastAsia="方正黑体_GBK" w:cs="Times New Roman"/>
          <w:bCs/>
          <w:kern w:val="0"/>
          <w:sz w:val="32"/>
          <w:szCs w:val="32"/>
          <w:lang w:val="en-US" w:eastAsia="zh-CN"/>
        </w:rPr>
        <w:t>3</w:t>
      </w:r>
    </w:p>
    <w:p>
      <w:pPr>
        <w:snapToGrid w:val="0"/>
        <w:spacing w:line="594" w:lineRule="exact"/>
        <w:ind w:right="159"/>
        <w:rPr>
          <w:rFonts w:ascii="Times New Roman" w:hAnsi="Times New Roman" w:eastAsia="方正仿宋_GBK" w:cs="方正仿宋_GBK"/>
          <w:snapToGrid w:val="0"/>
          <w:kern w:val="0"/>
          <w:sz w:val="32"/>
          <w:szCs w:val="32"/>
        </w:rPr>
      </w:pPr>
    </w:p>
    <w:p>
      <w:pPr>
        <w:snapToGrid w:val="0"/>
        <w:spacing w:line="594" w:lineRule="exact"/>
        <w:ind w:right="159"/>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拟纳入取用水领域失信名单告知书（参考）</w:t>
      </w:r>
    </w:p>
    <w:p>
      <w:pPr>
        <w:snapToGrid w:val="0"/>
        <w:spacing w:line="594" w:lineRule="exact"/>
        <w:ind w:right="159"/>
        <w:jc w:val="center"/>
        <w:rPr>
          <w:rFonts w:ascii="Times New Roman" w:hAnsi="Times New Roman" w:eastAsia="方正仿宋_GBK" w:cs="方正仿宋_GBK"/>
          <w:snapToGrid w:val="0"/>
          <w:kern w:val="0"/>
          <w:sz w:val="32"/>
          <w:szCs w:val="32"/>
        </w:rPr>
      </w:pPr>
    </w:p>
    <w:p>
      <w:pPr>
        <w:snapToGrid w:val="0"/>
        <w:spacing w:line="594" w:lineRule="exact"/>
        <w:ind w:right="159"/>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_______（取用水户名称）</w:t>
      </w:r>
    </w:p>
    <w:p>
      <w:pPr>
        <w:snapToGrid w:val="0"/>
        <w:spacing w:line="594" w:lineRule="exact"/>
        <w:ind w:right="159"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经_______（区县水行政主管部门）初评，市水利局终评，你单位存在取用水领域_______违法违规行为，按照《重庆市取用水领域信用评价工作方案（试行）》要求，被评定为_______（C级或D级）。</w:t>
      </w:r>
    </w:p>
    <w:p>
      <w:pPr>
        <w:snapToGrid w:val="0"/>
        <w:spacing w:line="594" w:lineRule="exact"/>
        <w:ind w:right="159"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如对上述告知内容存在异议，你单位在收到本告知书之日起5个工作日内，以书面形式向市水利局提交核实申请，并附证据资料。</w:t>
      </w:r>
    </w:p>
    <w:p>
      <w:pPr>
        <w:snapToGrid w:val="0"/>
        <w:spacing w:line="594" w:lineRule="exact"/>
        <w:ind w:right="159"/>
        <w:rPr>
          <w:rFonts w:ascii="Times New Roman" w:hAnsi="Times New Roman" w:eastAsia="方正仿宋_GBK" w:cs="方正仿宋_GBK"/>
          <w:snapToGrid w:val="0"/>
          <w:kern w:val="0"/>
          <w:sz w:val="32"/>
          <w:szCs w:val="32"/>
        </w:rPr>
      </w:pPr>
    </w:p>
    <w:p>
      <w:pPr>
        <w:snapToGrid w:val="0"/>
        <w:spacing w:line="594" w:lineRule="exact"/>
        <w:ind w:right="159"/>
        <w:rPr>
          <w:rFonts w:ascii="Times New Roman" w:hAnsi="Times New Roman" w:eastAsia="方正仿宋_GBK" w:cs="方正仿宋_GBK"/>
          <w:snapToGrid w:val="0"/>
          <w:kern w:val="0"/>
          <w:sz w:val="32"/>
          <w:szCs w:val="32"/>
        </w:rPr>
      </w:pPr>
    </w:p>
    <w:p>
      <w:pPr>
        <w:snapToGrid w:val="0"/>
        <w:spacing w:line="594" w:lineRule="exact"/>
        <w:ind w:right="159"/>
        <w:rPr>
          <w:rFonts w:ascii="Times New Roman" w:hAnsi="Times New Roman" w:eastAsia="方正仿宋_GBK" w:cs="方正仿宋_GBK"/>
          <w:snapToGrid w:val="0"/>
          <w:kern w:val="0"/>
          <w:sz w:val="32"/>
          <w:szCs w:val="32"/>
        </w:rPr>
      </w:pPr>
    </w:p>
    <w:p>
      <w:pPr>
        <w:snapToGrid w:val="0"/>
        <w:spacing w:line="594" w:lineRule="exact"/>
        <w:ind w:right="159"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___区县水行政主管部门</w:t>
      </w:r>
    </w:p>
    <w:p>
      <w:pPr>
        <w:snapToGrid w:val="0"/>
        <w:spacing w:line="594" w:lineRule="exact"/>
        <w:ind w:right="159" w:firstLine="640" w:firstLineChars="200"/>
        <w:jc w:val="center"/>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___年___月___日</w:t>
      </w:r>
    </w:p>
    <w:p>
      <w:pPr>
        <w:snapToGrid w:val="0"/>
        <w:spacing w:line="594" w:lineRule="exact"/>
        <w:ind w:right="159"/>
        <w:rPr>
          <w:rFonts w:ascii="Times New Roman" w:hAnsi="Times New Roman" w:eastAsia="方正黑体_GBK" w:cs="Times New Roman"/>
          <w:bCs/>
          <w:kern w:val="0"/>
          <w:sz w:val="32"/>
          <w:szCs w:val="32"/>
        </w:rPr>
      </w:pPr>
    </w:p>
    <w:p>
      <w:pPr>
        <w:snapToGrid w:val="0"/>
        <w:spacing w:line="594" w:lineRule="exact"/>
        <w:ind w:right="159"/>
        <w:rPr>
          <w:rFonts w:ascii="Times New Roman" w:hAnsi="Times New Roman" w:eastAsia="方正黑体_GBK" w:cs="Times New Roman"/>
          <w:bCs/>
          <w:kern w:val="0"/>
          <w:sz w:val="32"/>
          <w:szCs w:val="32"/>
        </w:rPr>
      </w:pPr>
    </w:p>
    <w:p>
      <w:pPr>
        <w:snapToGrid w:val="0"/>
        <w:spacing w:line="594" w:lineRule="exact"/>
        <w:ind w:right="159"/>
        <w:rPr>
          <w:rFonts w:ascii="Times New Roman" w:hAnsi="Times New Roman" w:eastAsia="方正黑体_GBK" w:cs="Times New Roman"/>
          <w:bCs/>
          <w:kern w:val="0"/>
          <w:sz w:val="32"/>
          <w:szCs w:val="32"/>
        </w:rPr>
      </w:pPr>
    </w:p>
    <w:p>
      <w:pPr>
        <w:snapToGrid w:val="0"/>
        <w:spacing w:line="594" w:lineRule="exact"/>
        <w:ind w:right="159"/>
        <w:rPr>
          <w:rFonts w:ascii="Times New Roman" w:hAnsi="Times New Roman" w:eastAsia="方正黑体_GBK" w:cs="Times New Roman"/>
          <w:bCs/>
          <w:kern w:val="0"/>
          <w:sz w:val="32"/>
          <w:szCs w:val="32"/>
        </w:rPr>
      </w:pPr>
    </w:p>
    <w:p>
      <w:pPr>
        <w:snapToGrid w:val="0"/>
        <w:spacing w:line="594" w:lineRule="exact"/>
        <w:ind w:right="159"/>
        <w:rPr>
          <w:rFonts w:ascii="Times New Roman" w:hAnsi="Times New Roman" w:eastAsia="方正黑体_GBK" w:cs="Times New Roman"/>
          <w:bCs/>
          <w:kern w:val="0"/>
          <w:sz w:val="32"/>
          <w:szCs w:val="32"/>
        </w:rPr>
      </w:pPr>
    </w:p>
    <w:p>
      <w:pPr>
        <w:snapToGrid w:val="0"/>
        <w:spacing w:line="594" w:lineRule="exact"/>
        <w:ind w:right="159"/>
        <w:rPr>
          <w:rFonts w:hint="eastAsia" w:ascii="Times New Roman" w:hAnsi="Times New Roman" w:eastAsia="方正黑体_GBK" w:cs="方正仿宋_GBK"/>
          <w:snapToGrid w:val="0"/>
          <w:kern w:val="0"/>
          <w:sz w:val="32"/>
          <w:szCs w:val="32"/>
          <w:lang w:val="en-US" w:eastAsia="zh-CN"/>
        </w:rPr>
      </w:pPr>
      <w:r>
        <w:rPr>
          <w:rFonts w:ascii="Times New Roman" w:hAnsi="Times New Roman" w:eastAsia="方正黑体_GBK" w:cs="Times New Roman"/>
          <w:bCs/>
          <w:kern w:val="0"/>
          <w:sz w:val="32"/>
          <w:szCs w:val="32"/>
        </w:rPr>
        <w:t>附件</w:t>
      </w:r>
      <w:r>
        <w:rPr>
          <w:rFonts w:hint="eastAsia" w:ascii="Times New Roman" w:hAnsi="Times New Roman" w:eastAsia="方正黑体_GBK" w:cs="Times New Roman"/>
          <w:bCs/>
          <w:kern w:val="0"/>
          <w:sz w:val="32"/>
          <w:szCs w:val="32"/>
          <w:lang w:val="en-US" w:eastAsia="zh-CN"/>
        </w:rPr>
        <w:t>4</w:t>
      </w:r>
    </w:p>
    <w:p>
      <w:pPr>
        <w:tabs>
          <w:tab w:val="center" w:pos="4153"/>
          <w:tab w:val="right" w:pos="8306"/>
        </w:tabs>
        <w:spacing w:line="264" w:lineRule="auto"/>
        <w:ind w:right="159"/>
        <w:jc w:val="center"/>
        <w:rPr>
          <w:rFonts w:ascii="Times New Roman" w:hAnsi="Times New Roman" w:eastAsia="方正小标宋_GBK" w:cs="方正小标宋_GBK"/>
          <w:bCs/>
          <w:kern w:val="0"/>
          <w:sz w:val="44"/>
          <w:szCs w:val="44"/>
        </w:rPr>
      </w:pPr>
      <w:r>
        <w:rPr>
          <w:rFonts w:hint="eastAsia" w:ascii="Times New Roman" w:hAnsi="Times New Roman" w:eastAsia="方正小标宋_GBK" w:cs="方正小标宋_GBK"/>
          <w:bCs/>
          <w:kern w:val="0"/>
          <w:sz w:val="44"/>
          <w:szCs w:val="44"/>
        </w:rPr>
        <w:t>取用水领域信用修复申请表</w:t>
      </w:r>
    </w:p>
    <w:p>
      <w:pPr>
        <w:snapToGrid w:val="0"/>
        <w:spacing w:line="264" w:lineRule="auto"/>
        <w:ind w:right="159"/>
        <w:rPr>
          <w:rFonts w:ascii="Times New Roman" w:hAnsi="Times New Roman" w:eastAsia="宋体" w:cs="宋体"/>
          <w:bCs/>
          <w:kern w:val="0"/>
          <w:szCs w:val="21"/>
        </w:rPr>
      </w:pPr>
      <w:r>
        <w:rPr>
          <w:rFonts w:hint="eastAsia" w:ascii="Times New Roman" w:hAnsi="Times New Roman" w:eastAsia="宋体" w:cs="宋体"/>
          <w:bCs/>
          <w:kern w:val="0"/>
          <w:szCs w:val="21"/>
        </w:rPr>
        <w:t>经办人：                           联系电话：                 申请日期：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2558"/>
        <w:gridCol w:w="1516"/>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0" w:type="dxa"/>
            <w:vMerge w:val="restart"/>
            <w:vAlign w:val="center"/>
          </w:tcPr>
          <w:p>
            <w:pPr>
              <w:snapToGrid w:val="0"/>
              <w:jc w:val="center"/>
              <w:rPr>
                <w:rFonts w:ascii="Times New Roman" w:hAnsi="Times New Roman" w:eastAsia="方正黑体_GBK" w:cs="方正黑体_GBK"/>
              </w:rPr>
            </w:pPr>
            <w:r>
              <w:rPr>
                <w:rFonts w:hint="eastAsia" w:ascii="Times New Roman" w:hAnsi="Times New Roman" w:eastAsia="宋体" w:cs="宋体"/>
                <w:szCs w:val="21"/>
              </w:rPr>
              <w:t>基本情况</w:t>
            </w:r>
          </w:p>
        </w:tc>
        <w:tc>
          <w:tcPr>
            <w:tcW w:w="2558" w:type="dxa"/>
            <w:vAlign w:val="center"/>
          </w:tcPr>
          <w:p>
            <w:pPr>
              <w:pStyle w:val="6"/>
              <w:snapToGrid w:val="0"/>
              <w:spacing w:before="0" w:beforeAutospacing="0" w:after="0" w:afterAutospacing="0"/>
              <w:jc w:val="center"/>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取用水户名称</w:t>
            </w:r>
          </w:p>
        </w:tc>
        <w:tc>
          <w:tcPr>
            <w:tcW w:w="4892" w:type="dxa"/>
            <w:gridSpan w:val="2"/>
            <w:vAlign w:val="center"/>
          </w:tcPr>
          <w:p>
            <w:pPr>
              <w:snapToGrid w:val="0"/>
              <w:jc w:val="center"/>
              <w:rPr>
                <w:rFonts w:ascii="Times New Roman" w:hAnsi="Times New Roman" w:eastAsia="方正黑体_GBK" w:cs="方正黑体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0" w:type="dxa"/>
            <w:vMerge w:val="continue"/>
            <w:vAlign w:val="center"/>
          </w:tcPr>
          <w:p>
            <w:pPr>
              <w:snapToGrid w:val="0"/>
              <w:jc w:val="center"/>
              <w:rPr>
                <w:rFonts w:ascii="Times New Roman" w:hAnsi="Times New Roman" w:eastAsia="方正黑体_GBK" w:cs="方正黑体_GBK"/>
              </w:rPr>
            </w:pPr>
          </w:p>
        </w:tc>
        <w:tc>
          <w:tcPr>
            <w:tcW w:w="2558" w:type="dxa"/>
            <w:vAlign w:val="center"/>
          </w:tcPr>
          <w:p>
            <w:pPr>
              <w:pStyle w:val="6"/>
              <w:snapToGrid w:val="0"/>
              <w:spacing w:before="0" w:beforeAutospacing="0" w:after="0" w:afterAutospacing="0"/>
              <w:jc w:val="center"/>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取水许可证编号</w:t>
            </w:r>
          </w:p>
        </w:tc>
        <w:tc>
          <w:tcPr>
            <w:tcW w:w="4892" w:type="dxa"/>
            <w:gridSpan w:val="2"/>
            <w:vAlign w:val="center"/>
          </w:tcPr>
          <w:p>
            <w:pPr>
              <w:snapToGrid w:val="0"/>
              <w:jc w:val="center"/>
              <w:rPr>
                <w:rFonts w:ascii="Times New Roman" w:hAnsi="Times New Roman" w:eastAsia="方正黑体_GBK" w:cs="方正黑体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0" w:type="dxa"/>
            <w:vMerge w:val="continue"/>
            <w:vAlign w:val="center"/>
          </w:tcPr>
          <w:p>
            <w:pPr>
              <w:snapToGrid w:val="0"/>
              <w:jc w:val="center"/>
              <w:rPr>
                <w:rFonts w:ascii="Times New Roman" w:hAnsi="Times New Roman" w:eastAsia="方正黑体_GBK" w:cs="方正黑体_GBK"/>
              </w:rPr>
            </w:pPr>
          </w:p>
        </w:tc>
        <w:tc>
          <w:tcPr>
            <w:tcW w:w="2558" w:type="dxa"/>
            <w:vAlign w:val="center"/>
          </w:tcPr>
          <w:p>
            <w:pPr>
              <w:pStyle w:val="6"/>
              <w:snapToGrid w:val="0"/>
              <w:spacing w:before="0" w:beforeAutospacing="0" w:after="0" w:afterAutospacing="0"/>
              <w:jc w:val="center"/>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统一社会信用代码</w:t>
            </w:r>
          </w:p>
        </w:tc>
        <w:tc>
          <w:tcPr>
            <w:tcW w:w="4892" w:type="dxa"/>
            <w:gridSpan w:val="2"/>
            <w:vAlign w:val="center"/>
          </w:tcPr>
          <w:p>
            <w:pPr>
              <w:snapToGrid w:val="0"/>
              <w:jc w:val="center"/>
              <w:rPr>
                <w:rFonts w:ascii="Times New Roman" w:hAnsi="Times New Roman" w:eastAsia="方正黑体_GBK" w:cs="方正黑体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0" w:type="dxa"/>
            <w:vMerge w:val="continue"/>
            <w:vAlign w:val="center"/>
          </w:tcPr>
          <w:p>
            <w:pPr>
              <w:snapToGrid w:val="0"/>
              <w:jc w:val="center"/>
              <w:rPr>
                <w:rFonts w:ascii="Times New Roman" w:hAnsi="Times New Roman" w:eastAsia="方正黑体_GBK" w:cs="方正黑体_GBK"/>
              </w:rPr>
            </w:pPr>
          </w:p>
        </w:tc>
        <w:tc>
          <w:tcPr>
            <w:tcW w:w="2558" w:type="dxa"/>
            <w:vMerge w:val="restart"/>
            <w:vAlign w:val="center"/>
          </w:tcPr>
          <w:p>
            <w:pPr>
              <w:pStyle w:val="6"/>
              <w:snapToGrid w:val="0"/>
              <w:spacing w:before="0" w:beforeAutospacing="0" w:after="0" w:afterAutospacing="0"/>
              <w:jc w:val="center"/>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上次评定情况</w:t>
            </w:r>
          </w:p>
        </w:tc>
        <w:tc>
          <w:tcPr>
            <w:tcW w:w="1516" w:type="dxa"/>
            <w:vAlign w:val="center"/>
          </w:tcPr>
          <w:p>
            <w:pPr>
              <w:pStyle w:val="6"/>
              <w:snapToGrid w:val="0"/>
              <w:spacing w:before="0" w:beforeAutospacing="0" w:after="0" w:afterAutospacing="0"/>
              <w:jc w:val="center"/>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评定等级</w:t>
            </w:r>
          </w:p>
        </w:tc>
        <w:tc>
          <w:tcPr>
            <w:tcW w:w="3376" w:type="dxa"/>
            <w:vAlign w:val="center"/>
          </w:tcPr>
          <w:p>
            <w:pPr>
              <w:snapToGrid w:val="0"/>
              <w:jc w:val="center"/>
              <w:rPr>
                <w:rFonts w:ascii="Times New Roman" w:hAnsi="Times New Roman" w:eastAsia="方正黑体_GBK" w:cs="方正黑体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0" w:type="dxa"/>
            <w:vMerge w:val="continue"/>
            <w:vAlign w:val="center"/>
          </w:tcPr>
          <w:p>
            <w:pPr>
              <w:snapToGrid w:val="0"/>
              <w:jc w:val="center"/>
              <w:rPr>
                <w:rFonts w:ascii="Times New Roman" w:hAnsi="Times New Roman" w:eastAsia="方正黑体_GBK" w:cs="方正黑体_GBK"/>
              </w:rPr>
            </w:pPr>
          </w:p>
        </w:tc>
        <w:tc>
          <w:tcPr>
            <w:tcW w:w="2558" w:type="dxa"/>
            <w:vMerge w:val="continue"/>
            <w:vAlign w:val="center"/>
          </w:tcPr>
          <w:p>
            <w:pPr>
              <w:snapToGrid w:val="0"/>
              <w:jc w:val="center"/>
              <w:rPr>
                <w:rFonts w:ascii="Times New Roman" w:hAnsi="Times New Roman" w:eastAsia="方正黑体_GBK" w:cs="方正黑体_GBK"/>
              </w:rPr>
            </w:pPr>
          </w:p>
        </w:tc>
        <w:tc>
          <w:tcPr>
            <w:tcW w:w="1516" w:type="dxa"/>
            <w:vAlign w:val="center"/>
          </w:tcPr>
          <w:p>
            <w:pPr>
              <w:pStyle w:val="6"/>
              <w:snapToGrid w:val="0"/>
              <w:spacing w:before="0" w:beforeAutospacing="0" w:after="0" w:afterAutospacing="0"/>
              <w:jc w:val="center"/>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评定日期</w:t>
            </w:r>
          </w:p>
        </w:tc>
        <w:tc>
          <w:tcPr>
            <w:tcW w:w="3376" w:type="dxa"/>
            <w:vAlign w:val="center"/>
          </w:tcPr>
          <w:p>
            <w:pPr>
              <w:snapToGrid w:val="0"/>
              <w:jc w:val="center"/>
              <w:rPr>
                <w:rFonts w:ascii="Times New Roman" w:hAnsi="Times New Roman" w:eastAsia="方正黑体_GBK" w:cs="方正黑体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50" w:type="dxa"/>
            <w:vAlign w:val="center"/>
          </w:tcPr>
          <w:p>
            <w:pPr>
              <w:pStyle w:val="6"/>
              <w:snapToGrid w:val="0"/>
              <w:spacing w:before="0" w:beforeAutospacing="0" w:after="0" w:afterAutospacing="0"/>
              <w:jc w:val="center"/>
              <w:outlineLvl w:val="0"/>
              <w:rPr>
                <w:rFonts w:ascii="Times New Roman" w:hAnsi="Times New Roman" w:eastAsia="宋体" w:cs="宋体"/>
                <w:sz w:val="21"/>
                <w:szCs w:val="21"/>
              </w:rPr>
            </w:pPr>
            <w:r>
              <w:rPr>
                <w:rFonts w:hint="eastAsia" w:ascii="Times New Roman" w:hAnsi="Times New Roman" w:eastAsia="宋体" w:cs="宋体"/>
                <w:sz w:val="21"/>
                <w:szCs w:val="21"/>
              </w:rPr>
              <w:t>拟修复的</w:t>
            </w:r>
          </w:p>
          <w:p>
            <w:pPr>
              <w:pStyle w:val="6"/>
              <w:snapToGrid w:val="0"/>
              <w:spacing w:before="0" w:beforeAutospacing="0" w:after="0" w:afterAutospacing="0"/>
              <w:jc w:val="center"/>
              <w:outlineLvl w:val="0"/>
              <w:rPr>
                <w:rFonts w:ascii="Times New Roman" w:hAnsi="Times New Roman" w:eastAsia="宋体" w:cs="宋体"/>
                <w:snapToGrid w:val="0"/>
                <w:color w:val="000000"/>
                <w:sz w:val="21"/>
                <w:szCs w:val="21"/>
              </w:rPr>
            </w:pPr>
            <w:r>
              <w:rPr>
                <w:rFonts w:hint="eastAsia" w:ascii="Times New Roman" w:hAnsi="Times New Roman" w:eastAsia="宋体" w:cs="宋体"/>
                <w:sz w:val="21"/>
                <w:szCs w:val="21"/>
              </w:rPr>
              <w:t>失信行为</w:t>
            </w:r>
          </w:p>
        </w:tc>
        <w:tc>
          <w:tcPr>
            <w:tcW w:w="7450" w:type="dxa"/>
            <w:gridSpan w:val="3"/>
            <w:vAlign w:val="center"/>
          </w:tcPr>
          <w:p>
            <w:pPr>
              <w:pStyle w:val="6"/>
              <w:snapToGrid w:val="0"/>
              <w:spacing w:before="0" w:beforeAutospacing="0" w:after="0" w:afterAutospacing="0"/>
              <w:outlineLvl w:val="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**年**月**日因***行为被认定为***等级失信行为。</w:t>
            </w:r>
          </w:p>
          <w:p>
            <w:pPr>
              <w:pStyle w:val="6"/>
              <w:snapToGrid w:val="0"/>
              <w:spacing w:before="0" w:beforeAutospacing="0" w:after="0" w:afterAutospacing="0"/>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逐条列出具体失信行为（提供相关文件的打印件或复印件作为附件）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50" w:type="dxa"/>
            <w:vAlign w:val="center"/>
          </w:tcPr>
          <w:p>
            <w:pPr>
              <w:pStyle w:val="6"/>
              <w:snapToGrid w:val="0"/>
              <w:spacing w:before="0" w:beforeAutospacing="0" w:after="0" w:afterAutospacing="0"/>
              <w:jc w:val="center"/>
              <w:outlineLvl w:val="0"/>
              <w:rPr>
                <w:rFonts w:ascii="Times New Roman" w:hAnsi="Times New Roman" w:eastAsia="宋体" w:cs="宋体"/>
                <w:snapToGrid w:val="0"/>
                <w:color w:val="000000"/>
                <w:sz w:val="21"/>
                <w:szCs w:val="21"/>
              </w:rPr>
            </w:pPr>
            <w:r>
              <w:rPr>
                <w:rFonts w:hint="eastAsia" w:ascii="Times New Roman" w:hAnsi="Times New Roman" w:eastAsia="宋体" w:cs="宋体"/>
                <w:sz w:val="21"/>
                <w:szCs w:val="21"/>
              </w:rPr>
              <w:t>整改情况</w:t>
            </w:r>
          </w:p>
        </w:tc>
        <w:tc>
          <w:tcPr>
            <w:tcW w:w="7450" w:type="dxa"/>
            <w:gridSpan w:val="3"/>
            <w:vAlign w:val="center"/>
          </w:tcPr>
          <w:p>
            <w:pPr>
              <w:pStyle w:val="6"/>
              <w:snapToGrid w:val="0"/>
              <w:spacing w:before="0" w:beforeAutospacing="0" w:after="0" w:afterAutospacing="0"/>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针对上述失信行为逐条列出整改、销号情况，并提交证明材料（可附页）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1550" w:type="dxa"/>
            <w:vAlign w:val="center"/>
          </w:tcPr>
          <w:p>
            <w:pPr>
              <w:pStyle w:val="6"/>
              <w:snapToGrid w:val="0"/>
              <w:spacing w:before="0" w:beforeAutospacing="0" w:after="0" w:afterAutospacing="0"/>
              <w:jc w:val="center"/>
              <w:outlineLvl w:val="0"/>
              <w:rPr>
                <w:rFonts w:ascii="Times New Roman" w:hAnsi="Times New Roman" w:eastAsia="宋体" w:cs="宋体"/>
                <w:snapToGrid w:val="0"/>
                <w:sz w:val="21"/>
                <w:szCs w:val="21"/>
              </w:rPr>
            </w:pPr>
            <w:r>
              <w:rPr>
                <w:rFonts w:hint="eastAsia" w:ascii="Times New Roman" w:hAnsi="Times New Roman" w:eastAsia="宋体" w:cs="宋体"/>
                <w:sz w:val="21"/>
                <w:szCs w:val="21"/>
              </w:rPr>
              <w:t>真实性承诺</w:t>
            </w:r>
          </w:p>
        </w:tc>
        <w:tc>
          <w:tcPr>
            <w:tcW w:w="7450" w:type="dxa"/>
            <w:gridSpan w:val="3"/>
            <w:vAlign w:val="center"/>
          </w:tcPr>
          <w:p>
            <w:pPr>
              <w:pStyle w:val="6"/>
              <w:snapToGrid w:val="0"/>
              <w:spacing w:before="0" w:beforeAutospacing="0" w:after="0" w:afterAutospacing="0"/>
              <w:ind w:firstLine="420" w:firstLineChars="200"/>
              <w:outlineLvl w:val="0"/>
              <w:rPr>
                <w:rFonts w:ascii="Times New Roman" w:hAnsi="Times New Roman" w:eastAsia="宋体" w:cs="宋体"/>
                <w:color w:val="000000"/>
                <w:sz w:val="21"/>
                <w:szCs w:val="21"/>
              </w:rPr>
            </w:pPr>
          </w:p>
          <w:p>
            <w:pPr>
              <w:pStyle w:val="6"/>
              <w:snapToGrid w:val="0"/>
              <w:spacing w:before="0" w:beforeAutospacing="0" w:after="0" w:afterAutospacing="0"/>
              <w:ind w:firstLine="420" w:firstLineChars="200"/>
              <w:outlineLvl w:val="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本</w:t>
            </w:r>
            <w:r>
              <w:rPr>
                <w:rFonts w:hint="eastAsia" w:ascii="Times New Roman" w:hAnsi="Times New Roman" w:cs="宋体"/>
                <w:color w:val="000000"/>
                <w:sz w:val="21"/>
                <w:szCs w:val="21"/>
              </w:rPr>
              <w:t>单位（</w:t>
            </w:r>
            <w:r>
              <w:rPr>
                <w:rFonts w:hint="eastAsia" w:ascii="Times New Roman" w:hAnsi="Times New Roman" w:eastAsia="宋体" w:cs="宋体"/>
                <w:color w:val="000000"/>
                <w:sz w:val="21"/>
                <w:szCs w:val="21"/>
              </w:rPr>
              <w:t>人</w:t>
            </w:r>
            <w:r>
              <w:rPr>
                <w:rFonts w:hint="eastAsia" w:ascii="Times New Roman" w:hAnsi="Times New Roman" w:cs="宋体"/>
                <w:color w:val="000000"/>
                <w:sz w:val="21"/>
                <w:szCs w:val="21"/>
              </w:rPr>
              <w:t>）</w:t>
            </w:r>
            <w:r>
              <w:rPr>
                <w:rFonts w:hint="eastAsia" w:ascii="Times New Roman" w:hAnsi="Times New Roman" w:eastAsia="宋体" w:cs="宋体"/>
                <w:color w:val="000000"/>
                <w:sz w:val="21"/>
                <w:szCs w:val="21"/>
              </w:rPr>
              <w:t>承诺所填写内容和提交相关材料真实有效，否则依法依规承担相应责任，并在市公共信用信息平台记入信用记录。</w:t>
            </w:r>
          </w:p>
          <w:p>
            <w:pPr>
              <w:pStyle w:val="6"/>
              <w:snapToGrid w:val="0"/>
              <w:spacing w:before="0" w:beforeAutospacing="0" w:after="0" w:afterAutospacing="0"/>
              <w:outlineLvl w:val="0"/>
              <w:rPr>
                <w:rFonts w:ascii="Times New Roman" w:hAnsi="Times New Roman" w:eastAsia="宋体" w:cs="宋体"/>
                <w:color w:val="000000"/>
                <w:sz w:val="21"/>
                <w:szCs w:val="21"/>
              </w:rPr>
            </w:pPr>
          </w:p>
          <w:p>
            <w:pPr>
              <w:pStyle w:val="6"/>
              <w:snapToGrid w:val="0"/>
              <w:spacing w:before="0" w:beforeAutospacing="0" w:after="0" w:afterAutospacing="0"/>
              <w:outlineLvl w:val="0"/>
              <w:rPr>
                <w:rFonts w:ascii="Times New Roman" w:hAnsi="Times New Roman" w:eastAsia="宋体" w:cs="宋体"/>
                <w:color w:val="000000"/>
                <w:sz w:val="21"/>
                <w:szCs w:val="21"/>
              </w:rPr>
            </w:pPr>
          </w:p>
          <w:p>
            <w:pPr>
              <w:pStyle w:val="6"/>
              <w:snapToGrid w:val="0"/>
              <w:spacing w:before="0" w:beforeAutospacing="0" w:after="0" w:afterAutospacing="0"/>
              <w:outlineLvl w:val="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经办人：                              单位名称（盖章）：</w:t>
            </w:r>
          </w:p>
          <w:p>
            <w:pPr>
              <w:pStyle w:val="6"/>
              <w:snapToGrid w:val="0"/>
              <w:spacing w:before="0" w:beforeAutospacing="0" w:after="0" w:afterAutospacing="0"/>
              <w:ind w:firstLine="4200" w:firstLineChars="2000"/>
              <w:outlineLvl w:val="0"/>
              <w:rPr>
                <w:rFonts w:ascii="Times New Roman" w:hAnsi="Times New Roman" w:eastAsia="宋体" w:cs="宋体"/>
                <w:color w:val="000000"/>
                <w:sz w:val="21"/>
                <w:szCs w:val="21"/>
              </w:rPr>
            </w:pPr>
          </w:p>
          <w:p>
            <w:pPr>
              <w:pStyle w:val="6"/>
              <w:snapToGrid w:val="0"/>
              <w:spacing w:before="0" w:beforeAutospacing="0" w:after="0" w:afterAutospacing="0"/>
              <w:ind w:firstLine="4200" w:firstLineChars="2000"/>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550" w:type="dxa"/>
            <w:vAlign w:val="center"/>
          </w:tcPr>
          <w:p>
            <w:pPr>
              <w:pStyle w:val="6"/>
              <w:snapToGrid w:val="0"/>
              <w:spacing w:before="0" w:beforeAutospacing="0" w:after="0" w:afterAutospacing="0"/>
              <w:jc w:val="center"/>
              <w:outlineLvl w:val="0"/>
              <w:rPr>
                <w:rFonts w:ascii="Times New Roman" w:hAnsi="Times New Roman" w:eastAsia="宋体" w:cs="宋体"/>
                <w:sz w:val="21"/>
                <w:szCs w:val="21"/>
              </w:rPr>
            </w:pPr>
            <w:r>
              <w:rPr>
                <w:rFonts w:hint="eastAsia" w:ascii="Times New Roman" w:hAnsi="Times New Roman" w:eastAsia="宋体" w:cs="宋体"/>
                <w:sz w:val="21"/>
                <w:szCs w:val="21"/>
              </w:rPr>
              <w:t>县区水行政</w:t>
            </w:r>
          </w:p>
          <w:p>
            <w:pPr>
              <w:pStyle w:val="6"/>
              <w:snapToGrid w:val="0"/>
              <w:spacing w:before="0" w:beforeAutospacing="0" w:after="0" w:afterAutospacing="0"/>
              <w:jc w:val="center"/>
              <w:outlineLvl w:val="0"/>
              <w:rPr>
                <w:rFonts w:ascii="Times New Roman" w:hAnsi="Times New Roman" w:eastAsia="宋体" w:cs="宋体"/>
                <w:snapToGrid w:val="0"/>
                <w:sz w:val="21"/>
                <w:szCs w:val="21"/>
              </w:rPr>
            </w:pPr>
            <w:r>
              <w:rPr>
                <w:rFonts w:hint="eastAsia" w:ascii="Times New Roman" w:hAnsi="Times New Roman" w:eastAsia="宋体" w:cs="宋体"/>
                <w:sz w:val="21"/>
                <w:szCs w:val="21"/>
              </w:rPr>
              <w:t>主管部门意见</w:t>
            </w:r>
          </w:p>
        </w:tc>
        <w:tc>
          <w:tcPr>
            <w:tcW w:w="7450" w:type="dxa"/>
            <w:gridSpan w:val="3"/>
            <w:vAlign w:val="center"/>
          </w:tcPr>
          <w:p>
            <w:pPr>
              <w:pStyle w:val="6"/>
              <w:snapToGrid w:val="0"/>
              <w:spacing w:before="0" w:beforeAutospacing="0" w:after="0" w:afterAutospacing="0"/>
              <w:outlineLvl w:val="0"/>
              <w:rPr>
                <w:rFonts w:ascii="Times New Roman" w:hAnsi="Times New Roman" w:eastAsia="宋体" w:cs="宋体"/>
                <w:color w:val="000000"/>
                <w:sz w:val="21"/>
                <w:szCs w:val="21"/>
              </w:rPr>
            </w:pPr>
          </w:p>
          <w:p>
            <w:pPr>
              <w:pStyle w:val="6"/>
              <w:snapToGrid w:val="0"/>
              <w:spacing w:before="0" w:beforeAutospacing="0" w:after="0" w:afterAutospacing="0"/>
              <w:outlineLvl w:val="0"/>
              <w:rPr>
                <w:rFonts w:ascii="Times New Roman" w:hAnsi="Times New Roman" w:eastAsia="宋体" w:cs="宋体"/>
                <w:color w:val="000000"/>
                <w:sz w:val="21"/>
                <w:szCs w:val="21"/>
              </w:rPr>
            </w:pPr>
          </w:p>
          <w:p>
            <w:pPr>
              <w:pStyle w:val="6"/>
              <w:snapToGrid w:val="0"/>
              <w:spacing w:before="0" w:beforeAutospacing="0" w:after="0" w:afterAutospacing="0"/>
              <w:outlineLvl w:val="0"/>
              <w:rPr>
                <w:rFonts w:ascii="Times New Roman" w:hAnsi="Times New Roman" w:eastAsia="宋体" w:cs="宋体"/>
                <w:color w:val="000000"/>
                <w:sz w:val="21"/>
                <w:szCs w:val="21"/>
              </w:rPr>
            </w:pPr>
          </w:p>
          <w:p>
            <w:pPr>
              <w:pStyle w:val="6"/>
              <w:snapToGrid w:val="0"/>
              <w:spacing w:before="0" w:beforeAutospacing="0" w:after="0" w:afterAutospacing="0"/>
              <w:ind w:firstLine="3360" w:firstLineChars="1600"/>
              <w:outlineLvl w:val="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单位负责人：     </w:t>
            </w:r>
          </w:p>
          <w:p>
            <w:pPr>
              <w:pStyle w:val="6"/>
              <w:snapToGrid w:val="0"/>
              <w:spacing w:before="0" w:beforeAutospacing="0" w:after="0" w:afterAutospacing="0"/>
              <w:outlineLvl w:val="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单位名称（盖章）：         </w:t>
            </w:r>
          </w:p>
          <w:p>
            <w:pPr>
              <w:pStyle w:val="6"/>
              <w:snapToGrid w:val="0"/>
              <w:spacing w:before="0" w:beforeAutospacing="0" w:after="0" w:afterAutospacing="0"/>
              <w:ind w:firstLine="2940" w:firstLineChars="1400"/>
              <w:outlineLvl w:val="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pStyle w:val="6"/>
              <w:snapToGrid w:val="0"/>
              <w:spacing w:before="0" w:beforeAutospacing="0" w:after="0" w:afterAutospacing="0"/>
              <w:ind w:firstLine="3780" w:firstLineChars="1800"/>
              <w:outlineLvl w:val="0"/>
              <w:rPr>
                <w:rFonts w:ascii="Times New Roman" w:hAnsi="Times New Roman" w:eastAsia="宋体" w:cs="宋体"/>
                <w:snapToGrid w:val="0"/>
                <w:color w:val="000000"/>
                <w:sz w:val="21"/>
                <w:szCs w:val="21"/>
              </w:rPr>
            </w:pPr>
            <w:r>
              <w:rPr>
                <w:rFonts w:hint="eastAsia" w:ascii="Times New Roman" w:hAnsi="Times New Roman" w:eastAsia="宋体" w:cs="宋体"/>
                <w:color w:val="000000"/>
                <w:sz w:val="21"/>
                <w:szCs w:val="21"/>
              </w:rPr>
              <w:t>年      月      日</w:t>
            </w:r>
          </w:p>
        </w:tc>
      </w:tr>
    </w:tbl>
    <w:p>
      <w:pPr>
        <w:snapToGrid w:val="0"/>
        <w:spacing w:line="594" w:lineRule="exact"/>
        <w:ind w:right="159"/>
        <w:rPr>
          <w:rFonts w:hint="eastAsia" w:ascii="Times New Roman" w:hAnsi="Times New Roman" w:eastAsia="方正黑体_GBK" w:cs="Times New Roman"/>
          <w:bCs/>
          <w:kern w:val="0"/>
          <w:sz w:val="32"/>
          <w:szCs w:val="32"/>
          <w:lang w:val="en-US" w:eastAsia="zh-CN"/>
        </w:rPr>
        <w:sectPr>
          <w:pgSz w:w="11906" w:h="16838"/>
          <w:pgMar w:top="1984" w:right="1446" w:bottom="1644" w:left="1446" w:header="851" w:footer="1474"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240" w:lineRule="exact"/>
        <w:ind w:right="159"/>
        <w:textAlignment w:val="auto"/>
        <w:rPr>
          <w:rFonts w:hint="default" w:ascii="Times New Roman" w:hAnsi="Times New Roman" w:eastAsia="方正黑体_GBK" w:cs="Times New Roman"/>
          <w:bCs/>
          <w:kern w:val="0"/>
          <w:sz w:val="32"/>
          <w:szCs w:val="32"/>
          <w:lang w:val="en-US" w:eastAsia="zh-CN"/>
        </w:rPr>
      </w:pPr>
    </w:p>
    <w:p>
      <w:pPr>
        <w:pStyle w:val="3"/>
      </w:pPr>
    </w:p>
    <w:sectPr>
      <w:pgSz w:w="16840" w:h="11850" w:orient="landscape"/>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0"/>
                              <w:rFonts w:ascii="宋体" w:hAnsi="宋体" w:eastAsia="宋体"/>
                              <w:sz w:val="28"/>
                              <w:szCs w:val="28"/>
                            </w:rPr>
                          </w:pPr>
                          <w:r>
                            <w:rPr>
                              <w:rStyle w:val="10"/>
                              <w:rFonts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 PAGE  \* MERGEFORMAT </w:instrText>
                          </w:r>
                          <w:r>
                            <w:rPr>
                              <w:rStyle w:val="10"/>
                              <w:rFonts w:ascii="宋体" w:hAnsi="宋体" w:eastAsia="宋体"/>
                              <w:sz w:val="28"/>
                              <w:szCs w:val="28"/>
                            </w:rPr>
                            <w:fldChar w:fldCharType="separate"/>
                          </w:r>
                          <w:r>
                            <w:rPr>
                              <w:rStyle w:val="10"/>
                              <w:rFonts w:ascii="宋体" w:hAnsi="宋体" w:eastAsia="宋体"/>
                              <w:sz w:val="28"/>
                              <w:szCs w:val="28"/>
                            </w:rPr>
                            <w:t>5</w:t>
                          </w:r>
                          <w:r>
                            <w:rPr>
                              <w:rStyle w:val="10"/>
                              <w:rFonts w:ascii="宋体" w:hAnsi="宋体" w:eastAsia="宋体"/>
                              <w:sz w:val="28"/>
                              <w:szCs w:val="28"/>
                            </w:rPr>
                            <w:fldChar w:fldCharType="end"/>
                          </w:r>
                          <w:r>
                            <w:rPr>
                              <w:rStyle w:val="10"/>
                              <w:rFonts w:ascii="宋体" w:hAnsi="宋体" w:eastAsia="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4"/>
                      <w:rPr>
                        <w:rStyle w:val="10"/>
                        <w:rFonts w:ascii="宋体" w:hAnsi="宋体" w:eastAsia="宋体"/>
                        <w:sz w:val="28"/>
                        <w:szCs w:val="28"/>
                      </w:rPr>
                    </w:pPr>
                    <w:r>
                      <w:rPr>
                        <w:rStyle w:val="10"/>
                        <w:rFonts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 PAGE  \* MERGEFORMAT </w:instrText>
                    </w:r>
                    <w:r>
                      <w:rPr>
                        <w:rStyle w:val="10"/>
                        <w:rFonts w:ascii="宋体" w:hAnsi="宋体" w:eastAsia="宋体"/>
                        <w:sz w:val="28"/>
                        <w:szCs w:val="28"/>
                      </w:rPr>
                      <w:fldChar w:fldCharType="separate"/>
                    </w:r>
                    <w:r>
                      <w:rPr>
                        <w:rStyle w:val="10"/>
                        <w:rFonts w:ascii="宋体" w:hAnsi="宋体" w:eastAsia="宋体"/>
                        <w:sz w:val="28"/>
                        <w:szCs w:val="28"/>
                      </w:rPr>
                      <w:t>5</w:t>
                    </w:r>
                    <w:r>
                      <w:rPr>
                        <w:rStyle w:val="10"/>
                        <w:rFonts w:ascii="宋体" w:hAnsi="宋体" w:eastAsia="宋体"/>
                        <w:sz w:val="28"/>
                        <w:szCs w:val="28"/>
                      </w:rPr>
                      <w:fldChar w:fldCharType="end"/>
                    </w:r>
                    <w:r>
                      <w:rPr>
                        <w:rStyle w:val="10"/>
                        <w:rFonts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B6706"/>
    <w:rsid w:val="11EC44B7"/>
    <w:rsid w:val="2F664B12"/>
    <w:rsid w:val="377B5A38"/>
    <w:rsid w:val="3F7F1C9C"/>
    <w:rsid w:val="56F7484F"/>
    <w:rsid w:val="5BFDCFAF"/>
    <w:rsid w:val="67FE2385"/>
    <w:rsid w:val="69CB6706"/>
    <w:rsid w:val="6AFF0216"/>
    <w:rsid w:val="6B3A40D1"/>
    <w:rsid w:val="76BD9ABD"/>
    <w:rsid w:val="7775298D"/>
    <w:rsid w:val="77DDFC44"/>
    <w:rsid w:val="7AE1F2A0"/>
    <w:rsid w:val="7BF80538"/>
    <w:rsid w:val="7E9F3C83"/>
    <w:rsid w:val="83BE08A1"/>
    <w:rsid w:val="A3F63614"/>
    <w:rsid w:val="AF8FEBEE"/>
    <w:rsid w:val="B3BD4706"/>
    <w:rsid w:val="DDFF0FEC"/>
    <w:rsid w:val="DEF7C613"/>
    <w:rsid w:val="EA7F3F25"/>
    <w:rsid w:val="EFBFEDC9"/>
    <w:rsid w:val="F57FED2B"/>
    <w:rsid w:val="FA7FE05E"/>
    <w:rsid w:val="FB5FD45B"/>
    <w:rsid w:val="FBAF8A7A"/>
    <w:rsid w:val="FBFF8608"/>
    <w:rsid w:val="FCE70A37"/>
    <w:rsid w:val="FDFEC4ED"/>
    <w:rsid w:val="FED79750"/>
    <w:rsid w:val="FFCF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widowControl/>
      <w:spacing w:before="260" w:after="260" w:line="415" w:lineRule="auto"/>
      <w:jc w:val="left"/>
      <w:outlineLvl w:val="1"/>
    </w:pPr>
    <w:rPr>
      <w:rFonts w:ascii="Arial" w:hAnsi="Arial" w:eastAsia="黑体" w:cs="Times New Roman"/>
      <w:sz w:val="32"/>
      <w:szCs w:val="32"/>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Times New Roman" w:hAnsi="Times New Roman"/>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unhideWhenUsed/>
    <w:qFormat/>
    <w:uiPriority w:val="0"/>
    <w:rPr>
      <w:rFonts w:ascii="Times New Roman" w:hAnsi="Times New Roman" w:eastAsia="方正仿宋_GBK" w:cs="Times New Roman"/>
    </w:r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table" w:customStyle="1" w:styleId="12">
    <w:name w:val="Table Normal"/>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2025-12-09T10:18:00Z</dcterms:created>
  <dc:creator>Alexrich</dc:creator>
  <cp:lastModifiedBy>Administrator</cp:lastModifiedBy>
  <dcterms:modified xsi:type="dcterms:W3CDTF">2026-04-14T09:20:36Z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185E7B86FF20EECFFF9DAA6993B54F5B</vt:lpwstr>
  </property>
  <property fmtid="{D5CDD505-2E9C-101B-9397-08002B2CF9AE}" pid="4" name="KSOTemplateDocerSaveRecord">
    <vt:lpwstr>eyJoZGlkIjoiMDM3ZWEzN2EzZmFhNzMxYzE4ZThjMTUyMDUyNDk2ODIiLCJ1c2VySWQiOiIyMjI1NDkxNTEifQ==</vt:lpwstr>
  </property>
</Properties>
</file>