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i w:val="0"/>
          <w:caps w:val="0"/>
          <w:color w:val="auto"/>
          <w:spacing w:val="0"/>
          <w:sz w:val="44"/>
          <w:szCs w:val="44"/>
          <w:shd w:val="clear" w:color="auto" w:fill="FFFFFF"/>
          <w:lang w:eastAsia="zh-CN"/>
        </w:rPr>
      </w:pPr>
      <w:r>
        <w:rPr>
          <w:rFonts w:hint="eastAsia" w:ascii="方正小标宋_GBK" w:hAnsi="方正小标宋_GBK" w:eastAsia="方正小标宋_GBK" w:cs="方正小标宋_GBK"/>
          <w:i w:val="0"/>
          <w:caps w:val="0"/>
          <w:color w:val="auto"/>
          <w:spacing w:val="0"/>
          <w:sz w:val="44"/>
          <w:szCs w:val="44"/>
          <w:shd w:val="clear" w:color="auto" w:fill="FFFFFF"/>
        </w:rPr>
        <w:t>重庆市长寿区</w:t>
      </w:r>
      <w:r>
        <w:rPr>
          <w:rFonts w:hint="eastAsia" w:ascii="方正小标宋_GBK" w:hAnsi="方正小标宋_GBK" w:eastAsia="方正小标宋_GBK" w:cs="方正小标宋_GBK"/>
          <w:i w:val="0"/>
          <w:caps w:val="0"/>
          <w:color w:val="auto"/>
          <w:spacing w:val="0"/>
          <w:sz w:val="44"/>
          <w:szCs w:val="44"/>
          <w:shd w:val="clear" w:color="auto" w:fill="FFFFFF"/>
          <w:lang w:eastAsia="zh-CN"/>
        </w:rPr>
        <w:t>人力资源和社会保障局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i w:val="0"/>
          <w:caps w:val="0"/>
          <w:color w:val="auto"/>
          <w:spacing w:val="0"/>
          <w:sz w:val="44"/>
          <w:szCs w:val="44"/>
          <w:shd w:val="clear" w:color="auto" w:fill="FFFFFF"/>
        </w:rPr>
        <w:t>关于废止部分</w:t>
      </w:r>
      <w:r>
        <w:rPr>
          <w:rFonts w:hint="eastAsia" w:ascii="方正小标宋_GBK" w:hAnsi="方正小标宋_GBK" w:eastAsia="方正小标宋_GBK" w:cs="方正小标宋_GBK"/>
          <w:i w:val="0"/>
          <w:caps w:val="0"/>
          <w:color w:val="auto"/>
          <w:spacing w:val="0"/>
          <w:sz w:val="44"/>
          <w:szCs w:val="44"/>
          <w:shd w:val="clear" w:color="auto" w:fill="FFFFFF"/>
          <w:lang w:eastAsia="zh-CN"/>
        </w:rPr>
        <w:t>规范性</w:t>
      </w:r>
      <w:r>
        <w:rPr>
          <w:rFonts w:hint="eastAsia" w:ascii="方正小标宋_GBK" w:hAnsi="方正小标宋_GBK" w:eastAsia="方正小标宋_GBK" w:cs="方正小标宋_GBK"/>
          <w:i w:val="0"/>
          <w:caps w:val="0"/>
          <w:color w:val="auto"/>
          <w:spacing w:val="0"/>
          <w:sz w:val="44"/>
          <w:szCs w:val="44"/>
          <w:shd w:val="clear" w:color="auto" w:fill="FFFFFF"/>
        </w:rPr>
        <w:t>文件的通知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hint="eastAsia" w:eastAsia="方正仿宋_GBK"/>
          <w:sz w:val="32"/>
          <w:szCs w:val="32"/>
        </w:rPr>
        <w:t>长寿人社发〔</w:t>
      </w:r>
      <w:r>
        <w:rPr>
          <w:rFonts w:hint="default" w:ascii="Times New Roman" w:hAnsi="Times New Roman" w:eastAsia="方正仿宋_GBK" w:cs="Times New Roman"/>
          <w:sz w:val="32"/>
          <w:szCs w:val="32"/>
        </w:rPr>
        <w:t>202</w:t>
      </w:r>
      <w:bookmarkStart w:id="0" w:name="_GoBack"/>
      <w:bookmarkEnd w:id="0"/>
      <w:r>
        <w:rPr>
          <w:rFonts w:hint="default" w:ascii="Times New Roman" w:hAnsi="Times New Roman" w:eastAsia="方正仿宋_GBK" w:cs="Times New Roman"/>
          <w:sz w:val="32"/>
          <w:szCs w:val="32"/>
        </w:rPr>
        <w:t>3</w:t>
      </w:r>
      <w:r>
        <w:rPr>
          <w:rFonts w:hint="eastAsia" w:eastAsia="方正仿宋_GBK"/>
          <w:sz w:val="32"/>
          <w:szCs w:val="32"/>
        </w:rPr>
        <w:t>〕</w:t>
      </w:r>
      <w:r>
        <w:rPr>
          <w:rFonts w:hint="default" w:ascii="Times New Roman" w:hAnsi="Times New Roman" w:eastAsia="方正仿宋_GBK" w:cs="Times New Roman"/>
          <w:sz w:val="32"/>
          <w:szCs w:val="32"/>
        </w:rPr>
        <w:t>111</w:t>
      </w:r>
      <w:r>
        <w:rPr>
          <w:rFonts w:hint="eastAsia"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jc w:val="left"/>
        <w:textAlignment w:val="auto"/>
        <w:rPr>
          <w:rFonts w:ascii="Times New Roman" w:hAnsi="Times New Roman" w:eastAsia="宋体" w:cs="Times New Roman"/>
          <w:color w:val="auto"/>
          <w:kern w:val="0"/>
          <w:sz w:val="24"/>
          <w:lang w:val="en-US" w:eastAsia="zh-CN" w:bidi="ar-SA"/>
        </w:rPr>
      </w:pPr>
      <w:r>
        <w:rPr>
          <w:rFonts w:ascii="Times New Roman" w:hAnsi="Times New Roman" w:eastAsia="方正仿宋_GBK" w:cs="方正仿宋_GBK"/>
          <w:i w:val="0"/>
          <w:caps w:val="0"/>
          <w:color w:val="auto"/>
          <w:spacing w:val="0"/>
          <w:kern w:val="0"/>
          <w:sz w:val="31"/>
          <w:szCs w:val="31"/>
          <w:lang w:val="en-US" w:eastAsia="zh-CN" w:bidi="ar-SA"/>
        </w:rPr>
        <w:t>各街道办事处、镇人民政府，区级</w:t>
      </w:r>
      <w:r>
        <w:rPr>
          <w:rFonts w:hint="eastAsia" w:ascii="Times New Roman" w:hAnsi="Times New Roman" w:eastAsia="方正仿宋_GBK" w:cs="方正仿宋_GBK"/>
          <w:i w:val="0"/>
          <w:caps w:val="0"/>
          <w:color w:val="auto"/>
          <w:spacing w:val="0"/>
          <w:kern w:val="0"/>
          <w:sz w:val="31"/>
          <w:szCs w:val="31"/>
          <w:lang w:val="en-US" w:eastAsia="zh-CN" w:bidi="ar-SA"/>
        </w:rPr>
        <w:t>各部门，有关单位：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0"/>
        <w:jc w:val="left"/>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SA"/>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SA"/>
        </w:rPr>
        <w:t>根据《重庆市行政规范性文件管理办法》（市政府号329令）有关规定，区人力社保局对规范性文件进行了清理。经局党组2023年第十三次党组会议审定，决定对《重庆市长寿区人力资源和社会保障局关于加强民办职业培训学校安全管理的通知》（长寿人社发〔2017〕175号）等13个规范性文件予以废止，自本通知印发之日起不再施行。</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w:t>
      </w:r>
      <w:r>
        <w:rPr>
          <w:rFonts w:hint="eastAsia" w:ascii="方正仿宋_GBK" w:hAnsi="方正仿宋_GBK" w:eastAsia="方正仿宋_GBK" w:cs="方正仿宋_GBK"/>
          <w:sz w:val="32"/>
          <w:szCs w:val="32"/>
        </w:rPr>
        <w:t>                    </w:t>
      </w:r>
    </w:p>
    <w:p>
      <w:pPr>
        <w:keepNext w:val="0"/>
        <w:keepLines w:val="0"/>
        <w:pageBreakBefore w:val="0"/>
        <w:kinsoku/>
        <w:overflowPunct/>
        <w:topLinePunct w:val="0"/>
        <w:autoSpaceDE/>
        <w:autoSpaceDN/>
        <w:bidi w:val="0"/>
        <w:adjustRightInd/>
        <w:snapToGrid/>
        <w:spacing w:line="600" w:lineRule="exact"/>
        <w:ind w:left="1598" w:leftChars="266" w:hanging="960" w:hangingChars="300"/>
        <w:textAlignment w:val="auto"/>
        <w:rPr>
          <w:rFonts w:hint="default" w:ascii="Times New Roman" w:hAnsi="Times New Roman" w:eastAsia="方正仿宋_GBK" w:cs="方正仿宋_GBK"/>
          <w:i w:val="0"/>
          <w:caps w:val="0"/>
          <w:color w:val="auto"/>
          <w:spacing w:val="0"/>
          <w:kern w:val="0"/>
          <w:sz w:val="32"/>
          <w:szCs w:val="32"/>
          <w:shd w:val="clear" w:color="auto" w:fill="FFFFFF"/>
          <w:lang w:val="en-US" w:eastAsia="zh-CN" w:bidi="ar-SA"/>
        </w:rPr>
      </w:pP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SA"/>
        </w:rPr>
        <w:t>附件：</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SA"/>
        </w:rPr>
        <w:t>重庆市</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SA"/>
        </w:rPr>
        <w:t>长寿区人力资源和社会保障局</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SA"/>
        </w:rPr>
        <w:t>废止行政规范性文件目录</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重庆市长寿区</w:t>
      </w:r>
      <w:r>
        <w:rPr>
          <w:rFonts w:hint="default" w:ascii="Times New Roman" w:hAnsi="Times New Roman" w:eastAsia="方正仿宋_GBK" w:cs="Times New Roman"/>
          <w:color w:val="auto"/>
          <w:sz w:val="32"/>
          <w:szCs w:val="32"/>
          <w:lang w:eastAsia="zh-CN"/>
        </w:rPr>
        <w:t>人力资源和社会保障局</w:t>
      </w:r>
    </w:p>
    <w:p>
      <w:pPr>
        <w:keepNext w:val="0"/>
        <w:keepLines w:val="0"/>
        <w:pageBreakBefore w:val="0"/>
        <w:kinsoku/>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日</w:t>
      </w:r>
    </w:p>
    <w:p>
      <w:pPr>
        <w:pStyle w:val="18"/>
        <w:numPr>
          <w:ilvl w:val="0"/>
          <w:numId w:val="0"/>
        </w:numPr>
        <w:wordWrap/>
        <w:snapToGrid/>
        <w:spacing w:line="596"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（此件公开发布）</w:t>
      </w:r>
    </w:p>
    <w:p>
      <w:pPr>
        <w:pStyle w:val="18"/>
        <w:numPr>
          <w:ilvl w:val="0"/>
          <w:numId w:val="0"/>
        </w:numPr>
        <w:wordWrap/>
        <w:snapToGrid/>
        <w:spacing w:line="596" w:lineRule="exact"/>
        <w:ind w:firstLine="640" w:firstLineChars="200"/>
        <w:rPr>
          <w:rFonts w:hint="eastAsia" w:ascii="方正黑体_GBK" w:hAnsi="方正黑体_GBK" w:eastAsia="方正黑体_GBK" w:cs="方正黑体_GBK"/>
          <w:b w:val="0"/>
          <w:bCs w:val="0"/>
          <w:sz w:val="32"/>
          <w:szCs w:val="32"/>
          <w:lang w:val="en-US" w:eastAsia="zh-CN"/>
        </w:rPr>
      </w:pPr>
    </w:p>
    <w:p>
      <w:pPr>
        <w:pStyle w:val="18"/>
        <w:numPr>
          <w:ilvl w:val="0"/>
          <w:numId w:val="0"/>
        </w:numPr>
        <w:wordWrap/>
        <w:snapToGrid/>
        <w:spacing w:line="596" w:lineRule="exact"/>
        <w:ind w:firstLine="640" w:firstLineChars="200"/>
        <w:rPr>
          <w:rFonts w:hint="eastAsia" w:ascii="方正黑体_GBK" w:hAnsi="方正黑体_GBK" w:eastAsia="方正黑体_GBK" w:cs="方正黑体_GBK"/>
          <w:b w:val="0"/>
          <w:bCs w:val="0"/>
          <w:sz w:val="32"/>
          <w:szCs w:val="32"/>
          <w:lang w:val="en-US" w:eastAsia="zh-CN"/>
        </w:rPr>
      </w:pPr>
    </w:p>
    <w:p>
      <w:pPr>
        <w:pStyle w:val="18"/>
        <w:keepNext w:val="0"/>
        <w:keepLines w:val="0"/>
        <w:pageBreakBefore w:val="0"/>
        <w:numPr>
          <w:ilvl w:val="0"/>
          <w:numId w:val="0"/>
        </w:numPr>
        <w:kinsoku/>
        <w:wordWrap/>
        <w:overflowPunct/>
        <w:topLinePunct w:val="0"/>
        <w:bidi w:val="0"/>
        <w:snapToGrid/>
        <w:spacing w:line="594" w:lineRule="exact"/>
        <w:textAlignment w:val="auto"/>
        <w:rPr>
          <w:rFonts w:hint="eastAsia" w:ascii="Times New Roman" w:hAnsi="Times New Roman"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方正小标宋_GBK"/>
          <w:b w:val="0"/>
          <w:bCs w:val="0"/>
          <w:color w:val="auto"/>
          <w:sz w:val="44"/>
          <w:szCs w:val="44"/>
          <w:lang w:val="en-US" w:eastAsia="zh-CN"/>
        </w:rPr>
      </w:pP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方正小标宋_GBK"/>
          <w:b w:val="0"/>
          <w:bCs w:val="0"/>
          <w:color w:val="auto"/>
          <w:sz w:val="44"/>
          <w:szCs w:val="44"/>
          <w:lang w:val="en-US" w:eastAsia="zh-CN"/>
        </w:rPr>
      </w:pPr>
      <w:r>
        <w:rPr>
          <w:rFonts w:hint="default" w:ascii="Times New Roman" w:hAnsi="Times New Roman" w:eastAsia="方正小标宋_GBK" w:cs="方正小标宋_GBK"/>
          <w:b w:val="0"/>
          <w:bCs w:val="0"/>
          <w:color w:val="auto"/>
          <w:sz w:val="44"/>
          <w:szCs w:val="44"/>
          <w:lang w:val="en-US" w:eastAsia="zh-CN"/>
        </w:rPr>
        <w:t>重庆市长寿区人力资源和社会保障局</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700" w:lineRule="exact"/>
        <w:jc w:val="center"/>
        <w:textAlignment w:val="auto"/>
        <w:rPr>
          <w:rFonts w:hint="eastAsia" w:ascii="Times New Roman" w:hAnsi="Times New Roman" w:eastAsia="方正小标宋_GBK" w:cs="方正小标宋_GBK"/>
          <w:b w:val="0"/>
          <w:bCs w:val="0"/>
          <w:color w:val="auto"/>
          <w:sz w:val="44"/>
          <w:szCs w:val="44"/>
          <w:lang w:val="en-US" w:eastAsia="zh-CN"/>
        </w:rPr>
      </w:pPr>
      <w:r>
        <w:rPr>
          <w:rFonts w:hint="default" w:ascii="Times New Roman" w:hAnsi="Times New Roman" w:eastAsia="方正小标宋_GBK" w:cs="方正小标宋_GBK"/>
          <w:b w:val="0"/>
          <w:bCs w:val="0"/>
          <w:color w:val="auto"/>
          <w:sz w:val="44"/>
          <w:szCs w:val="44"/>
          <w:lang w:val="en-US" w:eastAsia="zh-CN"/>
        </w:rPr>
        <w:t>废止行政规范性文件目录</w:t>
      </w:r>
    </w:p>
    <w:tbl>
      <w:tblPr>
        <w:tblStyle w:val="14"/>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123"/>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Times New Roman" w:hAnsi="Times New Roman" w:eastAsia="方正黑体_GBK" w:cs="方正黑体_GBK"/>
                <w:b w:val="0"/>
                <w:bCs w:val="0"/>
                <w:color w:val="auto"/>
                <w:spacing w:val="-20"/>
                <w:sz w:val="28"/>
                <w:szCs w:val="28"/>
                <w:lang w:val="en-US" w:eastAsia="zh-CN"/>
              </w:rPr>
            </w:pPr>
            <w:r>
              <w:rPr>
                <w:rFonts w:hint="eastAsia" w:ascii="Times New Roman" w:hAnsi="Times New Roman" w:eastAsia="方正黑体_GBK" w:cs="方正黑体_GBK"/>
                <w:b w:val="0"/>
                <w:bCs w:val="0"/>
                <w:color w:val="auto"/>
                <w:spacing w:val="-20"/>
                <w:sz w:val="28"/>
                <w:szCs w:val="28"/>
                <w:lang w:val="en-US" w:eastAsia="zh-CN"/>
              </w:rPr>
              <w:t>序号</w:t>
            </w:r>
          </w:p>
        </w:tc>
        <w:tc>
          <w:tcPr>
            <w:tcW w:w="3123" w:type="dxa"/>
            <w:noWrap w:val="0"/>
            <w:vAlign w:val="center"/>
          </w:tcPr>
          <w:p>
            <w:pPr>
              <w:pStyle w:val="18"/>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Times New Roman" w:hAnsi="Times New Roman" w:eastAsia="方正黑体_GBK" w:cs="方正黑体_GBK"/>
                <w:b w:val="0"/>
                <w:bCs w:val="0"/>
                <w:color w:val="auto"/>
                <w:spacing w:val="-20"/>
                <w:sz w:val="28"/>
                <w:szCs w:val="28"/>
                <w:lang w:val="en-US" w:eastAsia="zh-CN"/>
              </w:rPr>
            </w:pPr>
            <w:r>
              <w:rPr>
                <w:rFonts w:hint="eastAsia" w:ascii="Times New Roman" w:hAnsi="Times New Roman" w:eastAsia="方正黑体_GBK" w:cs="方正黑体_GBK"/>
                <w:b w:val="0"/>
                <w:bCs w:val="0"/>
                <w:color w:val="auto"/>
                <w:spacing w:val="-20"/>
                <w:sz w:val="28"/>
                <w:szCs w:val="28"/>
                <w:lang w:val="en-US" w:eastAsia="zh-CN"/>
              </w:rPr>
              <w:t>文号</w:t>
            </w:r>
          </w:p>
        </w:tc>
        <w:tc>
          <w:tcPr>
            <w:tcW w:w="5943" w:type="dxa"/>
            <w:noWrap w:val="0"/>
            <w:vAlign w:val="center"/>
          </w:tcPr>
          <w:p>
            <w:pPr>
              <w:pStyle w:val="18"/>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Times New Roman" w:hAnsi="Times New Roman" w:eastAsia="方正黑体_GBK" w:cs="方正黑体_GBK"/>
                <w:b w:val="0"/>
                <w:bCs w:val="0"/>
                <w:color w:val="auto"/>
                <w:spacing w:val="-20"/>
                <w:sz w:val="28"/>
                <w:szCs w:val="28"/>
                <w:lang w:val="en-US" w:eastAsia="zh-CN"/>
              </w:rPr>
            </w:pPr>
            <w:r>
              <w:rPr>
                <w:rFonts w:hint="eastAsia" w:ascii="Times New Roman" w:hAnsi="Times New Roman" w:eastAsia="方正黑体_GBK" w:cs="方正黑体_GBK"/>
                <w:b w:val="0"/>
                <w:bCs w:val="0"/>
                <w:color w:val="auto"/>
                <w:spacing w:val="-20"/>
                <w:sz w:val="28"/>
                <w:szCs w:val="28"/>
                <w:lang w:val="en-US" w:eastAsia="zh-CN"/>
              </w:rPr>
              <w:t>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default" w:ascii="Times New Roman" w:hAnsi="Times New Roman" w:eastAsia="方正仿宋_GBK" w:cs="Times New Roman"/>
                <w:b w:val="0"/>
                <w:bCs w:val="0"/>
                <w:color w:val="auto"/>
                <w:spacing w:val="-20"/>
                <w:sz w:val="24"/>
                <w:szCs w:val="24"/>
                <w:lang w:val="en-US" w:eastAsia="zh-CN"/>
              </w:rPr>
              <w:t>1</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2017</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113</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keepNext w:val="0"/>
              <w:keepLines w:val="0"/>
              <w:pageBreakBefore w:val="0"/>
              <w:widowControl w:val="0"/>
              <w:kinsoku/>
              <w:wordWrap/>
              <w:overflowPunct/>
              <w:topLinePunct w:val="0"/>
              <w:autoSpaceDN w:val="0"/>
              <w:bidi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kern w:val="0"/>
                <w:sz w:val="24"/>
                <w:szCs w:val="24"/>
                <w:lang w:val="en-US" w:eastAsia="zh-CN"/>
              </w:rPr>
              <w:t>中共重庆市长寿区委组织部  重庆市长寿区人力资源和社会保障局关于印发《重庆市长寿区人才引进培养和激励办法（试行）实施细则》的通知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仿宋_GBK" w:cs="方正仿宋_GBK"/>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2</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2016</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214</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重庆市长寿区人力资源和社会保障局关于印发《长寿区</w:t>
            </w:r>
            <w:r>
              <w:rPr>
                <w:rFonts w:hint="default" w:ascii="Times New Roman" w:hAnsi="Times New Roman" w:eastAsia="方正仿宋_GBK" w:cs="Times New Roman"/>
                <w:b w:val="0"/>
                <w:bCs w:val="0"/>
                <w:color w:val="auto"/>
                <w:spacing w:val="0"/>
                <w:sz w:val="24"/>
                <w:szCs w:val="24"/>
                <w:lang w:val="en-US" w:eastAsia="zh-CN"/>
              </w:rPr>
              <w:t>2016</w:t>
            </w:r>
            <w:r>
              <w:rPr>
                <w:rFonts w:hint="eastAsia" w:ascii="Times New Roman" w:hAnsi="Times New Roman" w:eastAsia="方正仿宋_GBK" w:cs="方正仿宋_GBK"/>
                <w:b w:val="0"/>
                <w:bCs w:val="0"/>
                <w:color w:val="auto"/>
                <w:spacing w:val="0"/>
                <w:sz w:val="24"/>
                <w:szCs w:val="24"/>
                <w:lang w:val="en-US" w:eastAsia="zh-CN"/>
              </w:rPr>
              <w:t>年戒毒康复人员就业扶持工作方案》的通知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3</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2017</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175</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重庆市长寿区人力资源和社会保障局关于加强民办职业培训学校安全管理的通知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4</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2018</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268</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中共重庆市长寿区委组织部  重庆市长寿区人力资源和社会保障局关于《重庆市长寿区人才引进培养和激励办法（试行）实施细则》有关事项的补充通知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5</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2019</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32</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重庆市长寿区人力资源和社会保障局关于印发贯彻《支持民营经济发展十六条措施》的实施方案的通知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6</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2019</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61</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  重庆市长寿区财政局关于印发《重庆市长寿区职业培训管理办法》的通知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7</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2019</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148</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关于印发《打赢长寿区人力社保脱贫攻坚战</w:t>
            </w:r>
            <w:r>
              <w:rPr>
                <w:rFonts w:hint="default" w:ascii="Times New Roman" w:hAnsi="Times New Roman" w:eastAsia="方正仿宋_GBK" w:cs="Times New Roman"/>
                <w:b w:val="0"/>
                <w:bCs w:val="0"/>
                <w:color w:val="auto"/>
                <w:spacing w:val="0"/>
                <w:sz w:val="24"/>
                <w:szCs w:val="24"/>
                <w:lang w:val="en-US" w:eastAsia="zh-CN"/>
              </w:rPr>
              <w:t>24</w:t>
            </w:r>
            <w:r>
              <w:rPr>
                <w:rFonts w:hint="eastAsia" w:ascii="Times New Roman" w:hAnsi="Times New Roman" w:eastAsia="方正仿宋_GBK" w:cs="方正仿宋_GBK"/>
                <w:b w:val="0"/>
                <w:bCs w:val="0"/>
                <w:color w:val="auto"/>
                <w:spacing w:val="0"/>
                <w:sz w:val="24"/>
                <w:szCs w:val="24"/>
                <w:lang w:val="en-US" w:eastAsia="zh-CN"/>
              </w:rPr>
              <w:t>条推进措施》的通知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8</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2020</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49</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  重庆市长寿区扶贫开发办公室关于给予建档立卡贫困户新冠肺炎疫情期间外出务工一次性交通补贴的通知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9</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2020</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169</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重庆市长寿区人力资源和社会保障局关于扶持贫困农村致富带头人就业创业的通知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10</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2020</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203</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重庆市长寿区人力资源和社会保障局关于印发企业新型学徒制工作方案的通知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default" w:ascii="Times New Roman" w:hAnsi="Times New Roman" w:eastAsia="方正仿宋_GBK" w:cs="Times New Roman"/>
                <w:b w:val="0"/>
                <w:bCs w:val="0"/>
                <w:color w:val="auto"/>
                <w:spacing w:val="-20"/>
                <w:sz w:val="24"/>
                <w:szCs w:val="24"/>
                <w:lang w:val="en-US" w:eastAsia="zh-CN"/>
              </w:rPr>
              <w:t>1</w:t>
            </w:r>
            <w:r>
              <w:rPr>
                <w:rFonts w:hint="eastAsia" w:ascii="Times New Roman" w:hAnsi="Times New Roman" w:eastAsia="方正仿宋_GBK" w:cs="Times New Roman"/>
                <w:b w:val="0"/>
                <w:bCs w:val="0"/>
                <w:color w:val="auto"/>
                <w:spacing w:val="-20"/>
                <w:sz w:val="24"/>
                <w:szCs w:val="24"/>
                <w:lang w:val="en-US" w:eastAsia="zh-CN"/>
              </w:rPr>
              <w:t>1</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2020</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55</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  重庆市长寿区扶贫开发办公室关于加强</w:t>
            </w:r>
            <w:r>
              <w:rPr>
                <w:rFonts w:hint="default" w:ascii="Times New Roman" w:hAnsi="Times New Roman" w:eastAsia="方正仿宋_GBK" w:cs="Times New Roman"/>
                <w:b w:val="0"/>
                <w:bCs w:val="0"/>
                <w:color w:val="auto"/>
                <w:spacing w:val="0"/>
                <w:sz w:val="24"/>
                <w:szCs w:val="24"/>
                <w:lang w:val="en-US" w:eastAsia="zh-CN"/>
              </w:rPr>
              <w:t>2020</w:t>
            </w:r>
            <w:r>
              <w:rPr>
                <w:rFonts w:hint="eastAsia" w:ascii="Times New Roman" w:hAnsi="Times New Roman" w:eastAsia="方正仿宋_GBK" w:cs="方正仿宋_GBK"/>
                <w:b w:val="0"/>
                <w:bCs w:val="0"/>
                <w:color w:val="auto"/>
                <w:spacing w:val="0"/>
                <w:sz w:val="24"/>
                <w:szCs w:val="24"/>
                <w:lang w:val="en-US" w:eastAsia="zh-CN"/>
              </w:rPr>
              <w:t>年就业扶贫示范车间建设的通知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12</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2021</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190</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both"/>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关于印发《重庆市长寿区重庆英才服务管理办法（试行）》的通知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b w:val="0"/>
                <w:bCs w:val="0"/>
                <w:color w:val="auto"/>
                <w:spacing w:val="-20"/>
                <w:sz w:val="24"/>
                <w:szCs w:val="24"/>
                <w:lang w:val="en-US" w:eastAsia="zh-CN"/>
              </w:rPr>
            </w:pPr>
            <w:r>
              <w:rPr>
                <w:rFonts w:hint="eastAsia" w:ascii="Times New Roman" w:hAnsi="Times New Roman" w:eastAsia="方正仿宋_GBK" w:cs="Times New Roman"/>
                <w:b w:val="0"/>
                <w:bCs w:val="0"/>
                <w:color w:val="auto"/>
                <w:spacing w:val="-20"/>
                <w:sz w:val="24"/>
                <w:szCs w:val="24"/>
                <w:lang w:val="en-US" w:eastAsia="zh-CN"/>
              </w:rPr>
              <w:t>13</w:t>
            </w:r>
          </w:p>
        </w:tc>
        <w:tc>
          <w:tcPr>
            <w:tcW w:w="312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长寿人社发〔</w:t>
            </w:r>
            <w:r>
              <w:rPr>
                <w:rFonts w:hint="default" w:ascii="Times New Roman" w:hAnsi="Times New Roman" w:eastAsia="方正仿宋_GBK" w:cs="Times New Roman"/>
                <w:b w:val="0"/>
                <w:bCs w:val="0"/>
                <w:color w:val="auto"/>
                <w:spacing w:val="0"/>
                <w:sz w:val="24"/>
                <w:szCs w:val="24"/>
                <w:lang w:val="en-US" w:eastAsia="zh-CN"/>
              </w:rPr>
              <w:t>2022</w:t>
            </w:r>
            <w:r>
              <w:rPr>
                <w:rFonts w:hint="eastAsia" w:ascii="Times New Roman" w:hAnsi="Times New Roman" w:eastAsia="方正仿宋_GBK" w:cs="方正仿宋_GBK"/>
                <w:b w:val="0"/>
                <w:bCs w:val="0"/>
                <w:color w:val="auto"/>
                <w:spacing w:val="0"/>
                <w:sz w:val="24"/>
                <w:szCs w:val="24"/>
                <w:lang w:val="en-US" w:eastAsia="zh-CN"/>
              </w:rPr>
              <w:t>〕</w:t>
            </w:r>
            <w:r>
              <w:rPr>
                <w:rFonts w:hint="default" w:ascii="Times New Roman" w:hAnsi="Times New Roman" w:eastAsia="方正仿宋_GBK" w:cs="Times New Roman"/>
                <w:b w:val="0"/>
                <w:bCs w:val="0"/>
                <w:color w:val="auto"/>
                <w:spacing w:val="0"/>
                <w:sz w:val="24"/>
                <w:szCs w:val="24"/>
                <w:lang w:val="en-US" w:eastAsia="zh-CN"/>
              </w:rPr>
              <w:t>130</w:t>
            </w:r>
            <w:r>
              <w:rPr>
                <w:rFonts w:hint="eastAsia" w:ascii="Times New Roman" w:hAnsi="Times New Roman" w:eastAsia="方正仿宋_GBK" w:cs="方正仿宋_GBK"/>
                <w:b w:val="0"/>
                <w:bCs w:val="0"/>
                <w:color w:val="auto"/>
                <w:spacing w:val="0"/>
                <w:sz w:val="24"/>
                <w:szCs w:val="24"/>
                <w:lang w:val="en-US" w:eastAsia="zh-CN"/>
              </w:rPr>
              <w:t>号</w:t>
            </w:r>
          </w:p>
        </w:tc>
        <w:tc>
          <w:tcPr>
            <w:tcW w:w="5943" w:type="dxa"/>
            <w:noWrap w:val="0"/>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imes New Roman" w:hAnsi="Times New Roman" w:eastAsia="方正仿宋_GBK" w:cs="方正仿宋_GBK"/>
                <w:b w:val="0"/>
                <w:bCs w:val="0"/>
                <w:color w:val="auto"/>
                <w:spacing w:val="0"/>
                <w:sz w:val="24"/>
                <w:szCs w:val="24"/>
                <w:lang w:val="en-US" w:eastAsia="zh-CN"/>
              </w:rPr>
            </w:pPr>
            <w:r>
              <w:rPr>
                <w:rFonts w:hint="eastAsia" w:ascii="Times New Roman" w:hAnsi="Times New Roman" w:eastAsia="方正仿宋_GBK" w:cs="方正仿宋_GBK"/>
                <w:b w:val="0"/>
                <w:bCs w:val="0"/>
                <w:color w:val="auto"/>
                <w:spacing w:val="0"/>
                <w:sz w:val="24"/>
                <w:szCs w:val="24"/>
                <w:lang w:val="en-US" w:eastAsia="zh-CN"/>
              </w:rPr>
              <w:t>重庆市长寿区人力资源和社会保障局关于做好农村劳动力就业补助工作的通知</w:t>
            </w:r>
          </w:p>
        </w:tc>
      </w:tr>
    </w:tbl>
    <w:p>
      <w:pPr>
        <w:keepNext w:val="0"/>
        <w:keepLines w:val="0"/>
        <w:pageBreakBefore w:val="0"/>
        <w:widowControl w:val="0"/>
        <w:kinsoku/>
        <w:wordWrap/>
        <w:overflowPunct/>
        <w:topLinePunct w:val="0"/>
        <w:bidi w:val="0"/>
        <w:snapToGrid/>
        <w:spacing w:line="4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ind w:firstLine="3092" w:firstLineChars="11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人力资源和社会保障局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7F73FE2"/>
    <w:rsid w:val="080F63D8"/>
    <w:rsid w:val="09341458"/>
    <w:rsid w:val="098254C2"/>
    <w:rsid w:val="0A766EDE"/>
    <w:rsid w:val="0AD64BE8"/>
    <w:rsid w:val="0B0912D7"/>
    <w:rsid w:val="0E025194"/>
    <w:rsid w:val="0E456B8C"/>
    <w:rsid w:val="0F283D96"/>
    <w:rsid w:val="11B07144"/>
    <w:rsid w:val="143C3B37"/>
    <w:rsid w:val="150978DB"/>
    <w:rsid w:val="152D2DCA"/>
    <w:rsid w:val="17C33AC9"/>
    <w:rsid w:val="184A5F99"/>
    <w:rsid w:val="187168EA"/>
    <w:rsid w:val="18DF190F"/>
    <w:rsid w:val="18FF1921"/>
    <w:rsid w:val="196673CA"/>
    <w:rsid w:val="196D5DF5"/>
    <w:rsid w:val="19C820A4"/>
    <w:rsid w:val="1A6D1382"/>
    <w:rsid w:val="1B2F4AEE"/>
    <w:rsid w:val="1B612005"/>
    <w:rsid w:val="1C783197"/>
    <w:rsid w:val="1CF734C9"/>
    <w:rsid w:val="1DEC284C"/>
    <w:rsid w:val="1E6523AC"/>
    <w:rsid w:val="20F81F21"/>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A72771"/>
    <w:rsid w:val="4FFD4925"/>
    <w:rsid w:val="505C172E"/>
    <w:rsid w:val="506405EA"/>
    <w:rsid w:val="519D3E2C"/>
    <w:rsid w:val="52F46F0B"/>
    <w:rsid w:val="532B6A10"/>
    <w:rsid w:val="53AF6D76"/>
    <w:rsid w:val="53D8014D"/>
    <w:rsid w:val="55244AD3"/>
    <w:rsid w:val="55E064E0"/>
    <w:rsid w:val="568F58F7"/>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5A4370"/>
    <w:rsid w:val="69AC0D42"/>
    <w:rsid w:val="6AD9688B"/>
    <w:rsid w:val="6B5722FE"/>
    <w:rsid w:val="6D0E3F22"/>
    <w:rsid w:val="6F231725"/>
    <w:rsid w:val="73AD5CF9"/>
    <w:rsid w:val="73CD730C"/>
    <w:rsid w:val="744E4660"/>
    <w:rsid w:val="753355A2"/>
    <w:rsid w:val="759E2BC0"/>
    <w:rsid w:val="759F1C61"/>
    <w:rsid w:val="769F2DE8"/>
    <w:rsid w:val="76FDEB7C"/>
    <w:rsid w:val="79C65162"/>
    <w:rsid w:val="7A2F3914"/>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annotation text"/>
    <w:basedOn w:val="1"/>
    <w:qFormat/>
    <w:uiPriority w:val="0"/>
    <w:pPr>
      <w:jc w:val="left"/>
    </w:pPr>
  </w:style>
  <w:style w:type="paragraph" w:styleId="7">
    <w:name w:val="Body Text"/>
    <w:basedOn w:val="1"/>
    <w:qFormat/>
    <w:uiPriority w:val="0"/>
    <w:pPr>
      <w:ind w:leftChars="100" w:rightChars="100"/>
    </w:pPr>
    <w:rPr>
      <w:rFonts w:ascii="Calibri" w:hAnsi="Calibri" w:eastAsia="宋体" w:cs="Times New Roman"/>
    </w:rPr>
  </w:style>
  <w:style w:type="paragraph" w:styleId="8">
    <w:name w:val="Date"/>
    <w:basedOn w:val="1"/>
    <w:next w:val="1"/>
    <w:qFormat/>
    <w:uiPriority w:val="0"/>
    <w:rPr>
      <w:rFonts w:eastAsia="仿宋_GB2312"/>
      <w:sz w:val="32"/>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1">
    <w:name w:val="Body Text 2"/>
    <w:basedOn w:val="1"/>
    <w:unhideWhenUsed/>
    <w:qFormat/>
    <w:uiPriority w:val="99"/>
    <w:pPr>
      <w:spacing w:beforeLines="0" w:after="120" w:line="480" w:lineRule="auto"/>
    </w:pPr>
    <w:rPr>
      <w:rFonts w:hint="default"/>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正文缩进1"/>
    <w:basedOn w:val="1"/>
    <w:qFormat/>
    <w:uiPriority w:val="0"/>
    <w:pPr>
      <w:ind w:firstLine="420" w:firstLineChars="200"/>
    </w:pPr>
    <w:rPr>
      <w:rFonts w:ascii="Calibri" w:hAnsi="Calibri" w:cs="Times New Roman"/>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apple-converted-space"/>
    <w:basedOn w:val="15"/>
    <w:qFormat/>
    <w:uiPriority w:val="0"/>
  </w:style>
  <w:style w:type="paragraph" w:customStyle="1" w:styleId="24">
    <w:name w:val="默认段落字体 Para Char Char Char Char"/>
    <w:basedOn w:val="1"/>
    <w:qFormat/>
    <w:uiPriority w:val="0"/>
    <w:rPr>
      <w:rFonts w:ascii="Calibri" w:hAnsi="Calibri"/>
      <w:szCs w:val="22"/>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31"/>
    <w:basedOn w:val="15"/>
    <w:qFormat/>
    <w:uiPriority w:val="0"/>
    <w:rPr>
      <w:rFonts w:hint="eastAsia" w:ascii="方正仿宋_GBK" w:hAnsi="方正仿宋_GBK" w:eastAsia="方正仿宋_GBK" w:cs="方正仿宋_GBK"/>
      <w:color w:val="000000"/>
      <w:sz w:val="24"/>
      <w:szCs w:val="24"/>
      <w:u w:val="none"/>
    </w:rPr>
  </w:style>
  <w:style w:type="character" w:customStyle="1" w:styleId="27">
    <w:name w:val="font11"/>
    <w:basedOn w:val="15"/>
    <w:qFormat/>
    <w:uiPriority w:val="0"/>
    <w:rPr>
      <w:rFonts w:hint="default" w:ascii="Times New Roman" w:hAnsi="Times New Roman" w:cs="Times New Roman"/>
      <w:color w:val="000000"/>
      <w:sz w:val="24"/>
      <w:szCs w:val="24"/>
      <w:u w:val="none"/>
    </w:rPr>
  </w:style>
  <w:style w:type="character" w:customStyle="1" w:styleId="28">
    <w:name w:val="font01"/>
    <w:basedOn w:val="15"/>
    <w:qFormat/>
    <w:uiPriority w:val="0"/>
    <w:rPr>
      <w:rFonts w:hint="default" w:ascii="Times New Roman" w:hAnsi="Times New Roman" w:cs="Times New Roman"/>
      <w:color w:val="000000"/>
      <w:sz w:val="24"/>
      <w:szCs w:val="24"/>
      <w:u w:val="none"/>
    </w:rPr>
  </w:style>
  <w:style w:type="paragraph" w:customStyle="1" w:styleId="29">
    <w:name w:val="正文1"/>
    <w:basedOn w:val="1"/>
    <w:next w:val="1"/>
    <w:qFormat/>
    <w:uiPriority w:val="99"/>
    <w:pPr>
      <w:spacing w:before="156"/>
      <w:ind w:firstLine="668" w:firstLineChars="257"/>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4558</Words>
  <Characters>4694</Characters>
  <Lines>1</Lines>
  <Paragraphs>1</Paragraphs>
  <TotalTime>0</TotalTime>
  <ScaleCrop>false</ScaleCrop>
  <LinksUpToDate>false</LinksUpToDate>
  <CharactersWithSpaces>4720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2023-12-05T02:05:02Z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