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Toc83280718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劳动保障监察行政处理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决定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  <w:bookmarkEnd w:id="0"/>
    </w:p>
    <w:p>
      <w:pPr>
        <w:wordWrap w:val="0"/>
        <w:topLinePunct/>
        <w:spacing w:line="600" w:lineRule="exact"/>
        <w:jc w:val="right"/>
        <w:rPr>
          <w:rFonts w:hAnsi="方正仿宋_GBK" w:eastAsia="方正仿宋_GBK"/>
          <w:szCs w:val="32"/>
        </w:rPr>
      </w:pPr>
      <w:r>
        <w:rPr>
          <w:rFonts w:hint="eastAsia" w:eastAsia="方正仿宋_GBK"/>
          <w:szCs w:val="32"/>
          <w:u w:val="none"/>
          <w:lang w:eastAsia="zh-CN"/>
        </w:rPr>
        <w:t>长寿</w:t>
      </w:r>
      <w:r>
        <w:rPr>
          <w:rFonts w:hAnsi="方正仿宋_GBK" w:eastAsia="方正仿宋_GBK"/>
          <w:szCs w:val="32"/>
          <w:u w:val="none"/>
        </w:rPr>
        <w:t>人社监理〔</w:t>
      </w:r>
      <w:r>
        <w:rPr>
          <w:rFonts w:hint="eastAsia" w:hAnsi="方正仿宋_GBK" w:eastAsia="方正仿宋_GBK"/>
          <w:szCs w:val="32"/>
          <w:u w:val="none"/>
          <w:lang w:val="en-US" w:eastAsia="zh-CN"/>
        </w:rPr>
        <w:t>2023</w:t>
      </w:r>
      <w:r>
        <w:rPr>
          <w:rFonts w:hAnsi="方正仿宋_GBK" w:eastAsia="方正仿宋_GBK"/>
          <w:szCs w:val="32"/>
          <w:u w:val="none"/>
        </w:rPr>
        <w:t>〕</w:t>
      </w:r>
      <w:r>
        <w:rPr>
          <w:rFonts w:hint="eastAsia" w:hAnsi="方正仿宋_GBK" w:eastAsia="方正仿宋_GBK"/>
          <w:szCs w:val="32"/>
          <w:u w:val="none"/>
          <w:lang w:val="en-US" w:eastAsia="zh-CN"/>
        </w:rPr>
        <w:t>11</w:t>
      </w:r>
      <w:r>
        <w:rPr>
          <w:rFonts w:hAnsi="方正仿宋_GBK" w:eastAsia="方正仿宋_GBK"/>
          <w:szCs w:val="32"/>
          <w:u w:val="none"/>
        </w:rPr>
        <w:t>号</w:t>
      </w:r>
    </w:p>
    <w:p>
      <w:pPr>
        <w:spacing w:line="600" w:lineRule="exact"/>
        <w:rPr>
          <w:rFonts w:eastAsia="方正仿宋_GBK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7150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50pt;z-index:251660288;mso-width-relative:page;mso-height-relative:page;" filled="f" stroked="t" coordsize="21600,21600" o:gfxdata="UEsDBAoAAAAAAIdO4kAAAAAAAAAAAAAAAAAEAAAAZHJzL1BLAwQUAAAACACHTuJAWUBsIdEAAAAG&#10;AQAADwAAAGRycy9kb3ducmV2LnhtbE2PwU7DMAyG70h7h8iTuLFkg02lazpNTDwAhQPHrDFttcSp&#10;kmwrPD1GHODo77d+f652k3figjENgTQsFwoEUhvsQJ2Gt9fnuwJEyoascYFQwycm2NWzm8qUNlzp&#10;BS9N7gSXUCqNhj7nsZQytT16kxZhROLsI0RvMo+xkzaaK5d7J1dKbaQ3A/GF3oz41GN7as5eQxOU&#10;O0z7e9d8FQ/vh9AWY1wnrW/nS7UFkXHKf8vwo8/qULPTMZzJJuE08COZ6XoDgtNHpRgcf4GsK/lf&#10;v/4GUEsDBBQAAAAIAIdO4kDefzQP1AEAAHwDAAAOAAAAZHJzL2Uyb0RvYy54bWytU8GO0zAQvSPx&#10;D5bvNGmlBRQ13UNXy2WBSls+wLWdxFrbY9luk/4EP4DEDU4cufM3LJ/B2E3KsntD9DCqPTPPb96b&#10;LC8Ho8lB+qDA1nQ+KymRloNQtq3ph+31i9eUhMisYBqsrOlRBnq5ev5s2btKLqADLaQnCGJD1bua&#10;djG6qigC76RhYQZOWkw24A2LePRtITzrEd3oYlGWL4sevHAeuAwBb69OSbrK+E0jeXzfNEFGomuK&#10;3GKOPsddisVqyarWM9cpPtJg/8DCMGXx0TPUFYuM7L16AmUU9xCgiTMOpoCmUVzmGXCaeflomtuO&#10;OZlnQXGCO8sU/h8sf3fYeKJETReUWGbQovtP339+/PLrx2eM99++kkUSqXehwtq13fg0Jh/srbsB&#10;fheIhXXHbCsz2e3RIcI8dRR/taRDcPjUrn8LAmvYPkJWbGi8SZCoBRmyMcezMXKIhOPlxav5RVmi&#10;f3zKFayaGp0P8Y0EQ9Kfmmplk2asYoebEBMRVk0l6drCtdI6+64t6UdwhDYOVYi4B3fbbnQzgFYi&#10;lafG4NvdWntyYGmX8i/PiZmHZR72Vpye1Tb1ybyGI5dJh5OiOxDHjZ/EQosz23Ed0w49PGdJ/3w0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ZQGwh0QAAAAYBAAAPAAAAAAAAAAEAIAAAACIAAABk&#10;cnMvZG93bnJldi54bWxQSwECFAAUAAAACACHTuJA3n80D9QBAAB8AwAADgAAAAAAAAABACAAAAAg&#10;AQAAZHJzL2Uyb0RvYy54bWxQSwUGAAAAAAYABgBZAQAAZgUAAAAA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topLinePunct/>
        <w:spacing w:line="60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被处理单位：</w:t>
      </w:r>
      <w:r>
        <w:rPr>
          <w:rFonts w:hint="eastAsia" w:hAnsi="方正仿宋_GBK" w:eastAsia="方正仿宋_GBK"/>
          <w:szCs w:val="32"/>
          <w:lang w:eastAsia="zh-CN"/>
        </w:rPr>
        <w:t>重庆水泰建筑工程有限公司</w:t>
      </w:r>
    </w:p>
    <w:p>
      <w:pPr>
        <w:wordWrap w:val="0"/>
        <w:spacing w:line="520" w:lineRule="exact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统一社会信用代码：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91500108MA6041ET9J</w:t>
      </w:r>
    </w:p>
    <w:p>
      <w:pPr>
        <w:wordWrap w:val="0"/>
        <w:topLinePunct/>
        <w:spacing w:line="60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法定代表人：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李昂</w:t>
      </w:r>
    </w:p>
    <w:p>
      <w:pPr>
        <w:wordWrap w:val="0"/>
        <w:topLinePunct/>
        <w:spacing w:line="600" w:lineRule="exact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单位地址：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重庆市南岸区南坪西路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32号19幢22-1号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经查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实</w:t>
      </w:r>
      <w:r>
        <w:rPr>
          <w:rFonts w:hint="eastAsia" w:ascii="方正仿宋_GBK" w:hAnsi="方正仿宋_GBK" w:eastAsia="方正仿宋_GBK" w:cs="方正仿宋_GBK"/>
          <w:szCs w:val="32"/>
        </w:rPr>
        <w:t>，</w:t>
      </w:r>
      <w:r>
        <w:rPr>
          <w:rFonts w:hint="eastAsia" w:ascii="方正仿宋_GBK" w:hAnsi="方正仿宋_GBK" w:eastAsia="方正仿宋_GBK" w:cs="方正仿宋_GBK"/>
          <w:szCs w:val="30"/>
          <w:lang w:eastAsia="zh-CN"/>
        </w:rPr>
        <w:t>你公司在重庆建工第二建设有限公司承接的长寿泽京</w:t>
      </w:r>
      <w:r>
        <w:rPr>
          <w:rFonts w:hint="eastAsia" w:ascii="方正仿宋_GBK" w:hAnsi="方正仿宋_GBK" w:eastAsia="方正仿宋_GBK" w:cs="方正仿宋_GBK"/>
          <w:szCs w:val="30"/>
          <w:lang w:val="en-US" w:eastAsia="zh-CN"/>
        </w:rPr>
        <w:t>·铂宸项目挖孔桩工程，</w:t>
      </w:r>
      <w:r>
        <w:rPr>
          <w:rFonts w:hint="eastAsia" w:ascii="方正仿宋_GBK" w:hAnsi="方正仿宋_GBK" w:eastAsia="方正仿宋_GBK" w:cs="方正仿宋_GBK"/>
          <w:szCs w:val="30"/>
          <w:lang w:eastAsia="zh-CN"/>
        </w:rPr>
        <w:t>拖欠张建等</w:t>
      </w:r>
      <w:r>
        <w:rPr>
          <w:rFonts w:hint="eastAsia" w:ascii="方正仿宋_GBK" w:hAnsi="方正仿宋_GBK" w:eastAsia="方正仿宋_GBK" w:cs="方正仿宋_GBK"/>
          <w:szCs w:val="30"/>
          <w:lang w:val="en-US" w:eastAsia="zh-CN"/>
        </w:rPr>
        <w:t>23人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工资共计22</w:t>
      </w:r>
      <w:r>
        <w:rPr>
          <w:rFonts w:hint="eastAsia" w:ascii="方正仿宋_GBK" w:hAnsi="方正仿宋_GBK" w:eastAsia="方正仿宋_GBK" w:cs="方正仿宋_GBK"/>
          <w:color w:val="auto"/>
          <w:szCs w:val="30"/>
          <w:lang w:val="en-US" w:eastAsia="zh-CN"/>
        </w:rPr>
        <w:t>0000</w:t>
      </w:r>
      <w:r>
        <w:rPr>
          <w:rFonts w:hint="eastAsia" w:ascii="方正仿宋_GBK" w:hAnsi="方正仿宋_GBK" w:eastAsia="方正仿宋_GBK" w:cs="方正仿宋_GBK"/>
          <w:szCs w:val="30"/>
          <w:lang w:val="en-US" w:eastAsia="zh-CN"/>
        </w:rPr>
        <w:t>元（大写：人民币贰拾贰万元整）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以上事实有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《营业执照》、《农民工工资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》、《劳动保障监察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调查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询问笔录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》、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《身份证复印件》等证据证明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36" w:firstLineChars="199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你单位的上述行为违反了《保障农民工工资支付条例》第三条“农民工有按时足额获得工资的权利。任何单位和个人不得拖欠农民工工资”之规定。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636" w:firstLineChars="199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年7月26日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，我局向你单位邮寄《劳动保障监察行政处理告知书》（长寿人社监理告〔2023〕12号），你单位于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2023年7月27日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签收，你单位未在法定时限内提出陈述申辩和听证的申请。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根据《保障农民工工资支付条例》第十六条、《劳动保障监察条例》第十八条第一款第（二）项的规定，我局作出如下处理决定：责令重庆水泰建筑工程有限公司在收到本决定书之日起5个工作日内支付张建等23人</w:t>
      </w:r>
      <w:r>
        <w:rPr>
          <w:rFonts w:hint="eastAsia" w:ascii="方正仿宋_GBK" w:hAnsi="方正仿宋_GBK" w:eastAsia="方正仿宋_GBK" w:cs="方正仿宋_GBK"/>
          <w:i w:val="0"/>
          <w:color w:val="000000"/>
          <w:spacing w:val="0"/>
          <w:sz w:val="32"/>
          <w:szCs w:val="32"/>
        </w:rPr>
        <w:t>工资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共计220000元（大写：人民币贰拾贰万元整）。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如对本行政处理决定不服，可在接到本行政处理决定书之日起60日内向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重庆市长寿区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人民政府申请行政复议，也可在六个月内直接向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重庆市长寿区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人民法院提起行政诉讼。逾期不申请行政复议、不起诉又不执行本行政处理决定的，我局将申请人民法院强制执行。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outlineLvl w:val="9"/>
        <w:rPr>
          <w:rFonts w:hAnsi="方正仿宋_GBK"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firstLine="3520" w:firstLineChars="1100"/>
        <w:jc w:val="left"/>
        <w:textAlignment w:val="auto"/>
        <w:outlineLvl w:val="9"/>
        <w:rPr>
          <w:rFonts w:hint="eastAsia" w:eastAsia="方正仿宋_GBK"/>
          <w:szCs w:val="32"/>
          <w:lang w:eastAsia="zh-CN"/>
        </w:rPr>
      </w:pPr>
      <w:r>
        <w:rPr>
          <w:rFonts w:hint="eastAsia" w:hAnsi="方正仿宋_GBK" w:eastAsia="方正仿宋_GBK"/>
          <w:szCs w:val="32"/>
          <w:lang w:eastAsia="zh-CN"/>
        </w:rPr>
        <w:t>重庆市长寿区</w:t>
      </w:r>
      <w:r>
        <w:rPr>
          <w:rFonts w:eastAsia="方正仿宋_GBK"/>
          <w:kern w:val="0"/>
          <w:szCs w:val="32"/>
        </w:rPr>
        <w:t>人力资源和社会保障</w:t>
      </w:r>
      <w:r>
        <w:rPr>
          <w:rFonts w:hint="eastAsia" w:eastAsia="方正仿宋_GBK"/>
          <w:kern w:val="0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outlineLvl w:val="9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 xml:space="preserve"> </w:t>
      </w:r>
      <w:r>
        <w:rPr>
          <w:rFonts w:eastAsia="方正仿宋_GBK"/>
          <w:szCs w:val="32"/>
        </w:rPr>
        <w:t xml:space="preserve">   </w:t>
      </w:r>
      <w:r>
        <w:rPr>
          <w:rFonts w:hint="eastAsia" w:eastAsia="方正仿宋_GBK"/>
          <w:szCs w:val="32"/>
          <w:lang w:val="en-US" w:eastAsia="zh-CN"/>
        </w:rPr>
        <w:t xml:space="preserve">                       2023</w:t>
      </w:r>
      <w:r>
        <w:rPr>
          <w:rFonts w:hAnsi="方正仿宋_GBK" w:eastAsia="方正仿宋_GBK"/>
          <w:szCs w:val="32"/>
        </w:rPr>
        <w:t>年</w:t>
      </w:r>
      <w:r>
        <w:rPr>
          <w:rFonts w:hint="eastAsia" w:hAnsi="方正仿宋_GBK" w:eastAsia="方正仿宋_GBK"/>
          <w:szCs w:val="32"/>
          <w:lang w:val="en-US" w:eastAsia="zh-CN"/>
        </w:rPr>
        <w:t>8</w:t>
      </w:r>
      <w:r>
        <w:rPr>
          <w:rFonts w:hAnsi="方正仿宋_GBK" w:eastAsia="方正仿宋_GBK"/>
          <w:color w:val="auto"/>
          <w:szCs w:val="32"/>
        </w:rPr>
        <w:t>月</w:t>
      </w:r>
      <w:r>
        <w:rPr>
          <w:rFonts w:hint="eastAsia" w:hAnsi="方正仿宋_GBK" w:eastAsia="方正仿宋_GBK"/>
          <w:color w:val="auto"/>
          <w:szCs w:val="32"/>
          <w:lang w:val="en-US" w:eastAsia="zh-CN"/>
        </w:rPr>
        <w:t>8</w:t>
      </w:r>
      <w:r>
        <w:rPr>
          <w:rFonts w:hAnsi="方正仿宋_GBK" w:eastAsia="方正仿宋_GBK"/>
          <w:color w:val="auto"/>
          <w:szCs w:val="32"/>
        </w:rPr>
        <w:t>日</w:t>
      </w:r>
      <w:r>
        <w:rPr>
          <w:rFonts w:eastAsia="方正仿宋_GBK"/>
          <w:szCs w:val="32"/>
        </w:rPr>
        <w:t xml:space="preserve"> </w:t>
      </w:r>
    </w:p>
    <w:p>
      <w:pPr>
        <w:rPr>
          <w:rFonts w:eastAsia="方正仿宋_GBK"/>
          <w:szCs w:val="32"/>
        </w:rPr>
      </w:pPr>
    </w:p>
    <w:p/>
    <w:sectPr>
      <w:footerReference r:id="rId3" w:type="default"/>
      <w:pgSz w:w="11906" w:h="16838"/>
      <w:pgMar w:top="1984" w:right="1446" w:bottom="1531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EU-HZ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H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11EEC"/>
    <w:rsid w:val="028E1FA1"/>
    <w:rsid w:val="02F108E7"/>
    <w:rsid w:val="083E60E4"/>
    <w:rsid w:val="08F36022"/>
    <w:rsid w:val="093473C1"/>
    <w:rsid w:val="0A63385F"/>
    <w:rsid w:val="121466FA"/>
    <w:rsid w:val="137664AC"/>
    <w:rsid w:val="15201F97"/>
    <w:rsid w:val="15911EEC"/>
    <w:rsid w:val="16C5655A"/>
    <w:rsid w:val="1C022558"/>
    <w:rsid w:val="1D804010"/>
    <w:rsid w:val="1DB11736"/>
    <w:rsid w:val="1FD360A9"/>
    <w:rsid w:val="265D3178"/>
    <w:rsid w:val="26F54A7B"/>
    <w:rsid w:val="27264E4E"/>
    <w:rsid w:val="299F2E69"/>
    <w:rsid w:val="29B46BAA"/>
    <w:rsid w:val="2B285C0F"/>
    <w:rsid w:val="30275D7E"/>
    <w:rsid w:val="30815934"/>
    <w:rsid w:val="309B1876"/>
    <w:rsid w:val="311662CB"/>
    <w:rsid w:val="319818DA"/>
    <w:rsid w:val="38630D8D"/>
    <w:rsid w:val="38984E8B"/>
    <w:rsid w:val="38A901FC"/>
    <w:rsid w:val="3E7A4472"/>
    <w:rsid w:val="42980EEF"/>
    <w:rsid w:val="48472C4A"/>
    <w:rsid w:val="49080BDE"/>
    <w:rsid w:val="4C342E97"/>
    <w:rsid w:val="4F9951F3"/>
    <w:rsid w:val="4FFE43DA"/>
    <w:rsid w:val="511C1286"/>
    <w:rsid w:val="514609E0"/>
    <w:rsid w:val="5A721F4F"/>
    <w:rsid w:val="5AC52946"/>
    <w:rsid w:val="5E281E0C"/>
    <w:rsid w:val="5ECA0AE4"/>
    <w:rsid w:val="5F7F091A"/>
    <w:rsid w:val="636915B6"/>
    <w:rsid w:val="650F0592"/>
    <w:rsid w:val="65DE43A6"/>
    <w:rsid w:val="67B24258"/>
    <w:rsid w:val="6AE23FE0"/>
    <w:rsid w:val="6B413AAA"/>
    <w:rsid w:val="6BD75B99"/>
    <w:rsid w:val="6E180DC3"/>
    <w:rsid w:val="7487739B"/>
    <w:rsid w:val="7604396B"/>
    <w:rsid w:val="78291AA4"/>
    <w:rsid w:val="78D840E8"/>
    <w:rsid w:val="7A1217A9"/>
    <w:rsid w:val="7CB9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2022-01-28T06:39:00Z</dcterms:created>
  <dc:creator>Administrator</dc:creator>
  <cp:lastModifiedBy>NTKO</cp:lastModifiedBy>
  <cp:lastPrinted>2023-06-30T09:53:00Z</cp:lastPrinted>
  <dcterms:modified xsi:type="dcterms:W3CDTF">2023-10-25T09:10:03Z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2FFF07511F464E1C8409F99FBBD94FD6</vt:lpwstr>
  </property>
</Properties>
</file>