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00"/>
        <w:gridCol w:w="1310"/>
        <w:gridCol w:w="1344"/>
        <w:gridCol w:w="954"/>
        <w:gridCol w:w="2450"/>
        <w:gridCol w:w="3970"/>
        <w:gridCol w:w="972"/>
        <w:gridCol w:w="1485"/>
        <w:gridCol w:w="954"/>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8" w:hRule="atLeast"/>
        </w:trPr>
        <w:tc>
          <w:tcPr>
            <w:tcW w:w="14893"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重庆市长寿区民政局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20" w:hRule="atLeast"/>
        </w:trPr>
        <w:tc>
          <w:tcPr>
            <w:tcW w:w="14893"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36"/>
                <w:szCs w:val="36"/>
                <w:u w:val="none"/>
              </w:rPr>
            </w:pPr>
            <w:r>
              <w:rPr>
                <w:rFonts w:hint="eastAsia" w:ascii="方正小标宋_GBK" w:hAnsi="方正小标宋_GBK" w:eastAsia="方正小标宋_GBK" w:cs="方正小标宋_GBK"/>
                <w:b/>
                <w:i w:val="0"/>
                <w:color w:val="000000"/>
                <w:kern w:val="0"/>
                <w:sz w:val="36"/>
                <w:szCs w:val="36"/>
                <w:u w:val="none"/>
                <w:lang w:val="en-US" w:eastAsia="zh-CN" w:bidi="ar"/>
              </w:rPr>
              <w:t>关于长民政罚（2021）3号行政处罚决定（重庆兰梅养老服务有限公司）信息的公示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序号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决定文号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案由</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执法机关</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执法对象</w:t>
            </w:r>
          </w:p>
        </w:tc>
        <w:tc>
          <w:tcPr>
            <w:tcW w:w="39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处罚依据</w:t>
            </w:r>
          </w:p>
        </w:tc>
        <w:tc>
          <w:tcPr>
            <w:tcW w:w="97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执法结论</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决定日期</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执法类别</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8"/>
                <w:szCs w:val="28"/>
                <w:u w:val="none"/>
              </w:rPr>
            </w:pPr>
            <w:r>
              <w:rPr>
                <w:rFonts w:hint="eastAsia" w:ascii="方正黑体_GBK" w:hAnsi="方正黑体_GBK" w:eastAsia="方正黑体_GBK" w:cs="方正黑体_GBK"/>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trPr>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1</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2021年3号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机构未按照与老人签到的合同提供相应护理记录</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重庆市长寿区民政局</w:t>
            </w: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0"/>
                <w:szCs w:val="20"/>
                <w:u w:val="none"/>
                <w:lang w:eastAsia="zh-CN"/>
              </w:rPr>
            </w:pPr>
            <w:r>
              <w:rPr>
                <w:rFonts w:hint="eastAsia" w:ascii="方正仿宋_GBK" w:hAnsi="方正仿宋_GBK" w:eastAsia="方正仿宋_GBK" w:cs="方正仿宋_GBK"/>
                <w:i w:val="0"/>
                <w:color w:val="000000"/>
                <w:sz w:val="20"/>
                <w:szCs w:val="20"/>
                <w:u w:val="none"/>
                <w:lang w:eastAsia="zh-CN"/>
              </w:rPr>
              <w:t>重庆兰梅养老服务有限公司</w:t>
            </w:r>
          </w:p>
        </w:tc>
        <w:tc>
          <w:tcPr>
            <w:tcW w:w="3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依据《养老机构管理办法》 第四十六条 养老机下列行为之一的，由民政部门责令改正，给予警告；情节严重的，处以3</w:t>
            </w:r>
            <w:bookmarkStart w:id="0" w:name="_GoBack"/>
            <w:bookmarkEnd w:id="0"/>
            <w:r>
              <w:rPr>
                <w:rFonts w:hint="eastAsia" w:ascii="方正仿宋_GBK" w:hAnsi="方正仿宋_GBK" w:eastAsia="方正仿宋_GBK" w:cs="方正仿宋_GBK"/>
                <w:i w:val="0"/>
                <w:color w:val="000000"/>
                <w:kern w:val="0"/>
                <w:sz w:val="24"/>
                <w:szCs w:val="24"/>
                <w:u w:val="none"/>
                <w:lang w:val="en-US" w:eastAsia="zh-CN" w:bidi="ar"/>
              </w:rPr>
              <w:t>万元以下的罚款“（二）</w:t>
            </w:r>
            <w:r>
              <w:rPr>
                <w:rFonts w:hint="default" w:ascii="方正仿宋_GBK" w:hAnsi="方正仿宋_GBK" w:eastAsia="方正仿宋_GBK" w:cs="方正仿宋_GBK"/>
                <w:i w:val="0"/>
                <w:color w:val="000000"/>
                <w:kern w:val="0"/>
                <w:sz w:val="24"/>
                <w:szCs w:val="24"/>
                <w:u w:val="none"/>
                <w:lang w:val="en-US" w:eastAsia="zh-CN" w:bidi="ar"/>
              </w:rPr>
              <w:t>未与老年人或者其代理人签订服务协议，或者未按照协议约定提供服务的；</w:t>
            </w:r>
            <w:r>
              <w:rPr>
                <w:rFonts w:hint="eastAsia" w:ascii="方正仿宋_GBK" w:hAnsi="方正仿宋_GBK" w:eastAsia="方正仿宋_GBK" w:cs="方正仿宋_GBK"/>
                <w:i w:val="0"/>
                <w:color w:val="000000"/>
                <w:kern w:val="0"/>
                <w:sz w:val="24"/>
                <w:szCs w:val="24"/>
                <w:u w:val="none"/>
                <w:lang w:val="en-US" w:eastAsia="zh-CN" w:bidi="ar"/>
              </w:rPr>
              <w:t>”的规定。</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罚款500元</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000000"/>
                <w:sz w:val="24"/>
                <w:szCs w:val="24"/>
                <w:u w:val="none"/>
                <w:lang w:val="en-US"/>
              </w:rPr>
            </w:pPr>
            <w:r>
              <w:rPr>
                <w:rFonts w:hint="eastAsia" w:ascii="方正仿宋_GBK" w:hAnsi="方正仿宋_GBK" w:eastAsia="方正仿宋_GBK" w:cs="方正仿宋_GBK"/>
                <w:i w:val="0"/>
                <w:color w:val="000000"/>
                <w:kern w:val="0"/>
                <w:sz w:val="24"/>
                <w:szCs w:val="24"/>
                <w:u w:val="none"/>
                <w:lang w:val="en-US" w:eastAsia="zh-CN" w:bidi="ar"/>
              </w:rPr>
              <w:t>2021.9.29</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行政处罚</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简易程序处罚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2" w:hRule="atLeast"/>
        </w:trPr>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23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sz w:val="24"/>
                <w:szCs w:val="24"/>
                <w:u w:val="none"/>
              </w:rPr>
              <w:t>91500115MA5UPY0Y0K</w:t>
            </w:r>
          </w:p>
        </w:tc>
        <w:tc>
          <w:tcPr>
            <w:tcW w:w="3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方正仿宋_GBK" w:hAnsi="方正仿宋_GBK" w:eastAsia="方正仿宋_GBK" w:cs="方正仿宋_GBK"/>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trPr>
        <w:tc>
          <w:tcPr>
            <w:tcW w:w="14893"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4"/>
                <w:szCs w:val="24"/>
                <w:u w:val="none"/>
              </w:rPr>
            </w:pPr>
            <w:r>
              <w:rPr>
                <w:rStyle w:val="4"/>
                <w:lang w:val="en-US" w:eastAsia="zh-CN" w:bidi="ar"/>
              </w:rPr>
              <w:t>说明：1.</w:t>
            </w:r>
            <w:r>
              <w:rPr>
                <w:rStyle w:val="5"/>
                <w:lang w:val="en-US" w:eastAsia="zh-CN" w:bidi="ar"/>
              </w:rPr>
              <w:t>行政许可、行政处罚决定作出之日起7个工作日内，其他执法决定作出之日起20个工作日内，作出决定的行政执法机关要主动在区政府网站“行政执法”专栏向社会公布执法机关、执法对象、执法类别、执法结论等信息，接受社会监督，法律、行政法规另有规定的除外。2.行政执法机关的上级主管部门对本部门执法结果信息公示有特别要求的，按照其要求执行。3.涉及国家秘密、商业秘密、个人隐私等不宜公开的信息，依法确须公开的，要作适当处理后公开。</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5025F"/>
    <w:rsid w:val="17D9528D"/>
    <w:rsid w:val="1AF10D54"/>
    <w:rsid w:val="3D15025F"/>
    <w:rsid w:val="60D7006C"/>
    <w:rsid w:val="652B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方正仿宋_GBK" w:hAnsi="方正仿宋_GBK" w:eastAsia="方正仿宋_GBK" w:cs="方正仿宋_GBK"/>
      <w:b/>
      <w:color w:val="000000"/>
      <w:sz w:val="24"/>
      <w:szCs w:val="24"/>
      <w:u w:val="none"/>
    </w:rPr>
  </w:style>
  <w:style w:type="character" w:customStyle="1" w:styleId="5">
    <w:name w:val="font21"/>
    <w:basedOn w:val="3"/>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2021-06-30T08:59:00Z</dcterms:created>
  <dc:creator>Administrator</dc:creator>
  <cp:lastModifiedBy>郭　蓉</cp:lastModifiedBy>
  <dcterms:modified xsi:type="dcterms:W3CDTF">2021-12-22T09:49:29Z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