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重庆市长寿区民政局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重庆市长寿区财政局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关于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进一步做好困难群众基本生活保障工作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长民政</w:t>
      </w:r>
      <w:r>
        <w:rPr>
          <w:rFonts w:eastAsia="方正仿宋_GBK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2020</w:t>
      </w:r>
      <w:r>
        <w:rPr>
          <w:rFonts w:eastAsia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150</w:t>
      </w:r>
      <w:r>
        <w:rPr>
          <w:rFonts w:eastAsia="方正仿宋_GBK"/>
          <w:sz w:val="32"/>
          <w:szCs w:val="32"/>
          <w:highlight w:val="none"/>
        </w:rPr>
        <w:t>号</w:t>
      </w:r>
    </w:p>
    <w:bookmarkEnd w:id="0"/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ascii="方正仿宋_GBK" w:eastAsia="方正仿宋_GBK"/>
          <w:kern w:val="32"/>
          <w:sz w:val="32"/>
          <w:szCs w:val="32"/>
          <w:highlight w:val="none"/>
        </w:rPr>
      </w:pPr>
      <w:r>
        <w:rPr>
          <w:rFonts w:hint="eastAsia" w:ascii="方正仿宋_GBK" w:eastAsia="方正仿宋_GBK"/>
          <w:kern w:val="32"/>
          <w:sz w:val="32"/>
          <w:szCs w:val="32"/>
          <w:highlight w:val="none"/>
        </w:rPr>
        <w:t>各街道办事处、镇人民政府：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atLeast"/>
        <w:ind w:left="40" w:right="1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 xml:space="preserve">    为确保符合条件的城乡困难家庭应保尽保，及时将受疫情影响陷入困境的人员纳入救助范围，切实保障困难群众基本生活，按照《重庆市民政局 重庆市财政局关于进一步做好困难群众基本生活保障工作的通知》（渝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民发〔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2020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19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号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）要求，现就有关事项通知如下：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黑体_GBK" w:hAnsi="方正黑体_GBK" w:eastAsia="方正黑体_GBK" w:cs="方正黑体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highlight w:val="none"/>
          <w:shd w:val="clear" w:color="auto" w:fill="FFFFFF"/>
        </w:rPr>
        <w:t>一、适度扩大基本生活保障覆盖范围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highlight w:val="none"/>
          <w:shd w:val="clear" w:color="auto" w:fill="FFFFFF"/>
        </w:rPr>
        <w:t>（一）加大最低生活保障力度。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在坚持现有标准、确保低保制度持续平稳运行的基础上，适度扩大低保覆盖范围。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对低收入家庭中重残人员、重病患者等特殊困难人员，经本人申请，参照“单人户”纳入低保（已成年且丧失劳动能力的残疾人或重病患者申请低保，仍按原分户政策执行）。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低收入家庭一般是指家庭人均收入高于低保标准，但低于低保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标准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倍，且财产状况符合相关规定的低保边缘家庭；重残人员是指持有中华人民共和国残疾人证的一级、二级重度残疾人，以及三级智力、精神残疾人；重病患者是指患有有关部门认定的重特大疾病的人员。对无法外出务工、经营、就业，导致收入下降、基本生活出现困难的城乡居民，凡符合低保条件的，要全部纳入低保范围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highlight w:val="none"/>
          <w:shd w:val="clear" w:color="auto" w:fill="FFFFFF"/>
        </w:rPr>
        <w:t>（二）强化临时救助功能。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加强对生活困难未参保失业人员的救助帮扶，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对受疫情影响无法返岗复工、连续三个月无收入来源，生活困难且失业保险政策无法覆盖的农民工等未参保失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业人员，未纳入低保范围的，经本人申请，由经常居住地发放一次性临时救助金，帮助其渡过生活难关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发放标准参照长寿府办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发〔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2018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197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号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文件生活困难救助规定，由各街镇根据救助保障需求和疫情影响情况给予不超过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1000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元的一次性生活救助，特殊情形最高给予不超过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2000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元的一次性生活救助。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坚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持凡困必帮、有难必救，对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其他基本生活受到疫情影响陷入困境，相关社会救助和保障制度暂时无法覆盖的家庭或个人，及时纳入临时救助范围。对遭遇重大生活困难的，可采取“一事一议”方式提高救助额度。积极开展“先行救助”，及时启动乡镇（街道）临时救助备用金制度，救助后应按规定补齐审核审批手续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highlight w:val="none"/>
          <w:shd w:val="clear" w:color="auto" w:fill="FFFFFF"/>
        </w:rPr>
        <w:t>（三）提高特困供养服务水平。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适当扩大特困人员救助供养范围，将特困人员救助供养覆盖的未成年人年龄从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16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周岁延长至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18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周岁。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增强</w:t>
      </w:r>
      <w:r>
        <w:rPr>
          <w:rFonts w:hint="eastAsia" w:eastAsia="方正仿宋_GBK"/>
          <w:color w:val="333333"/>
          <w:sz w:val="32"/>
          <w:szCs w:val="32"/>
          <w:highlight w:val="none"/>
          <w:shd w:val="clear" w:color="auto" w:fill="FFFFFF"/>
        </w:rPr>
        <w:t>特困人员供养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服务机构集中供养能力，</w:t>
      </w:r>
      <w:r>
        <w:rPr>
          <w:rFonts w:hint="eastAsia" w:eastAsia="方正仿宋_GBK"/>
          <w:color w:val="333333"/>
          <w:sz w:val="32"/>
          <w:szCs w:val="32"/>
          <w:highlight w:val="none"/>
          <w:shd w:val="clear" w:color="auto" w:fill="FFFFFF"/>
        </w:rPr>
        <w:t>加大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特困人员供养服务机构建设和设施改造，确保有集中供养意愿的特困人员集中供养率达到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100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%。严格落实供养服务机构服务保障、安全管理等规定，不断提高集中供养服务质量。加强分散供养特困人员照料服务，落实分散供养特困人员照料服务人</w:t>
      </w:r>
      <w:r>
        <w:rPr>
          <w:rFonts w:hint="eastAsia" w:eastAsia="方正仿宋_GBK"/>
          <w:color w:val="333333"/>
          <w:sz w:val="32"/>
          <w:szCs w:val="32"/>
          <w:highlight w:val="none"/>
          <w:shd w:val="clear" w:color="auto" w:fill="FFFFFF"/>
        </w:rPr>
        <w:t>员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，签订</w:t>
      </w:r>
      <w:r>
        <w:rPr>
          <w:rFonts w:hint="eastAsia" w:eastAsia="方正仿宋_GBK"/>
          <w:color w:val="333333"/>
          <w:sz w:val="32"/>
          <w:szCs w:val="32"/>
          <w:highlight w:val="none"/>
          <w:shd w:val="clear" w:color="auto" w:fill="FFFFFF"/>
        </w:rPr>
        <w:t>委托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照料服务协议，督促照料服务人员认真履行照料服务协议，全面落实各项照料服务，照顾好特困人员日常生活。加强对分散供养特困人员的探访，及时了解疫情对特困人员生活的影响，重点跟踪关注高龄、重度残疾等生活不能自理特困人员，帮助解决实际困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黑体_GBK" w:hAnsi="方正黑体_GBK" w:eastAsia="方正黑体_GBK" w:cs="方正黑体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highlight w:val="none"/>
          <w:shd w:val="clear" w:color="auto" w:fill="FFFFFF"/>
        </w:rPr>
        <w:t>二、加强贫困人口摸底排查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  <w:shd w:val="clear" w:color="auto" w:fill="FFFFFF"/>
        </w:rPr>
      </w:pP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扎实推进社会救助兜底脱贫工作，健全完善监测预警机制，密切关注未脱贫人口和收入不稳定、持续增收能力较弱、返贫风险较高的已脱贫人口，以及建档立卡边缘人口。各</w:t>
      </w:r>
      <w:r>
        <w:rPr>
          <w:rFonts w:hint="eastAsia" w:eastAsia="方正仿宋_GBK"/>
          <w:color w:val="333333"/>
          <w:sz w:val="32"/>
          <w:szCs w:val="32"/>
          <w:highlight w:val="none"/>
          <w:shd w:val="clear" w:color="auto" w:fill="FFFFFF"/>
        </w:rPr>
        <w:t>街镇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民政部门要加强与扶贫部门的数据比对，逐户逐人摸底排查，及时将符合条件的贫困人口纳入农村低保、特困人员救助供养或临时救助覆盖范围，确保兜底保障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“不漏一户、不落一人”。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严格落实贫困人口低保渐退制度，对已脱贫的扶贫对象家庭中人均收入超过当地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低保标准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，且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低于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2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倍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低保标准的低保对象，给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color="auto" w:fill="FFFFFF"/>
        </w:rPr>
        <w:t>6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个月的渐退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期，巩固脱贫成果。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highlight w:val="none"/>
          <w:shd w:val="clear" w:color="auto" w:fill="FFFFFF"/>
        </w:rPr>
        <w:t>三、优化社会救助工作流程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简化优化低保、特困人员救助供养和临时救助审核审批流程，全面推进社会救助“一门受理、协同办理”工作机制，充分</w:t>
      </w:r>
      <w:r>
        <w:rPr>
          <w:rFonts w:eastAsia="方正仿宋_GBK"/>
          <w:color w:val="333333"/>
          <w:sz w:val="32"/>
          <w:szCs w:val="32"/>
          <w:highlight w:val="none"/>
          <w:shd w:val="clear" w:color="auto" w:fill="FFFFFF"/>
        </w:rPr>
        <w:t>运用APP、全流程网上办理等方式快速办理救助申请。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科学调整入户调查、民主评议和张榜公示等形式。加强社会救助家庭经济状况核对机制建设，积极开展社会救助信息共享与数据比对。强化主动发现机制，畅通社会救助服务热线，采取多种方式加强政策宣传，提高群众知晓度，确保困难群众“求助有门、受助及时”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highlight w:val="none"/>
          <w:shd w:val="clear" w:color="auto" w:fill="FFFFFF"/>
        </w:rPr>
        <w:t>四、加强组织领导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shd w:val="clear" w:color="auto" w:fill="FFFFFF"/>
        </w:rPr>
        <w:t>各街镇要加强组织领导，落实属地责任，提高资金使用绩效，扎实做好低保、临时救助和特困人员救助供养工作，坚决守住民生底线，防止发生冲击社会道德底线事件。强化工作监督和资金监管，加大信息公开力度，按规定向社会公布社会救助相关事项，不断提高工作透明度。持续深化农村低保专项治理，聚焦“漏保”、形式主义、官僚主义、资金监管不力等问题重点发力，坚决防止“兜不住底”的情况发生。落实“三个区分开来”要求，建立容错纠错机制，激励基层干部担当作为，对非主观原因导致不符合条件人员纳入救助帮扶范围的，可免予追究相关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atLeast"/>
        <w:ind w:firstLine="320" w:firstLineChars="1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重庆市</w:t>
      </w:r>
      <w:r>
        <w:rPr>
          <w:rFonts w:hint="eastAsia" w:eastAsia="方正仿宋_GBK"/>
          <w:sz w:val="32"/>
          <w:szCs w:val="32"/>
          <w:highlight w:val="none"/>
        </w:rPr>
        <w:t>长寿区</w:t>
      </w:r>
      <w:r>
        <w:rPr>
          <w:rFonts w:eastAsia="方正仿宋_GBK"/>
          <w:sz w:val="32"/>
          <w:szCs w:val="32"/>
          <w:highlight w:val="none"/>
        </w:rPr>
        <w:t>民政局</w:t>
      </w:r>
      <w:r>
        <w:rPr>
          <w:rFonts w:hint="eastAsia" w:eastAsia="方正仿宋_GBK"/>
          <w:sz w:val="32"/>
          <w:szCs w:val="32"/>
          <w:highlight w:val="none"/>
        </w:rPr>
        <w:t xml:space="preserve">           </w:t>
      </w:r>
      <w:r>
        <w:rPr>
          <w:rFonts w:eastAsia="方正仿宋_GBK"/>
          <w:sz w:val="32"/>
          <w:szCs w:val="32"/>
          <w:highlight w:val="none"/>
        </w:rPr>
        <w:t>重庆市</w:t>
      </w:r>
      <w:r>
        <w:rPr>
          <w:rFonts w:hint="eastAsia" w:eastAsia="方正仿宋_GBK"/>
          <w:sz w:val="32"/>
          <w:szCs w:val="32"/>
          <w:highlight w:val="none"/>
        </w:rPr>
        <w:t>长寿区</w:t>
      </w:r>
      <w:r>
        <w:rPr>
          <w:rFonts w:eastAsia="方正仿宋_GBK"/>
          <w:sz w:val="32"/>
          <w:szCs w:val="32"/>
          <w:highlight w:val="none"/>
        </w:rPr>
        <w:t>财政局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2020</w:t>
      </w:r>
      <w:r>
        <w:rPr>
          <w:rFonts w:eastAsia="方正仿宋_GBK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10</w:t>
      </w:r>
      <w:r>
        <w:rPr>
          <w:rFonts w:eastAsia="方正仿宋_GBK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13</w:t>
      </w:r>
      <w:r>
        <w:rPr>
          <w:rFonts w:eastAsia="方正仿宋_GBK"/>
          <w:sz w:val="32"/>
          <w:szCs w:val="32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4327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民政局发布  </w:t>
    </w:r>
  </w:p>
  <w:p>
    <w:pPr>
      <w:pStyle w:val="8"/>
      <w:wordWrap w:val="0"/>
      <w:ind w:left="5472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27970A4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FF74885"/>
    <w:rsid w:val="11B07144"/>
    <w:rsid w:val="150978DB"/>
    <w:rsid w:val="152D2DCA"/>
    <w:rsid w:val="17C33AC9"/>
    <w:rsid w:val="187168EA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102B0C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rFonts w:cs="Times New Roman"/>
      <w:color w:val="0563C1"/>
      <w:u w:val="singl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ca-7"/>
    <w:qFormat/>
    <w:uiPriority w:val="0"/>
  </w:style>
  <w:style w:type="character" w:customStyle="1" w:styleId="19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1883</Words>
  <Characters>1917</Characters>
  <Lines>1</Lines>
  <Paragraphs>1</Paragraphs>
  <TotalTime>1</TotalTime>
  <ScaleCrop>false</ScaleCrop>
  <LinksUpToDate>false</LinksUpToDate>
  <CharactersWithSpaces>1965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2023-08-08T08:55:45Z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