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重庆市长寿区民政局</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eastAsia" w:eastAsia="方正小标宋_GBK"/>
          <w:sz w:val="44"/>
          <w:szCs w:val="44"/>
        </w:rPr>
      </w:pPr>
      <w:r>
        <w:rPr>
          <w:rFonts w:hint="eastAsia" w:eastAsia="方正小标宋_GBK"/>
          <w:sz w:val="44"/>
          <w:szCs w:val="44"/>
        </w:rPr>
        <w:t>关于废止和继续施行部分规范性文件的</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eastAsia" w:eastAsia="方正小标宋_GBK"/>
          <w:sz w:val="44"/>
          <w:szCs w:val="44"/>
        </w:rPr>
      </w:pPr>
      <w:r>
        <w:rPr>
          <w:rFonts w:hint="eastAsia" w:eastAsia="方正小标宋_GBK"/>
          <w:sz w:val="44"/>
          <w:szCs w:val="44"/>
          <w:lang w:eastAsia="zh-CN"/>
        </w:rPr>
        <w:t>通</w:t>
      </w:r>
      <w:r>
        <w:rPr>
          <w:rFonts w:hint="eastAsia" w:eastAsia="方正小标宋_GBK"/>
          <w:sz w:val="44"/>
          <w:szCs w:val="44"/>
          <w:lang w:val="en-US" w:eastAsia="zh-CN"/>
        </w:rPr>
        <w:t xml:space="preserve">  </w:t>
      </w:r>
      <w:r>
        <w:rPr>
          <w:rFonts w:hint="eastAsia" w:eastAsia="方正小标宋_GBK"/>
          <w:sz w:val="44"/>
          <w:szCs w:val="44"/>
          <w:lang w:eastAsia="zh-CN"/>
        </w:rPr>
        <w:t>知</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长民</w:t>
      </w:r>
      <w:r>
        <w:rPr>
          <w:rFonts w:hint="eastAsia" w:ascii="方正仿宋_GBK"/>
          <w:sz w:val="32"/>
          <w:szCs w:val="32"/>
          <w:lang w:eastAsia="zh-CN"/>
        </w:rPr>
        <w:t>政</w:t>
      </w:r>
      <w:r>
        <w:rPr>
          <w:rFonts w:hint="eastAsia" w:ascii="方正仿宋_GBK" w:eastAsia="方正仿宋_GBK"/>
          <w:sz w:val="32"/>
          <w:szCs w:val="32"/>
        </w:rPr>
        <w:t>〔</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20</w:t>
      </w:r>
      <w:r>
        <w:rPr>
          <w:rFonts w:hint="eastAsia" w:ascii="方正仿宋_GBK" w:eastAsia="方正仿宋_GBK"/>
          <w:sz w:val="32"/>
          <w:szCs w:val="32"/>
        </w:rPr>
        <w:t>〕</w:t>
      </w:r>
      <w:r>
        <w:rPr>
          <w:rFonts w:hint="default" w:ascii="Times New Roman" w:hAnsi="Times New Roman" w:cs="Times New Roman"/>
          <w:sz w:val="32"/>
          <w:szCs w:val="32"/>
          <w:lang w:val="en-US" w:eastAsia="zh-CN"/>
        </w:rPr>
        <w:t>153</w:t>
      </w:r>
      <w:r>
        <w:rPr>
          <w:rFonts w:hint="eastAsia" w:ascii="方正仿宋_GBK" w:eastAsia="方正仿宋_GBK"/>
          <w:sz w:val="32"/>
          <w:szCs w:val="32"/>
        </w:rPr>
        <w:t>号</w:t>
      </w:r>
    </w:p>
    <w:p>
      <w:pPr>
        <w:pStyle w:val="2"/>
        <w:keepNext w:val="0"/>
        <w:keepLines w:val="0"/>
        <w:pageBreakBefore w:val="0"/>
        <w:widowControl w:val="0"/>
        <w:kinsoku/>
        <w:wordWrap/>
        <w:overflowPunct/>
        <w:topLinePunct w:val="0"/>
        <w:autoSpaceDE/>
        <w:autoSpaceDN/>
        <w:bidi w:val="0"/>
        <w:spacing w:line="600" w:lineRule="atLeast"/>
        <w:textAlignment w:val="auto"/>
      </w:pP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textAlignment w:val="auto"/>
        <w:outlineLvl w:val="9"/>
        <w:rPr>
          <w:rFonts w:ascii="瀹嬩綋" w:hAnsi="Calibri" w:eastAsia="方正仿宋_GBK" w:cs="黑体"/>
          <w:sz w:val="21"/>
          <w:szCs w:val="22"/>
          <w:shd w:val="clear" w:color="auto" w:fill="FFFFFF"/>
        </w:rPr>
      </w:pPr>
      <w:r>
        <w:rPr>
          <w:rFonts w:hint="eastAsia" w:ascii="方正仿宋_GBK" w:hAnsi="方正仿宋_GBK" w:eastAsia="方正仿宋_GBK" w:cs="方正仿宋_GBK"/>
          <w:sz w:val="32"/>
          <w:szCs w:val="32"/>
        </w:rPr>
        <w:t>各街道办事处、镇人民政府，区政府各部门，有关单位：</w:t>
      </w:r>
    </w:p>
    <w:p>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firstLine="640" w:firstLineChars="200"/>
        <w:jc w:val="left"/>
        <w:textAlignment w:val="auto"/>
        <w:outlineLvl w:val="9"/>
      </w:pPr>
      <w:r>
        <w:rPr>
          <w:rFonts w:hint="eastAsia" w:ascii="Calibri" w:hAnsi="Calibri" w:eastAsia="方正仿宋_GBK" w:cs="黑体"/>
          <w:sz w:val="32"/>
          <w:szCs w:val="22"/>
        </w:rPr>
        <w:t>为深入推进依法行政，加快法治政府建设，</w:t>
      </w:r>
      <w:r>
        <w:rPr>
          <w:rFonts w:ascii="Calibri" w:hAnsi="Calibri" w:eastAsia="方正仿宋_GBK" w:cs="黑体"/>
          <w:sz w:val="32"/>
          <w:szCs w:val="22"/>
        </w:rPr>
        <w:t>根据</w:t>
      </w:r>
      <w:r>
        <w:rPr>
          <w:rFonts w:hint="eastAsia" w:ascii="Calibri" w:hAnsi="Calibri" w:eastAsia="方正仿宋_GBK" w:cs="黑体"/>
          <w:sz w:val="32"/>
          <w:szCs w:val="22"/>
        </w:rPr>
        <w:t>《重庆市行政规范性文件管理办法》（市政府</w:t>
      </w:r>
      <w:r>
        <w:rPr>
          <w:rFonts w:hint="default" w:ascii="Times New Roman" w:hAnsi="Times New Roman" w:eastAsia="方正仿宋_GBK" w:cs="Times New Roman"/>
          <w:sz w:val="32"/>
          <w:szCs w:val="22"/>
        </w:rPr>
        <w:t>290</w:t>
      </w:r>
      <w:r>
        <w:rPr>
          <w:rFonts w:hint="eastAsia" w:ascii="Calibri" w:hAnsi="Calibri" w:eastAsia="方正仿宋_GBK" w:cs="黑体"/>
          <w:sz w:val="32"/>
          <w:szCs w:val="22"/>
        </w:rPr>
        <w:t>号令）</w:t>
      </w:r>
      <w:r>
        <w:rPr>
          <w:rFonts w:ascii="Calibri" w:hAnsi="Calibri" w:eastAsia="方正仿宋_GBK" w:cs="黑体"/>
          <w:sz w:val="32"/>
          <w:szCs w:val="22"/>
        </w:rPr>
        <w:t>有关规定，</w:t>
      </w:r>
      <w:r>
        <w:rPr>
          <w:rFonts w:hint="eastAsia" w:ascii="Calibri" w:hAnsi="Calibri" w:eastAsia="方正仿宋_GBK" w:cs="黑体"/>
          <w:sz w:val="32"/>
          <w:szCs w:val="22"/>
          <w:lang w:eastAsia="zh-CN"/>
        </w:rPr>
        <w:t>我局根据</w:t>
      </w:r>
      <w:r>
        <w:rPr>
          <w:rFonts w:hint="eastAsia" w:ascii="Calibri" w:hAnsi="Calibri" w:eastAsia="方正仿宋_GBK" w:cs="黑体"/>
          <w:sz w:val="32"/>
          <w:szCs w:val="22"/>
        </w:rPr>
        <w:t>区</w:t>
      </w:r>
      <w:r>
        <w:rPr>
          <w:rFonts w:hint="eastAsia" w:ascii="Calibri" w:hAnsi="Calibri" w:eastAsia="方正仿宋_GBK" w:cs="黑体"/>
          <w:sz w:val="32"/>
          <w:szCs w:val="22"/>
          <w:lang w:eastAsia="zh-CN"/>
        </w:rPr>
        <w:t>司法局要求</w:t>
      </w:r>
      <w:r>
        <w:rPr>
          <w:rFonts w:hint="eastAsia" w:ascii="Calibri" w:hAnsi="Calibri" w:eastAsia="方正仿宋_GBK" w:cs="黑体"/>
          <w:sz w:val="32"/>
          <w:szCs w:val="22"/>
        </w:rPr>
        <w:t>对</w:t>
      </w:r>
      <w:r>
        <w:rPr>
          <w:rFonts w:hint="eastAsia" w:ascii="Calibri" w:hAnsi="Calibri" w:eastAsia="方正仿宋_GBK" w:cs="黑体"/>
          <w:sz w:val="32"/>
          <w:szCs w:val="22"/>
          <w:lang w:eastAsia="zh-CN"/>
        </w:rPr>
        <w:t>我局印发</w:t>
      </w:r>
      <w:r>
        <w:rPr>
          <w:rFonts w:hint="eastAsia" w:ascii="Calibri" w:hAnsi="Calibri" w:eastAsia="方正仿宋_GBK" w:cs="黑体"/>
          <w:sz w:val="32"/>
          <w:szCs w:val="22"/>
        </w:rPr>
        <w:t>规范性文件进行了全面清理</w:t>
      </w:r>
      <w:r>
        <w:rPr>
          <w:rFonts w:hint="eastAsia" w:ascii="Calibri" w:hAnsi="Calibri" w:eastAsia="方正仿宋_GBK" w:cs="黑体"/>
          <w:sz w:val="32"/>
          <w:szCs w:val="22"/>
          <w:lang w:eastAsia="zh-CN"/>
        </w:rPr>
        <w:t>，并报区司法局进行了核准</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20</w:t>
      </w:r>
      <w:r>
        <w:rPr>
          <w:rFonts w:hint="default" w:ascii="Times New Roman" w:hAnsi="Times New Roman" w:eastAsia="方正仿宋_GBK" w:cs="Times New Roman"/>
          <w:sz w:val="32"/>
          <w:szCs w:val="22"/>
          <w:lang w:val="en-US" w:eastAsia="zh-CN"/>
        </w:rPr>
        <w:t>20</w:t>
      </w:r>
      <w:r>
        <w:rPr>
          <w:rFonts w:hint="eastAsia" w:ascii="Calibri" w:hAnsi="Calibri" w:eastAsia="方正仿宋_GBK" w:cs="黑体"/>
          <w:sz w:val="32"/>
          <w:szCs w:val="22"/>
        </w:rPr>
        <w:t>年</w:t>
      </w:r>
      <w:r>
        <w:rPr>
          <w:rFonts w:hint="default" w:ascii="Times New Roman" w:hAnsi="Times New Roman" w:eastAsia="方正仿宋_GBK" w:cs="Times New Roman"/>
          <w:sz w:val="32"/>
          <w:szCs w:val="22"/>
          <w:lang w:val="en-US" w:eastAsia="zh-CN"/>
        </w:rPr>
        <w:t>10</w:t>
      </w:r>
      <w:r>
        <w:rPr>
          <w:rFonts w:hint="eastAsia" w:ascii="Calibri" w:hAnsi="Calibri" w:eastAsia="方正仿宋_GBK" w:cs="黑体"/>
          <w:sz w:val="32"/>
          <w:szCs w:val="22"/>
        </w:rPr>
        <w:t>月</w:t>
      </w:r>
      <w:r>
        <w:rPr>
          <w:rFonts w:hint="default" w:ascii="Times New Roman" w:hAnsi="Times New Roman" w:eastAsia="方正仿宋_GBK" w:cs="Times New Roman"/>
          <w:sz w:val="32"/>
          <w:szCs w:val="22"/>
          <w:lang w:val="en-US" w:eastAsia="zh-CN"/>
        </w:rPr>
        <w:t>13</w:t>
      </w:r>
      <w:r>
        <w:rPr>
          <w:rFonts w:hint="eastAsia" w:ascii="Calibri" w:hAnsi="Calibri" w:eastAsia="方正仿宋_GBK" w:cs="黑体"/>
          <w:sz w:val="32"/>
          <w:szCs w:val="22"/>
        </w:rPr>
        <w:t>日，经</w:t>
      </w:r>
      <w:r>
        <w:rPr>
          <w:rFonts w:hint="eastAsia" w:ascii="Calibri" w:hAnsi="Calibri" w:eastAsia="方正仿宋_GBK" w:cs="黑体"/>
          <w:sz w:val="32"/>
          <w:szCs w:val="22"/>
          <w:lang w:eastAsia="zh-CN"/>
        </w:rPr>
        <w:t>局党委会研究决定</w:t>
      </w:r>
      <w:r>
        <w:rPr>
          <w:rFonts w:hint="eastAsia" w:ascii="Calibri" w:hAnsi="Calibri" w:eastAsia="方正仿宋_GBK" w:cs="黑体"/>
          <w:sz w:val="32"/>
          <w:szCs w:val="22"/>
        </w:rPr>
        <w:t>，</w:t>
      </w:r>
      <w:r>
        <w:rPr>
          <w:rFonts w:hint="eastAsia" w:ascii="Calibri" w:hAnsi="Calibri" w:eastAsia="方正仿宋_GBK" w:cs="黑体"/>
          <w:sz w:val="32"/>
          <w:szCs w:val="22"/>
          <w:lang w:eastAsia="zh-CN"/>
        </w:rPr>
        <w:t>对《重庆市长寿区民政局重庆市长寿区财政局</w:t>
      </w:r>
      <w:r>
        <w:rPr>
          <w:rFonts w:hint="eastAsia" w:ascii="Calibri" w:hAnsi="Calibri" w:eastAsia="方正仿宋_GBK" w:cs="黑体"/>
          <w:sz w:val="32"/>
          <w:szCs w:val="22"/>
        </w:rPr>
        <w:t>对关于调整被征地农转非人员困难救助工作的通知</w:t>
      </w:r>
      <w:r>
        <w:rPr>
          <w:rFonts w:hint="eastAsia" w:ascii="Calibri" w:hAnsi="Calibri" w:eastAsia="方正仿宋_GBK" w:cs="黑体"/>
          <w:sz w:val="32"/>
          <w:szCs w:val="22"/>
          <w:lang w:eastAsia="zh-CN"/>
        </w:rPr>
        <w:t>》</w:t>
      </w:r>
      <w:r>
        <w:rPr>
          <w:rFonts w:hint="eastAsia" w:ascii="Calibri" w:hAnsi="Calibri" w:eastAsia="方正仿宋_GBK" w:cs="黑体"/>
          <w:sz w:val="32"/>
          <w:szCs w:val="22"/>
        </w:rPr>
        <w:t>（长民政〔</w:t>
      </w:r>
      <w:r>
        <w:rPr>
          <w:rFonts w:hint="default" w:ascii="Times New Roman" w:hAnsi="Times New Roman" w:eastAsia="方正仿宋_GBK" w:cs="Times New Roman"/>
          <w:sz w:val="32"/>
          <w:szCs w:val="22"/>
        </w:rPr>
        <w:t>2014</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52</w:t>
      </w:r>
      <w:r>
        <w:rPr>
          <w:rFonts w:hint="eastAsia" w:ascii="Calibri" w:hAnsi="Calibri" w:eastAsia="方正仿宋_GBK" w:cs="黑体"/>
          <w:sz w:val="32"/>
          <w:szCs w:val="22"/>
        </w:rPr>
        <w:t>号）</w:t>
      </w:r>
      <w:r>
        <w:rPr>
          <w:rFonts w:ascii="Calibri" w:hAnsi="Calibri" w:eastAsia="方正仿宋_GBK" w:cs="黑体"/>
          <w:sz w:val="32"/>
          <w:szCs w:val="22"/>
        </w:rPr>
        <w:t>等</w:t>
      </w:r>
      <w:r>
        <w:rPr>
          <w:rFonts w:hint="default" w:ascii="Times New Roman" w:hAnsi="Times New Roman" w:eastAsia="方正仿宋_GBK" w:cs="Times New Roman"/>
          <w:sz w:val="32"/>
          <w:szCs w:val="22"/>
        </w:rPr>
        <w:t>4</w:t>
      </w:r>
      <w:r>
        <w:rPr>
          <w:rFonts w:ascii="Calibri" w:hAnsi="Calibri" w:eastAsia="方正仿宋_GBK" w:cs="黑体"/>
          <w:sz w:val="32"/>
          <w:szCs w:val="22"/>
        </w:rPr>
        <w:t>件</w:t>
      </w:r>
      <w:r>
        <w:rPr>
          <w:rFonts w:hint="eastAsia" w:ascii="Calibri" w:hAnsi="Calibri" w:eastAsia="方正仿宋_GBK" w:cs="黑体"/>
          <w:sz w:val="32"/>
          <w:szCs w:val="22"/>
          <w:lang w:eastAsia="zh-CN"/>
        </w:rPr>
        <w:t>部门</w:t>
      </w:r>
      <w:r>
        <w:rPr>
          <w:rFonts w:hint="eastAsia" w:ascii="Calibri" w:hAnsi="Calibri" w:eastAsia="方正仿宋_GBK" w:cs="黑体"/>
          <w:sz w:val="32"/>
          <w:szCs w:val="22"/>
        </w:rPr>
        <w:t>规范性文件</w:t>
      </w:r>
      <w:r>
        <w:rPr>
          <w:rFonts w:ascii="Calibri" w:hAnsi="Calibri" w:eastAsia="方正仿宋_GBK" w:cs="黑体"/>
          <w:sz w:val="32"/>
          <w:szCs w:val="22"/>
        </w:rPr>
        <w:t>予以废止，自本</w:t>
      </w:r>
      <w:r>
        <w:rPr>
          <w:rFonts w:hint="eastAsia" w:ascii="Calibri" w:hAnsi="Calibri" w:eastAsia="方正仿宋_GBK" w:cs="黑体"/>
          <w:sz w:val="32"/>
          <w:szCs w:val="22"/>
          <w:lang w:eastAsia="zh-CN"/>
        </w:rPr>
        <w:t>通知</w:t>
      </w:r>
      <w:r>
        <w:rPr>
          <w:rFonts w:hint="eastAsia" w:ascii="Calibri" w:hAnsi="Calibri" w:eastAsia="方正仿宋_GBK" w:cs="黑体"/>
          <w:sz w:val="32"/>
          <w:szCs w:val="22"/>
        </w:rPr>
        <w:t>印发</w:t>
      </w:r>
      <w:r>
        <w:rPr>
          <w:rFonts w:ascii="Calibri" w:hAnsi="Calibri" w:eastAsia="方正仿宋_GBK" w:cs="黑体"/>
          <w:sz w:val="32"/>
          <w:szCs w:val="22"/>
        </w:rPr>
        <w:t>之日起不再施行；</w:t>
      </w:r>
      <w:r>
        <w:rPr>
          <w:rFonts w:hint="eastAsia" w:ascii="Calibri" w:hAnsi="Calibri" w:eastAsia="方正仿宋_GBK" w:cs="黑体"/>
          <w:sz w:val="32"/>
          <w:szCs w:val="22"/>
          <w:lang w:eastAsia="zh-CN"/>
        </w:rPr>
        <w:t>对《重庆市长寿区民政局</w:t>
      </w:r>
      <w:r>
        <w:rPr>
          <w:rFonts w:hint="eastAsia" w:ascii="Calibri" w:hAnsi="Calibri" w:eastAsia="方正仿宋_GBK" w:cs="黑体"/>
          <w:sz w:val="32"/>
          <w:szCs w:val="22"/>
        </w:rPr>
        <w:t>关于开展四类社会组织直接登记工作的通知</w:t>
      </w:r>
      <w:r>
        <w:rPr>
          <w:rFonts w:hint="eastAsia" w:ascii="Calibri" w:hAnsi="Calibri" w:eastAsia="方正仿宋_GBK" w:cs="黑体"/>
          <w:sz w:val="32"/>
          <w:szCs w:val="22"/>
          <w:lang w:eastAsia="zh-CN"/>
        </w:rPr>
        <w:t>》</w:t>
      </w:r>
      <w:r>
        <w:rPr>
          <w:rFonts w:hint="eastAsia" w:ascii="Calibri" w:hAnsi="Calibri" w:eastAsia="方正仿宋_GBK" w:cs="黑体"/>
          <w:sz w:val="32"/>
          <w:szCs w:val="22"/>
        </w:rPr>
        <w:t>（长民政〔</w:t>
      </w:r>
      <w:r>
        <w:rPr>
          <w:rFonts w:hint="default" w:ascii="Times New Roman" w:hAnsi="Times New Roman" w:eastAsia="方正仿宋_GBK" w:cs="Times New Roman"/>
          <w:sz w:val="32"/>
          <w:szCs w:val="22"/>
        </w:rPr>
        <w:t>2014</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304</w:t>
      </w:r>
      <w:r>
        <w:rPr>
          <w:rFonts w:hint="eastAsia" w:ascii="Calibri" w:hAnsi="Calibri" w:eastAsia="方正仿宋_GBK" w:cs="黑体"/>
          <w:sz w:val="32"/>
          <w:szCs w:val="22"/>
        </w:rPr>
        <w:t>号）</w:t>
      </w:r>
      <w:r>
        <w:rPr>
          <w:rFonts w:ascii="Calibri" w:hAnsi="Calibri" w:eastAsia="方正仿宋_GBK" w:cs="黑体"/>
          <w:sz w:val="32"/>
          <w:szCs w:val="22"/>
        </w:rPr>
        <w:t>等</w:t>
      </w:r>
      <w:r>
        <w:rPr>
          <w:rFonts w:hint="default" w:ascii="Times New Roman" w:hAnsi="Times New Roman" w:eastAsia="方正仿宋_GBK" w:cs="Times New Roman"/>
          <w:sz w:val="32"/>
          <w:szCs w:val="22"/>
          <w:lang w:val="en-US" w:eastAsia="zh-CN"/>
        </w:rPr>
        <w:t>4</w:t>
      </w:r>
      <w:r>
        <w:rPr>
          <w:rFonts w:ascii="Calibri" w:hAnsi="Calibri" w:eastAsia="方正仿宋_GBK" w:cs="黑体"/>
          <w:sz w:val="32"/>
          <w:szCs w:val="22"/>
        </w:rPr>
        <w:t>件</w:t>
      </w:r>
      <w:r>
        <w:rPr>
          <w:rFonts w:hint="eastAsia" w:ascii="Calibri" w:hAnsi="Calibri" w:eastAsia="方正仿宋_GBK" w:cs="黑体"/>
          <w:sz w:val="32"/>
          <w:szCs w:val="22"/>
          <w:lang w:eastAsia="zh-CN"/>
        </w:rPr>
        <w:t>部门</w:t>
      </w:r>
      <w:r>
        <w:rPr>
          <w:rFonts w:hint="eastAsia" w:ascii="Calibri" w:hAnsi="Calibri" w:eastAsia="方正仿宋_GBK" w:cs="黑体"/>
          <w:sz w:val="32"/>
          <w:szCs w:val="22"/>
        </w:rPr>
        <w:t>规范性文件</w:t>
      </w:r>
      <w:r>
        <w:rPr>
          <w:rFonts w:ascii="Calibri" w:hAnsi="Calibri" w:eastAsia="方正仿宋_GBK" w:cs="黑体"/>
          <w:sz w:val="32"/>
          <w:szCs w:val="22"/>
        </w:rPr>
        <w:t>继续施行，有效期</w:t>
      </w:r>
      <w:r>
        <w:rPr>
          <w:rFonts w:hint="eastAsia" w:ascii="Calibri" w:hAnsi="Calibri" w:eastAsia="方正仿宋_GBK" w:cs="黑体"/>
          <w:sz w:val="32"/>
          <w:szCs w:val="22"/>
        </w:rPr>
        <w:t>自本</w:t>
      </w:r>
      <w:r>
        <w:rPr>
          <w:rFonts w:hint="eastAsia" w:ascii="Calibri" w:hAnsi="Calibri" w:eastAsia="方正仿宋_GBK" w:cs="黑体"/>
          <w:sz w:val="32"/>
          <w:szCs w:val="22"/>
          <w:lang w:eastAsia="zh-CN"/>
        </w:rPr>
        <w:t>通知</w:t>
      </w:r>
      <w:r>
        <w:rPr>
          <w:rFonts w:hint="eastAsia" w:ascii="Calibri" w:hAnsi="Calibri" w:eastAsia="方正仿宋_GBK" w:cs="黑体"/>
          <w:sz w:val="32"/>
          <w:szCs w:val="22"/>
        </w:rPr>
        <w:t>印发之日</w:t>
      </w:r>
      <w:r>
        <w:rPr>
          <w:rFonts w:ascii="Calibri" w:hAnsi="Calibri" w:eastAsia="方正仿宋_GBK" w:cs="黑体"/>
          <w:sz w:val="32"/>
          <w:szCs w:val="22"/>
        </w:rPr>
        <w:t>重新起算。</w:t>
      </w:r>
    </w:p>
    <w:p>
      <w:pPr>
        <w:keepNext w:val="0"/>
        <w:keepLines w:val="0"/>
        <w:pageBreakBefore w:val="0"/>
        <w:kinsoku/>
        <w:wordWrap/>
        <w:overflowPunct/>
        <w:topLinePunct w:val="0"/>
        <w:autoSpaceDE/>
        <w:autoSpaceDN/>
        <w:bidi w:val="0"/>
        <w:adjustRightInd w:val="0"/>
        <w:snapToGrid w:val="0"/>
        <w:spacing w:beforeLines="0" w:afterLines="0" w:line="600" w:lineRule="atLeast"/>
        <w:ind w:firstLine="640" w:firstLineChars="200"/>
        <w:textAlignment w:val="auto"/>
        <w:rPr>
          <w:rFonts w:ascii="Calibri" w:hAnsi="Calibri" w:eastAsia="方正仿宋_GBK" w:cs="黑体"/>
          <w:sz w:val="32"/>
          <w:szCs w:val="22"/>
        </w:rPr>
      </w:pPr>
    </w:p>
    <w:p>
      <w:pPr>
        <w:keepNext w:val="0"/>
        <w:keepLines w:val="0"/>
        <w:pageBreakBefore w:val="0"/>
        <w:kinsoku/>
        <w:wordWrap/>
        <w:overflowPunct/>
        <w:topLinePunct w:val="0"/>
        <w:autoSpaceDE/>
        <w:autoSpaceDN/>
        <w:bidi w:val="0"/>
        <w:adjustRightInd w:val="0"/>
        <w:snapToGrid w:val="0"/>
        <w:spacing w:beforeLines="0" w:afterLines="0" w:line="600" w:lineRule="atLeast"/>
        <w:ind w:firstLine="640" w:firstLineChars="200"/>
        <w:textAlignment w:val="auto"/>
        <w:rPr>
          <w:rFonts w:ascii="Calibri" w:hAnsi="Calibri" w:eastAsia="方正仿宋_GBK" w:cs="黑体"/>
          <w:sz w:val="32"/>
          <w:szCs w:val="22"/>
        </w:rPr>
      </w:pPr>
      <w:r>
        <w:rPr>
          <w:rFonts w:ascii="Calibri" w:hAnsi="Calibri" w:eastAsia="方正仿宋_GBK" w:cs="黑体"/>
          <w:sz w:val="32"/>
          <w:szCs w:val="22"/>
        </w:rPr>
        <w:t>附件</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lang w:val="en-US" w:eastAsia="zh-CN"/>
        </w:rPr>
        <w:t>1</w:t>
      </w:r>
      <w:r>
        <w:rPr>
          <w:rFonts w:hint="eastAsia" w:ascii="Calibri" w:hAnsi="Calibri" w:eastAsia="方正仿宋_GBK" w:cs="黑体"/>
          <w:sz w:val="32"/>
          <w:szCs w:val="22"/>
          <w:lang w:val="en-US" w:eastAsia="zh-CN"/>
        </w:rPr>
        <w:t>.</w:t>
      </w:r>
      <w:r>
        <w:rPr>
          <w:rFonts w:ascii="Calibri" w:hAnsi="Calibri" w:eastAsia="方正仿宋_GBK" w:cs="黑体"/>
          <w:sz w:val="32"/>
          <w:szCs w:val="22"/>
        </w:rPr>
        <w:t>废止的</w:t>
      </w:r>
      <w:r>
        <w:rPr>
          <w:rFonts w:hint="eastAsia" w:ascii="Calibri" w:hAnsi="Calibri" w:eastAsia="方正仿宋_GBK" w:cs="黑体"/>
          <w:sz w:val="32"/>
          <w:szCs w:val="22"/>
          <w:lang w:eastAsia="zh-CN"/>
        </w:rPr>
        <w:t>区民政局</w:t>
      </w:r>
      <w:r>
        <w:rPr>
          <w:rFonts w:ascii="Calibri" w:hAnsi="Calibri" w:eastAsia="方正仿宋_GBK" w:cs="黑体"/>
          <w:sz w:val="32"/>
          <w:szCs w:val="22"/>
        </w:rPr>
        <w:t>规范性文件目录（</w:t>
      </w:r>
      <w:r>
        <w:rPr>
          <w:rFonts w:hint="default" w:ascii="Times New Roman" w:hAnsi="Times New Roman" w:eastAsia="方正仿宋_GBK" w:cs="Times New Roman"/>
          <w:sz w:val="32"/>
          <w:szCs w:val="22"/>
        </w:rPr>
        <w:t>4</w:t>
      </w:r>
      <w:r>
        <w:rPr>
          <w:rFonts w:ascii="Calibri" w:hAnsi="Calibri" w:eastAsia="方正仿宋_GBK" w:cs="黑体"/>
          <w:sz w:val="32"/>
          <w:szCs w:val="22"/>
        </w:rPr>
        <w:t>件）</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600" w:lineRule="atLeast"/>
        <w:textAlignment w:val="auto"/>
        <w:rPr>
          <w:rFonts w:hint="eastAsia" w:ascii="Calibri" w:hAnsi="Calibri" w:eastAsia="方正仿宋_GBK" w:cs="黑体"/>
          <w:spacing w:val="-10"/>
          <w:sz w:val="32"/>
          <w:szCs w:val="22"/>
          <w:lang w:val="en-US" w:eastAsia="zh-CN"/>
        </w:rPr>
      </w:pPr>
      <w:r>
        <w:rPr>
          <w:rFonts w:hint="eastAsia" w:ascii="Calibri" w:hAnsi="Calibri" w:eastAsia="方正仿宋_GBK" w:cs="黑体"/>
          <w:spacing w:val="-10"/>
          <w:sz w:val="32"/>
          <w:szCs w:val="22"/>
          <w:lang w:val="en-US" w:eastAsia="zh-CN"/>
        </w:rPr>
        <w:t xml:space="preserve">            </w:t>
      </w:r>
      <w:r>
        <w:rPr>
          <w:rFonts w:hint="default" w:ascii="Times New Roman" w:hAnsi="Times New Roman" w:eastAsia="方正仿宋_GBK" w:cs="Times New Roman"/>
          <w:spacing w:val="0"/>
          <w:sz w:val="32"/>
          <w:szCs w:val="22"/>
          <w:lang w:val="en-US" w:eastAsia="zh-CN"/>
        </w:rPr>
        <w:t>2</w:t>
      </w:r>
      <w:r>
        <w:rPr>
          <w:rFonts w:hint="eastAsia" w:ascii="Calibri" w:hAnsi="Calibri" w:eastAsia="方正仿宋_GBK" w:cs="黑体"/>
          <w:spacing w:val="0"/>
          <w:sz w:val="32"/>
          <w:szCs w:val="22"/>
          <w:lang w:val="en-US" w:eastAsia="zh-CN"/>
        </w:rPr>
        <w:t>.</w:t>
      </w:r>
      <w:r>
        <w:rPr>
          <w:rFonts w:hint="eastAsia" w:ascii="Calibri" w:hAnsi="Calibri" w:eastAsia="方正仿宋_GBK" w:cs="黑体"/>
          <w:spacing w:val="0"/>
          <w:sz w:val="32"/>
          <w:szCs w:val="22"/>
        </w:rPr>
        <w:t>有效</w:t>
      </w:r>
      <w:r>
        <w:rPr>
          <w:rFonts w:ascii="Calibri" w:hAnsi="Calibri" w:eastAsia="方正仿宋_GBK" w:cs="黑体"/>
          <w:spacing w:val="-10"/>
          <w:sz w:val="32"/>
          <w:szCs w:val="22"/>
        </w:rPr>
        <w:t>期届满继续施行的</w:t>
      </w:r>
      <w:r>
        <w:rPr>
          <w:rFonts w:hint="eastAsia" w:ascii="Calibri" w:hAnsi="Calibri" w:eastAsia="方正仿宋_GBK" w:cs="黑体"/>
          <w:spacing w:val="-10"/>
          <w:sz w:val="32"/>
          <w:szCs w:val="22"/>
          <w:lang w:eastAsia="zh-CN"/>
        </w:rPr>
        <w:t>区民政局</w:t>
      </w:r>
      <w:r>
        <w:rPr>
          <w:rFonts w:ascii="Calibri" w:hAnsi="Calibri" w:eastAsia="方正仿宋_GBK" w:cs="黑体"/>
          <w:spacing w:val="-10"/>
          <w:sz w:val="32"/>
          <w:szCs w:val="22"/>
        </w:rPr>
        <w:t>规范性文件目录</w:t>
      </w:r>
      <w:r>
        <w:rPr>
          <w:rFonts w:hint="eastAsia" w:ascii="Calibri" w:hAnsi="Calibri" w:eastAsia="方正仿宋_GBK" w:cs="黑体"/>
          <w:spacing w:val="-10"/>
          <w:sz w:val="32"/>
          <w:szCs w:val="22"/>
          <w:lang w:val="en-US" w:eastAsia="zh-CN"/>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beforeLines="0" w:afterLines="0" w:line="600" w:lineRule="atLeast"/>
        <w:textAlignment w:val="auto"/>
        <w:rPr>
          <w:rFonts w:ascii="Calibri" w:hAnsi="Calibri" w:eastAsia="方正仿宋_GBK" w:cs="黑体"/>
          <w:spacing w:val="-10"/>
          <w:sz w:val="32"/>
          <w:szCs w:val="22"/>
        </w:rPr>
      </w:pPr>
      <w:r>
        <w:rPr>
          <w:rFonts w:hint="eastAsia" w:ascii="Calibri" w:hAnsi="Calibri" w:eastAsia="方正仿宋_GBK" w:cs="黑体"/>
          <w:spacing w:val="-10"/>
          <w:sz w:val="32"/>
          <w:szCs w:val="22"/>
          <w:lang w:val="en-US" w:eastAsia="zh-CN"/>
        </w:rPr>
        <w:t xml:space="preserve">          </w:t>
      </w:r>
      <w:r>
        <w:rPr>
          <w:rFonts w:ascii="Calibri" w:hAnsi="Calibri" w:eastAsia="方正仿宋_GBK" w:cs="黑体"/>
          <w:spacing w:val="-10"/>
          <w:sz w:val="32"/>
          <w:szCs w:val="22"/>
        </w:rPr>
        <w:t>（</w:t>
      </w:r>
      <w:r>
        <w:rPr>
          <w:rFonts w:hint="default" w:ascii="Times New Roman" w:hAnsi="Times New Roman" w:eastAsia="方正仿宋_GBK" w:cs="Times New Roman"/>
          <w:spacing w:val="-10"/>
          <w:sz w:val="32"/>
          <w:szCs w:val="22"/>
          <w:lang w:val="en-US" w:eastAsia="zh-CN"/>
        </w:rPr>
        <w:t>4</w:t>
      </w:r>
      <w:r>
        <w:rPr>
          <w:rFonts w:ascii="Calibri" w:hAnsi="Calibri" w:eastAsia="方正仿宋_GBK" w:cs="黑体"/>
          <w:spacing w:val="-10"/>
          <w:sz w:val="32"/>
          <w:szCs w:val="22"/>
        </w:rPr>
        <w:t>件）</w:t>
      </w:r>
    </w:p>
    <w:p>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600" w:lineRule="atLeast"/>
        <w:ind w:right="0"/>
        <w:textAlignment w:val="auto"/>
        <w:outlineLvl w:val="9"/>
        <w:rPr>
          <w:rFonts w:hint="eastAsia" w:ascii="Calibri" w:hAnsi="Calibri" w:eastAsia="方正仿宋_GBK" w:cs="黑体"/>
          <w:sz w:val="32"/>
          <w:szCs w:val="22"/>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600" w:lineRule="atLeast"/>
        <w:ind w:right="0"/>
        <w:textAlignment w:val="auto"/>
        <w:outlineLvl w:val="9"/>
        <w:rPr>
          <w:rFonts w:hint="eastAsia" w:ascii="Calibri" w:hAnsi="Calibri" w:eastAsia="方正仿宋_GBK" w:cs="黑体"/>
          <w:sz w:val="32"/>
          <w:szCs w:val="22"/>
        </w:rPr>
      </w:pPr>
    </w:p>
    <w:p>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600" w:lineRule="atLeast"/>
        <w:ind w:left="0" w:leftChars="0" w:right="0"/>
        <w:textAlignment w:val="auto"/>
        <w:outlineLvl w:val="9"/>
        <w:rPr>
          <w:rFonts w:hint="eastAsia" w:ascii="Calibri" w:hAnsi="Calibri" w:eastAsia="方正仿宋_GBK" w:cs="黑体"/>
          <w:sz w:val="32"/>
          <w:szCs w:val="22"/>
        </w:rPr>
      </w:pPr>
      <w:r>
        <w:rPr>
          <w:rFonts w:hint="eastAsia" w:ascii="Calibri" w:hAnsi="Calibri" w:eastAsia="方正仿宋_GBK" w:cs="黑体"/>
          <w:sz w:val="32"/>
          <w:szCs w:val="22"/>
        </w:rPr>
        <w:t xml:space="preserve">                        </w:t>
      </w:r>
      <w:r>
        <w:rPr>
          <w:rFonts w:hint="eastAsia" w:ascii="Calibri" w:hAnsi="Calibri" w:eastAsia="方正仿宋_GBK" w:cs="黑体"/>
          <w:sz w:val="32"/>
          <w:szCs w:val="22"/>
          <w:lang w:val="en-US" w:eastAsia="zh-CN"/>
        </w:rPr>
        <w:t xml:space="preserve">  </w:t>
      </w:r>
      <w:r>
        <w:rPr>
          <w:rFonts w:hint="eastAsia" w:ascii="Calibri" w:hAnsi="Calibri" w:eastAsia="方正仿宋_GBK" w:cs="黑体"/>
          <w:sz w:val="32"/>
          <w:szCs w:val="22"/>
        </w:rPr>
        <w:t xml:space="preserve"> </w:t>
      </w:r>
      <w:r>
        <w:rPr>
          <w:rFonts w:hint="eastAsia" w:ascii="Calibri" w:hAnsi="Calibri" w:eastAsia="方正仿宋_GBK" w:cs="黑体"/>
          <w:sz w:val="32"/>
          <w:szCs w:val="22"/>
          <w:lang w:val="en-US" w:eastAsia="zh-CN"/>
        </w:rPr>
        <w:t xml:space="preserve"> </w:t>
      </w:r>
      <w:r>
        <w:rPr>
          <w:rFonts w:hint="eastAsia" w:ascii="Calibri" w:hAnsi="Calibri" w:eastAsia="方正仿宋_GBK" w:cs="黑体"/>
          <w:sz w:val="32"/>
          <w:szCs w:val="22"/>
        </w:rPr>
        <w:t>重庆市长寿区</w:t>
      </w:r>
      <w:r>
        <w:rPr>
          <w:rFonts w:hint="eastAsia" w:ascii="Calibri" w:hAnsi="Calibri" w:eastAsia="方正仿宋_GBK" w:cs="黑体"/>
          <w:sz w:val="32"/>
          <w:szCs w:val="22"/>
          <w:lang w:eastAsia="zh-CN"/>
        </w:rPr>
        <w:t>民政局</w:t>
      </w:r>
    </w:p>
    <w:p>
      <w:pPr>
        <w:keepNext w:val="0"/>
        <w:keepLines w:val="0"/>
        <w:pageBreakBefore w:val="0"/>
        <w:widowControl w:val="0"/>
        <w:shd w:val="clear" w:color="auto" w:fill="FFFFFF"/>
        <w:kinsoku/>
        <w:wordWrap/>
        <w:overflowPunct/>
        <w:topLinePunct w:val="0"/>
        <w:autoSpaceDE/>
        <w:autoSpaceDN/>
        <w:bidi w:val="0"/>
        <w:adjustRightInd w:val="0"/>
        <w:snapToGrid w:val="0"/>
        <w:spacing w:beforeLines="0" w:afterLines="0" w:line="600" w:lineRule="atLeast"/>
        <w:ind w:right="0"/>
        <w:textAlignment w:val="auto"/>
        <w:outlineLvl w:val="9"/>
        <w:rPr>
          <w:rFonts w:hint="eastAsia" w:ascii="Calibri" w:hAnsi="Calibri" w:eastAsia="方正仿宋_GBK" w:cs="黑体"/>
          <w:sz w:val="32"/>
          <w:szCs w:val="22"/>
        </w:rPr>
      </w:pPr>
      <w:r>
        <w:rPr>
          <w:rFonts w:hint="eastAsia" w:ascii="Calibri" w:hAnsi="Calibri" w:eastAsia="方正仿宋_GBK" w:cs="黑体"/>
          <w:sz w:val="32"/>
          <w:szCs w:val="22"/>
          <w:lang w:val="en-US" w:eastAsia="zh-CN"/>
        </w:rPr>
        <w:t xml:space="preserve">                             </w:t>
      </w:r>
      <w:r>
        <w:rPr>
          <w:rFonts w:hint="default" w:ascii="Times New Roman" w:hAnsi="Times New Roman" w:eastAsia="方正仿宋_GBK" w:cs="Times New Roman"/>
          <w:sz w:val="32"/>
          <w:szCs w:val="22"/>
        </w:rPr>
        <w:t>20</w:t>
      </w:r>
      <w:r>
        <w:rPr>
          <w:rFonts w:hint="default" w:ascii="Times New Roman" w:hAnsi="Times New Roman" w:eastAsia="方正仿宋_GBK" w:cs="Times New Roman"/>
          <w:sz w:val="32"/>
          <w:szCs w:val="22"/>
          <w:lang w:val="en-US" w:eastAsia="zh-CN"/>
        </w:rPr>
        <w:t>20</w:t>
      </w:r>
      <w:r>
        <w:rPr>
          <w:rFonts w:hint="eastAsia" w:ascii="Calibri" w:hAnsi="Calibri" w:eastAsia="方正仿宋_GBK" w:cs="黑体"/>
          <w:sz w:val="32"/>
          <w:szCs w:val="22"/>
        </w:rPr>
        <w:t>年</w:t>
      </w:r>
      <w:r>
        <w:rPr>
          <w:rFonts w:hint="default" w:ascii="Times New Roman" w:hAnsi="Times New Roman" w:eastAsia="方正仿宋_GBK" w:cs="Times New Roman"/>
          <w:sz w:val="32"/>
          <w:szCs w:val="22"/>
          <w:lang w:val="en-US" w:eastAsia="zh-CN"/>
        </w:rPr>
        <w:t>10</w:t>
      </w:r>
      <w:r>
        <w:rPr>
          <w:rFonts w:hint="eastAsia" w:ascii="Calibri" w:hAnsi="Calibri" w:eastAsia="方正仿宋_GBK" w:cs="黑体"/>
          <w:sz w:val="32"/>
          <w:szCs w:val="22"/>
        </w:rPr>
        <w:t>月</w:t>
      </w:r>
      <w:r>
        <w:rPr>
          <w:rFonts w:hint="default" w:ascii="Times New Roman" w:hAnsi="Times New Roman" w:eastAsia="方正仿宋_GBK" w:cs="Times New Roman"/>
          <w:sz w:val="32"/>
          <w:szCs w:val="22"/>
          <w:lang w:val="en-US" w:eastAsia="zh-CN"/>
        </w:rPr>
        <w:t>15</w:t>
      </w:r>
      <w:r>
        <w:rPr>
          <w:rFonts w:hint="eastAsia" w:ascii="Calibri" w:hAnsi="Calibri" w:eastAsia="方正仿宋_GBK" w:cs="黑体"/>
          <w:sz w:val="32"/>
          <w:szCs w:val="22"/>
        </w:rPr>
        <w:t>日</w:t>
      </w: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r>
        <w:rPr>
          <w:rFonts w:hint="eastAsia" w:ascii="方正黑体_GBK" w:hAnsi="Calibri" w:eastAsia="方正黑体_GBK" w:cs="黑体"/>
          <w:sz w:val="32"/>
          <w:szCs w:val="32"/>
        </w:rPr>
        <w:t>附件</w:t>
      </w:r>
      <w:r>
        <w:rPr>
          <w:rFonts w:hint="default" w:ascii="Times New Roman" w:hAnsi="Times New Roman" w:eastAsia="方正黑体_GBK" w:cs="Times New Roman"/>
          <w:sz w:val="32"/>
          <w:szCs w:val="32"/>
        </w:rPr>
        <w:t>1</w:t>
      </w:r>
    </w:p>
    <w:p>
      <w:pPr>
        <w:keepNext w:val="0"/>
        <w:keepLines w:val="0"/>
        <w:pageBreakBefore w:val="0"/>
        <w:shd w:val="clear" w:color="auto" w:fill="FFFFFF"/>
        <w:kinsoku/>
        <w:wordWrap/>
        <w:overflowPunct/>
        <w:topLinePunct w:val="0"/>
        <w:autoSpaceDE/>
        <w:autoSpaceDN/>
        <w:bidi w:val="0"/>
        <w:spacing w:line="600" w:lineRule="atLeast"/>
        <w:textAlignment w:val="auto"/>
        <w:rPr>
          <w:rFonts w:hint="eastAsia" w:ascii="方正仿宋_GBK" w:hAnsi="Calibri" w:eastAsia="方正仿宋_GBK" w:cs="黑体"/>
          <w:sz w:val="32"/>
          <w:szCs w:val="32"/>
        </w:rPr>
      </w:pPr>
    </w:p>
    <w:p>
      <w:pPr>
        <w:keepNext w:val="0"/>
        <w:keepLines w:val="0"/>
        <w:pageBreakBefore w:val="0"/>
        <w:kinsoku/>
        <w:wordWrap/>
        <w:overflowPunct/>
        <w:topLinePunct w:val="0"/>
        <w:autoSpaceDE/>
        <w:autoSpaceDN/>
        <w:bidi w:val="0"/>
        <w:spacing w:line="600" w:lineRule="atLeast"/>
        <w:jc w:val="center"/>
        <w:textAlignment w:val="auto"/>
        <w:rPr>
          <w:rFonts w:hint="eastAsia" w:ascii="方正小标宋_GBK" w:hAnsi="方正小标宋_GBK" w:eastAsia="方正小标宋_GBK" w:cs="黑体"/>
          <w:sz w:val="44"/>
          <w:szCs w:val="44"/>
          <w:shd w:val="clear" w:color="auto" w:fill="FFFFFF"/>
        </w:rPr>
      </w:pPr>
      <w:r>
        <w:rPr>
          <w:rFonts w:hint="eastAsia" w:ascii="方正小标宋_GBK" w:hAnsi="方正小标宋_GBK" w:eastAsia="方正小标宋_GBK" w:cs="黑体"/>
          <w:sz w:val="44"/>
          <w:szCs w:val="44"/>
          <w:shd w:val="clear" w:color="auto" w:fill="FFFFFF"/>
        </w:rPr>
        <w:t>废止的</w:t>
      </w:r>
      <w:r>
        <w:rPr>
          <w:rFonts w:hint="eastAsia" w:ascii="方正小标宋_GBK" w:hAnsi="方正小标宋_GBK" w:eastAsia="方正小标宋_GBK" w:cs="黑体"/>
          <w:sz w:val="44"/>
          <w:szCs w:val="44"/>
          <w:shd w:val="clear" w:color="auto" w:fill="FFFFFF"/>
          <w:lang w:eastAsia="zh-CN"/>
        </w:rPr>
        <w:t>区民政局</w:t>
      </w:r>
      <w:r>
        <w:rPr>
          <w:rFonts w:hint="eastAsia" w:ascii="方正小标宋_GBK" w:hAnsi="方正小标宋_GBK" w:eastAsia="方正小标宋_GBK" w:cs="黑体"/>
          <w:sz w:val="44"/>
          <w:szCs w:val="44"/>
          <w:shd w:val="clear" w:color="auto" w:fill="FFFFFF"/>
        </w:rPr>
        <w:t>规范性文件目录</w:t>
      </w:r>
    </w:p>
    <w:p>
      <w:pPr>
        <w:keepNext w:val="0"/>
        <w:keepLines w:val="0"/>
        <w:pageBreakBefore w:val="0"/>
        <w:kinsoku/>
        <w:wordWrap/>
        <w:overflowPunct/>
        <w:topLinePunct w:val="0"/>
        <w:autoSpaceDE/>
        <w:autoSpaceDN/>
        <w:bidi w:val="0"/>
        <w:spacing w:line="600" w:lineRule="atLeast"/>
        <w:jc w:val="center"/>
        <w:textAlignment w:val="auto"/>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楷体_GBK" w:cs="Times New Roman"/>
          <w:sz w:val="32"/>
          <w:szCs w:val="32"/>
          <w:shd w:val="clear" w:color="auto" w:fill="FFFFFF"/>
        </w:rPr>
        <w:t>4</w:t>
      </w:r>
      <w:r>
        <w:rPr>
          <w:rFonts w:hint="eastAsia" w:ascii="方正楷体_GBK" w:hAnsi="方正楷体_GBK" w:eastAsia="方正楷体_GBK" w:cs="方正楷体_GBK"/>
          <w:sz w:val="32"/>
          <w:szCs w:val="32"/>
          <w:shd w:val="clear" w:color="auto" w:fill="FFFFFF"/>
        </w:rPr>
        <w:t>件）</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Calibri" w:hAnsi="Calibri" w:eastAsia="方正仿宋_GBK" w:cs="黑体"/>
          <w:sz w:val="32"/>
          <w:szCs w:val="22"/>
        </w:rPr>
      </w:pPr>
      <w:r>
        <w:rPr>
          <w:rFonts w:hint="default" w:ascii="Times New Roman" w:hAnsi="Times New Roman" w:eastAsia="方正仿宋_GBK" w:cs="Times New Roman"/>
          <w:sz w:val="32"/>
          <w:szCs w:val="22"/>
          <w:lang w:val="en-US" w:eastAsia="zh-CN"/>
        </w:rPr>
        <w:t>1.</w:t>
      </w:r>
      <w:r>
        <w:rPr>
          <w:rFonts w:hint="default" w:ascii="Times New Roman" w:hAnsi="Times New Roman" w:eastAsia="方正仿宋_GBK" w:cs="Times New Roman"/>
          <w:sz w:val="32"/>
          <w:szCs w:val="22"/>
          <w:lang w:eastAsia="zh-CN"/>
        </w:rPr>
        <w:t>《</w:t>
      </w:r>
      <w:r>
        <w:rPr>
          <w:rFonts w:hint="eastAsia" w:ascii="Calibri" w:hAnsi="Calibri" w:eastAsia="方正仿宋_GBK" w:cs="黑体"/>
          <w:sz w:val="32"/>
          <w:szCs w:val="22"/>
          <w:lang w:eastAsia="zh-CN"/>
        </w:rPr>
        <w:t>重庆市长寿区民政局重庆市长寿区财政局</w:t>
      </w:r>
      <w:bookmarkStart w:id="0" w:name="_GoBack"/>
      <w:bookmarkEnd w:id="0"/>
      <w:r>
        <w:rPr>
          <w:rFonts w:hint="eastAsia" w:ascii="Calibri" w:hAnsi="Calibri" w:eastAsia="方正仿宋_GBK" w:cs="黑体"/>
          <w:sz w:val="32"/>
          <w:szCs w:val="22"/>
        </w:rPr>
        <w:t>关于调整被征地农转非人员困难救助工作的通知</w:t>
      </w:r>
      <w:r>
        <w:rPr>
          <w:rFonts w:hint="eastAsia" w:ascii="Calibri" w:hAnsi="Calibri" w:eastAsia="方正仿宋_GBK" w:cs="黑体"/>
          <w:sz w:val="32"/>
          <w:szCs w:val="22"/>
          <w:lang w:eastAsia="zh-CN"/>
        </w:rPr>
        <w:t>》</w:t>
      </w:r>
      <w:r>
        <w:rPr>
          <w:rFonts w:hint="eastAsia" w:ascii="Calibri" w:hAnsi="Calibri" w:eastAsia="方正仿宋_GBK" w:cs="黑体"/>
          <w:sz w:val="32"/>
          <w:szCs w:val="22"/>
        </w:rPr>
        <w:t>（长民政〔</w:t>
      </w:r>
      <w:r>
        <w:rPr>
          <w:rFonts w:hint="default" w:ascii="Times New Roman" w:hAnsi="Times New Roman" w:eastAsia="方正仿宋_GBK" w:cs="Times New Roman"/>
          <w:sz w:val="32"/>
          <w:szCs w:val="22"/>
        </w:rPr>
        <w:t>2014</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52</w:t>
      </w:r>
      <w:r>
        <w:rPr>
          <w:rFonts w:hint="eastAsia" w:ascii="Calibri" w:hAnsi="Calibri" w:eastAsia="方正仿宋_GBK" w:cs="黑体"/>
          <w:sz w:val="32"/>
          <w:szCs w:val="22"/>
        </w:rPr>
        <w:t>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Calibri" w:hAnsi="Calibri" w:eastAsia="方正仿宋_GBK" w:cs="黑体"/>
          <w:sz w:val="32"/>
          <w:szCs w:val="22"/>
          <w:lang w:val="en-US" w:eastAsia="zh-CN"/>
        </w:rPr>
      </w:pPr>
      <w:r>
        <w:rPr>
          <w:rFonts w:hint="default"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22"/>
          <w:lang w:eastAsia="zh-CN"/>
        </w:rPr>
        <w:t>《重庆</w:t>
      </w:r>
      <w:r>
        <w:rPr>
          <w:rFonts w:hint="eastAsia" w:ascii="Calibri" w:hAnsi="Calibri" w:eastAsia="方正仿宋_GBK" w:cs="黑体"/>
          <w:sz w:val="32"/>
          <w:szCs w:val="22"/>
          <w:lang w:eastAsia="zh-CN"/>
        </w:rPr>
        <w:t>市长寿区民政局关于印发</w:t>
      </w:r>
      <w:r>
        <w:rPr>
          <w:rFonts w:hint="eastAsia" w:ascii="Calibri" w:hAnsi="Calibri" w:eastAsia="方正仿宋_GBK" w:cs="黑体"/>
          <w:sz w:val="32"/>
          <w:szCs w:val="22"/>
          <w:lang w:val="en-US" w:eastAsia="zh-CN"/>
        </w:rPr>
        <w:t>&lt;</w:t>
      </w:r>
      <w:r>
        <w:rPr>
          <w:rFonts w:hint="eastAsia" w:ascii="Calibri" w:hAnsi="Calibri" w:eastAsia="方正仿宋_GBK" w:cs="黑体"/>
          <w:sz w:val="32"/>
          <w:szCs w:val="22"/>
          <w:lang w:eastAsia="zh-CN"/>
        </w:rPr>
        <w:t>重庆市长寿区城乡居民最低生活保障家庭收入核算办法（试行）</w:t>
      </w:r>
      <w:r>
        <w:rPr>
          <w:rFonts w:hint="eastAsia" w:ascii="Calibri" w:hAnsi="Calibri" w:eastAsia="方正仿宋_GBK" w:cs="黑体"/>
          <w:sz w:val="32"/>
          <w:szCs w:val="22"/>
          <w:lang w:val="en-US" w:eastAsia="zh-CN"/>
        </w:rPr>
        <w:t>&gt;</w:t>
      </w:r>
      <w:r>
        <w:rPr>
          <w:rFonts w:hint="eastAsia" w:ascii="Calibri" w:hAnsi="Calibri" w:eastAsia="方正仿宋_GBK" w:cs="黑体"/>
          <w:sz w:val="32"/>
          <w:szCs w:val="22"/>
          <w:lang w:eastAsia="zh-CN"/>
        </w:rPr>
        <w:t>的通知》（长民政〔</w:t>
      </w:r>
      <w:r>
        <w:rPr>
          <w:rFonts w:hint="default" w:ascii="Times New Roman" w:hAnsi="Times New Roman" w:eastAsia="方正仿宋_GBK" w:cs="Times New Roman"/>
          <w:sz w:val="32"/>
          <w:szCs w:val="22"/>
          <w:lang w:eastAsia="zh-CN"/>
        </w:rPr>
        <w:t>2015</w:t>
      </w:r>
      <w:r>
        <w:rPr>
          <w:rFonts w:hint="eastAsia" w:ascii="Calibri" w:hAnsi="Calibri" w:eastAsia="方正仿宋_GBK" w:cs="黑体"/>
          <w:sz w:val="32"/>
          <w:szCs w:val="22"/>
          <w:lang w:eastAsia="zh-CN"/>
        </w:rPr>
        <w:t>〕</w:t>
      </w:r>
      <w:r>
        <w:rPr>
          <w:rFonts w:hint="default" w:ascii="Times New Roman" w:hAnsi="Times New Roman" w:eastAsia="方正仿宋_GBK" w:cs="Times New Roman"/>
          <w:sz w:val="32"/>
          <w:szCs w:val="22"/>
          <w:lang w:eastAsia="zh-CN"/>
        </w:rPr>
        <w:t>225</w:t>
      </w:r>
      <w:r>
        <w:rPr>
          <w:rFonts w:hint="eastAsia" w:ascii="Calibri" w:hAnsi="Calibri" w:eastAsia="方正仿宋_GBK" w:cs="黑体"/>
          <w:sz w:val="32"/>
          <w:szCs w:val="22"/>
          <w:lang w:eastAsia="zh-CN"/>
        </w:rPr>
        <w:t>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Calibri" w:hAnsi="Calibri" w:eastAsia="方正仿宋_GBK" w:cs="黑体"/>
          <w:sz w:val="32"/>
          <w:szCs w:val="22"/>
          <w:lang w:val="en-US" w:eastAsia="zh-CN"/>
        </w:rPr>
      </w:pPr>
      <w:r>
        <w:rPr>
          <w:rFonts w:hint="default" w:ascii="Times New Roman" w:hAnsi="Times New Roman" w:eastAsia="方正仿宋_GBK" w:cs="Times New Roman"/>
          <w:sz w:val="32"/>
          <w:szCs w:val="22"/>
          <w:lang w:val="en-US" w:eastAsia="zh-CN"/>
        </w:rPr>
        <w:t>3.</w:t>
      </w:r>
      <w:r>
        <w:rPr>
          <w:rFonts w:hint="default" w:ascii="Times New Roman" w:hAnsi="Times New Roman" w:eastAsia="方正仿宋_GBK" w:cs="Times New Roman"/>
          <w:sz w:val="32"/>
          <w:szCs w:val="22"/>
          <w:lang w:eastAsia="zh-CN"/>
        </w:rPr>
        <w:t>《重</w:t>
      </w:r>
      <w:r>
        <w:rPr>
          <w:rFonts w:hint="eastAsia" w:ascii="Calibri" w:hAnsi="Calibri" w:eastAsia="方正仿宋_GBK" w:cs="黑体"/>
          <w:sz w:val="32"/>
          <w:szCs w:val="22"/>
          <w:lang w:eastAsia="zh-CN"/>
        </w:rPr>
        <w:t>庆市长寿区民政局重庆市长寿区财政局重庆市长寿区卫生与计划生育委员会重庆市长寿区医疗保险管理中心关于加强民政救助对象就医管理工作的通知》（长民政〔</w:t>
      </w:r>
      <w:r>
        <w:rPr>
          <w:rFonts w:hint="default" w:ascii="Times New Roman" w:hAnsi="Times New Roman" w:eastAsia="方正仿宋_GBK" w:cs="Times New Roman"/>
          <w:sz w:val="32"/>
          <w:szCs w:val="22"/>
          <w:lang w:eastAsia="zh-CN"/>
        </w:rPr>
        <w:t>2015</w:t>
      </w:r>
      <w:r>
        <w:rPr>
          <w:rFonts w:hint="eastAsia" w:ascii="Calibri" w:hAnsi="Calibri" w:eastAsia="方正仿宋_GBK" w:cs="黑体"/>
          <w:sz w:val="32"/>
          <w:szCs w:val="22"/>
          <w:lang w:eastAsia="zh-CN"/>
        </w:rPr>
        <w:t>〕</w:t>
      </w:r>
      <w:r>
        <w:rPr>
          <w:rFonts w:hint="default" w:ascii="Times New Roman" w:hAnsi="Times New Roman" w:eastAsia="方正仿宋_GBK" w:cs="Times New Roman"/>
          <w:sz w:val="32"/>
          <w:szCs w:val="22"/>
          <w:lang w:val="en-US" w:eastAsia="zh-CN"/>
        </w:rPr>
        <w:t>130</w:t>
      </w:r>
      <w:r>
        <w:rPr>
          <w:rFonts w:hint="eastAsia" w:ascii="Calibri" w:hAnsi="Calibri" w:eastAsia="方正仿宋_GBK" w:cs="黑体"/>
          <w:sz w:val="32"/>
          <w:szCs w:val="22"/>
          <w:lang w:eastAsia="zh-CN"/>
        </w:rPr>
        <w:t>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Calibri" w:hAnsi="Calibri" w:eastAsia="方正仿宋_GBK" w:cs="黑体"/>
          <w:sz w:val="32"/>
          <w:szCs w:val="22"/>
          <w:lang w:val="en-US" w:eastAsia="zh-CN"/>
        </w:rPr>
      </w:pPr>
      <w:r>
        <w:rPr>
          <w:rFonts w:hint="default" w:ascii="Times New Roman" w:hAnsi="Times New Roman" w:eastAsia="方正仿宋_GBK" w:cs="Times New Roman"/>
          <w:sz w:val="32"/>
          <w:szCs w:val="22"/>
          <w:lang w:val="en-US" w:eastAsia="zh-CN"/>
        </w:rPr>
        <w:t>4.</w:t>
      </w:r>
      <w:r>
        <w:rPr>
          <w:rFonts w:hint="default" w:ascii="Times New Roman" w:hAnsi="Times New Roman" w:eastAsia="方正仿宋_GBK" w:cs="Times New Roman"/>
          <w:sz w:val="32"/>
          <w:szCs w:val="22"/>
          <w:lang w:eastAsia="zh-CN"/>
        </w:rPr>
        <w:t>《重庆</w:t>
      </w:r>
      <w:r>
        <w:rPr>
          <w:rFonts w:hint="eastAsia" w:ascii="Calibri" w:hAnsi="Calibri" w:eastAsia="方正仿宋_GBK" w:cs="黑体"/>
          <w:sz w:val="32"/>
          <w:szCs w:val="22"/>
          <w:lang w:eastAsia="zh-CN"/>
        </w:rPr>
        <w:t>市长寿区民政局重庆市长寿区扶贫开发办公室关于农村低保标准与扶贫标准“两线合一”发挥低保兜底作用的通知》（长民政〔</w:t>
      </w:r>
      <w:r>
        <w:rPr>
          <w:rFonts w:hint="default" w:ascii="Times New Roman" w:hAnsi="Times New Roman" w:eastAsia="方正仿宋_GBK" w:cs="Times New Roman"/>
          <w:sz w:val="32"/>
          <w:szCs w:val="22"/>
          <w:lang w:eastAsia="zh-CN"/>
        </w:rPr>
        <w:t>2015</w:t>
      </w:r>
      <w:r>
        <w:rPr>
          <w:rFonts w:hint="eastAsia" w:ascii="Calibri" w:hAnsi="Calibri" w:eastAsia="方正仿宋_GBK" w:cs="黑体"/>
          <w:sz w:val="32"/>
          <w:szCs w:val="22"/>
          <w:lang w:eastAsia="zh-CN"/>
        </w:rPr>
        <w:t>〕</w:t>
      </w:r>
      <w:r>
        <w:rPr>
          <w:rFonts w:hint="default" w:ascii="Times New Roman" w:hAnsi="Times New Roman" w:eastAsia="方正仿宋_GBK" w:cs="Times New Roman"/>
          <w:sz w:val="32"/>
          <w:szCs w:val="22"/>
          <w:lang w:eastAsia="zh-CN"/>
        </w:rPr>
        <w:t>232</w:t>
      </w:r>
      <w:r>
        <w:rPr>
          <w:rFonts w:hint="eastAsia" w:ascii="Calibri" w:hAnsi="Calibri" w:eastAsia="方正仿宋_GBK" w:cs="黑体"/>
          <w:sz w:val="32"/>
          <w:szCs w:val="22"/>
          <w:lang w:eastAsia="zh-CN"/>
        </w:rPr>
        <w:t>号）</w:t>
      </w:r>
    </w:p>
    <w:p>
      <w:pPr>
        <w:keepNext w:val="0"/>
        <w:keepLines w:val="0"/>
        <w:pageBreakBefore w:val="0"/>
        <w:widowControl w:val="0"/>
        <w:numPr>
          <w:ilvl w:val="0"/>
          <w:numId w:val="0"/>
        </w:numPr>
        <w:kinsoku/>
        <w:wordWrap/>
        <w:overflowPunct/>
        <w:topLinePunct w:val="0"/>
        <w:autoSpaceDE/>
        <w:autoSpaceDN/>
        <w:bidi w:val="0"/>
        <w:spacing w:line="600" w:lineRule="atLeast"/>
        <w:jc w:val="both"/>
        <w:textAlignment w:val="auto"/>
        <w:rPr>
          <w:rFonts w:hint="eastAsia" w:ascii="Calibri" w:hAnsi="Calibri" w:eastAsia="方正仿宋_GBK" w:cs="黑体"/>
          <w:sz w:val="32"/>
          <w:szCs w:val="22"/>
          <w:lang w:eastAsia="zh-CN"/>
        </w:rPr>
      </w:pPr>
    </w:p>
    <w:p>
      <w:pPr>
        <w:keepNext w:val="0"/>
        <w:keepLines w:val="0"/>
        <w:pageBreakBefore w:val="0"/>
        <w:widowControl w:val="0"/>
        <w:numPr>
          <w:ilvl w:val="0"/>
          <w:numId w:val="0"/>
        </w:numPr>
        <w:kinsoku/>
        <w:wordWrap/>
        <w:overflowPunct/>
        <w:topLinePunct w:val="0"/>
        <w:autoSpaceDE/>
        <w:autoSpaceDN/>
        <w:bidi w:val="0"/>
        <w:spacing w:line="600" w:lineRule="atLeast"/>
        <w:jc w:val="both"/>
        <w:textAlignment w:val="auto"/>
        <w:rPr>
          <w:rFonts w:hint="eastAsia" w:ascii="Calibri" w:hAnsi="Calibri" w:eastAsia="方正仿宋_GBK" w:cs="黑体"/>
          <w:sz w:val="32"/>
          <w:szCs w:val="22"/>
          <w:lang w:eastAsia="zh-CN"/>
        </w:rPr>
      </w:pPr>
    </w:p>
    <w:p>
      <w:pPr>
        <w:keepNext w:val="0"/>
        <w:keepLines w:val="0"/>
        <w:pageBreakBefore w:val="0"/>
        <w:widowControl w:val="0"/>
        <w:numPr>
          <w:ilvl w:val="0"/>
          <w:numId w:val="0"/>
        </w:numPr>
        <w:kinsoku/>
        <w:wordWrap/>
        <w:overflowPunct/>
        <w:topLinePunct w:val="0"/>
        <w:autoSpaceDE/>
        <w:autoSpaceDN/>
        <w:bidi w:val="0"/>
        <w:spacing w:line="600" w:lineRule="atLeast"/>
        <w:jc w:val="both"/>
        <w:textAlignment w:val="auto"/>
        <w:rPr>
          <w:rFonts w:hint="eastAsia" w:ascii="Calibri" w:hAnsi="Calibri" w:eastAsia="方正仿宋_GBK" w:cs="黑体"/>
          <w:sz w:val="32"/>
          <w:szCs w:val="22"/>
          <w:lang w:eastAsia="zh-CN"/>
        </w:rPr>
      </w:pPr>
    </w:p>
    <w:p>
      <w:pPr>
        <w:keepNext w:val="0"/>
        <w:keepLines w:val="0"/>
        <w:pageBreakBefore w:val="0"/>
        <w:widowControl w:val="0"/>
        <w:numPr>
          <w:ilvl w:val="0"/>
          <w:numId w:val="0"/>
        </w:numPr>
        <w:kinsoku/>
        <w:wordWrap/>
        <w:overflowPunct/>
        <w:topLinePunct w:val="0"/>
        <w:autoSpaceDE/>
        <w:autoSpaceDN/>
        <w:bidi w:val="0"/>
        <w:spacing w:line="600" w:lineRule="atLeast"/>
        <w:jc w:val="both"/>
        <w:textAlignment w:val="auto"/>
        <w:rPr>
          <w:rFonts w:hint="eastAsia" w:ascii="Calibri" w:hAnsi="Calibri" w:eastAsia="方正仿宋_GBK" w:cs="黑体"/>
          <w:sz w:val="32"/>
          <w:szCs w:val="22"/>
          <w:lang w:eastAsia="zh-CN"/>
        </w:rPr>
      </w:pPr>
    </w:p>
    <w:p>
      <w:pPr>
        <w:keepNext w:val="0"/>
        <w:keepLines w:val="0"/>
        <w:pageBreakBefore w:val="0"/>
        <w:kinsoku/>
        <w:wordWrap/>
        <w:overflowPunct/>
        <w:topLinePunct w:val="0"/>
        <w:autoSpaceDE/>
        <w:autoSpaceDN/>
        <w:bidi w:val="0"/>
        <w:spacing w:line="600" w:lineRule="atLeast"/>
        <w:textAlignment w:val="auto"/>
        <w:rPr>
          <w:rFonts w:hint="eastAsia" w:ascii="方正黑体_GBK" w:hAnsi="Calibri" w:eastAsia="方正黑体_GBK" w:cs="黑体"/>
          <w:sz w:val="32"/>
          <w:szCs w:val="32"/>
        </w:rPr>
      </w:pPr>
      <w:r>
        <w:rPr>
          <w:rFonts w:hint="eastAsia" w:ascii="方正黑体_GBK" w:hAnsi="Calibri" w:eastAsia="方正黑体_GBK" w:cs="黑体"/>
          <w:sz w:val="32"/>
          <w:szCs w:val="32"/>
        </w:rPr>
        <w:t>附件</w:t>
      </w:r>
      <w:r>
        <w:rPr>
          <w:rFonts w:hint="default" w:ascii="Times New Roman" w:hAnsi="Times New Roman" w:eastAsia="方正黑体_GBK" w:cs="Times New Roman"/>
          <w:sz w:val="32"/>
          <w:szCs w:val="32"/>
        </w:rPr>
        <w:t>2</w:t>
      </w:r>
    </w:p>
    <w:p>
      <w:pPr>
        <w:keepNext w:val="0"/>
        <w:keepLines w:val="0"/>
        <w:pageBreakBefore w:val="0"/>
        <w:kinsoku/>
        <w:wordWrap/>
        <w:overflowPunct/>
        <w:topLinePunct w:val="0"/>
        <w:autoSpaceDE/>
        <w:autoSpaceDN/>
        <w:bidi w:val="0"/>
        <w:spacing w:line="600" w:lineRule="atLeast"/>
        <w:textAlignment w:val="auto"/>
        <w:rPr>
          <w:rFonts w:hint="eastAsia" w:ascii="方正仿宋_GBK" w:hAnsi="Calibri" w:eastAsia="方正仿宋_GBK" w:cs="黑体"/>
          <w:sz w:val="32"/>
          <w:szCs w:val="32"/>
        </w:rPr>
      </w:pPr>
    </w:p>
    <w:p>
      <w:pPr>
        <w:keepNext w:val="0"/>
        <w:keepLines w:val="0"/>
        <w:pageBreakBefore w:val="0"/>
        <w:kinsoku/>
        <w:wordWrap/>
        <w:overflowPunct/>
        <w:topLinePunct w:val="0"/>
        <w:autoSpaceDE/>
        <w:autoSpaceDN/>
        <w:bidi w:val="0"/>
        <w:spacing w:line="60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有效期届满继续施行的</w:t>
      </w:r>
      <w:r>
        <w:rPr>
          <w:rFonts w:hint="eastAsia" w:ascii="方正小标宋_GBK" w:hAnsi="方正小标宋_GBK" w:eastAsia="方正小标宋_GBK" w:cs="方正小标宋_GBK"/>
          <w:sz w:val="44"/>
          <w:szCs w:val="44"/>
          <w:lang w:eastAsia="zh-CN"/>
        </w:rPr>
        <w:t>区民政局</w:t>
      </w:r>
      <w:r>
        <w:rPr>
          <w:rFonts w:hint="eastAsia" w:ascii="方正小标宋_GBK" w:hAnsi="方正小标宋_GBK" w:eastAsia="方正小标宋_GBK" w:cs="方正小标宋_GBK"/>
          <w:sz w:val="44"/>
          <w:szCs w:val="44"/>
        </w:rPr>
        <w:t>规范性</w:t>
      </w:r>
    </w:p>
    <w:p>
      <w:pPr>
        <w:keepNext w:val="0"/>
        <w:keepLines w:val="0"/>
        <w:pageBreakBefore w:val="0"/>
        <w:kinsoku/>
        <w:wordWrap/>
        <w:overflowPunct/>
        <w:topLinePunct w:val="0"/>
        <w:autoSpaceDE/>
        <w:autoSpaceDN/>
        <w:bidi w:val="0"/>
        <w:spacing w:line="60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文件目录</w:t>
      </w:r>
    </w:p>
    <w:p>
      <w:pPr>
        <w:keepNext w:val="0"/>
        <w:keepLines w:val="0"/>
        <w:pageBreakBefore w:val="0"/>
        <w:kinsoku/>
        <w:wordWrap/>
        <w:overflowPunct/>
        <w:topLinePunct w:val="0"/>
        <w:autoSpaceDE/>
        <w:autoSpaceDN/>
        <w:bidi w:val="0"/>
        <w:spacing w:line="600" w:lineRule="atLeast"/>
        <w:jc w:val="center"/>
        <w:textAlignment w:val="auto"/>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楷体_GBK" w:eastAsia="方正仿宋_GBK" w:cs="方正楷体_GBK"/>
          <w:sz w:val="32"/>
          <w:szCs w:val="32"/>
        </w:rPr>
        <w:t>件）</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Calibri" w:hAnsi="Calibri" w:eastAsia="方正仿宋_GBK" w:cs="黑体"/>
          <w:sz w:val="32"/>
          <w:szCs w:val="22"/>
        </w:rPr>
      </w:pPr>
      <w:r>
        <w:rPr>
          <w:rFonts w:hint="default" w:ascii="Times New Roman" w:hAnsi="Times New Roman" w:eastAsia="方正仿宋_GBK" w:cs="Times New Roman"/>
          <w:kern w:val="2"/>
          <w:sz w:val="32"/>
          <w:szCs w:val="22"/>
          <w:lang w:val="en-US" w:eastAsia="zh-CN" w:bidi="ar-SA"/>
        </w:rPr>
        <w:t>1</w:t>
      </w:r>
      <w:r>
        <w:rPr>
          <w:rFonts w:hint="eastAsia" w:ascii="Calibri" w:hAnsi="Calibri" w:eastAsia="方正仿宋_GBK" w:cs="黑体"/>
          <w:kern w:val="2"/>
          <w:sz w:val="32"/>
          <w:szCs w:val="22"/>
          <w:lang w:val="en-US" w:eastAsia="zh-CN" w:bidi="ar-SA"/>
        </w:rPr>
        <w:t>.</w:t>
      </w:r>
      <w:r>
        <w:rPr>
          <w:rFonts w:hint="eastAsia" w:ascii="Calibri" w:hAnsi="Calibri" w:eastAsia="方正仿宋_GBK" w:cs="黑体"/>
          <w:sz w:val="32"/>
          <w:szCs w:val="22"/>
          <w:lang w:eastAsia="zh-CN"/>
        </w:rPr>
        <w:t>《重庆市长寿区民政局</w:t>
      </w:r>
      <w:r>
        <w:rPr>
          <w:rFonts w:hint="eastAsia" w:ascii="Calibri" w:hAnsi="Calibri" w:eastAsia="方正仿宋_GBK" w:cs="黑体"/>
          <w:sz w:val="32"/>
          <w:szCs w:val="22"/>
        </w:rPr>
        <w:t>关于开展四类社会组织直接登记工作的通知</w:t>
      </w:r>
      <w:r>
        <w:rPr>
          <w:rFonts w:hint="eastAsia" w:ascii="Calibri" w:hAnsi="Calibri" w:eastAsia="方正仿宋_GBK" w:cs="黑体"/>
          <w:sz w:val="32"/>
          <w:szCs w:val="22"/>
          <w:lang w:eastAsia="zh-CN"/>
        </w:rPr>
        <w:t>》</w:t>
      </w:r>
      <w:r>
        <w:rPr>
          <w:rFonts w:hint="eastAsia" w:ascii="Calibri" w:hAnsi="Calibri" w:eastAsia="方正仿宋_GBK" w:cs="黑体"/>
          <w:sz w:val="32"/>
          <w:szCs w:val="22"/>
        </w:rPr>
        <w:t>（长民政〔</w:t>
      </w:r>
      <w:r>
        <w:rPr>
          <w:rFonts w:hint="default" w:ascii="Times New Roman" w:hAnsi="Times New Roman" w:eastAsia="方正仿宋_GBK" w:cs="Times New Roman"/>
          <w:sz w:val="32"/>
          <w:szCs w:val="22"/>
        </w:rPr>
        <w:t>2014</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304</w:t>
      </w:r>
      <w:r>
        <w:rPr>
          <w:rFonts w:hint="eastAsia" w:ascii="Calibri" w:hAnsi="Calibri" w:eastAsia="方正仿宋_GBK" w:cs="黑体"/>
          <w:sz w:val="32"/>
          <w:szCs w:val="22"/>
        </w:rPr>
        <w:t>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方正仿宋_GBK" w:hAnsi="方正楷体_GBK" w:eastAsia="方正仿宋_GBK" w:cs="方正楷体_GBK"/>
          <w:sz w:val="32"/>
          <w:szCs w:val="32"/>
          <w:lang w:val="en-US" w:eastAsia="zh-CN"/>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楷体_GBK" w:eastAsia="方正仿宋_GBK" w:cs="方正楷体_GBK"/>
          <w:kern w:val="2"/>
          <w:sz w:val="32"/>
          <w:szCs w:val="32"/>
          <w:lang w:val="en-US" w:eastAsia="zh-CN" w:bidi="ar-SA"/>
        </w:rPr>
        <w:t>.</w:t>
      </w:r>
      <w:r>
        <w:rPr>
          <w:rFonts w:hint="eastAsia" w:ascii="Calibri" w:hAnsi="Calibri" w:eastAsia="方正仿宋_GBK" w:cs="黑体"/>
          <w:sz w:val="32"/>
          <w:szCs w:val="22"/>
          <w:lang w:eastAsia="zh-CN"/>
        </w:rPr>
        <w:t>《重庆市长寿区民政局重庆市长寿区教育委员会重庆市长寿区国土资源和房屋管理局重庆市长寿区城乡建设委员会重庆市长寿区人力资源和社会保障局重庆市长寿区卫生和计划生育委员会</w:t>
      </w:r>
      <w:r>
        <w:rPr>
          <w:rFonts w:hint="eastAsia" w:ascii="Calibri" w:hAnsi="Calibri" w:eastAsia="方正仿宋_GBK" w:cs="黑体"/>
          <w:sz w:val="32"/>
          <w:szCs w:val="22"/>
        </w:rPr>
        <w:t>关于建立社会救助“一门受理、协同办理”工作规程的通知</w:t>
      </w:r>
      <w:r>
        <w:rPr>
          <w:rFonts w:hint="eastAsia" w:ascii="Calibri" w:hAnsi="Calibri" w:eastAsia="方正仿宋_GBK" w:cs="黑体"/>
          <w:sz w:val="32"/>
          <w:szCs w:val="22"/>
          <w:lang w:eastAsia="zh-CN"/>
        </w:rPr>
        <w:t>》</w:t>
      </w:r>
      <w:r>
        <w:rPr>
          <w:rFonts w:hint="eastAsia" w:ascii="Calibri" w:hAnsi="Calibri" w:eastAsia="方正仿宋_GBK" w:cs="黑体"/>
          <w:sz w:val="32"/>
          <w:szCs w:val="22"/>
        </w:rPr>
        <w:t>（长民政〔</w:t>
      </w:r>
      <w:r>
        <w:rPr>
          <w:rFonts w:hint="default" w:ascii="Times New Roman" w:hAnsi="Times New Roman" w:eastAsia="方正仿宋_GBK" w:cs="Times New Roman"/>
          <w:sz w:val="32"/>
          <w:szCs w:val="22"/>
        </w:rPr>
        <w:t>2015</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219</w:t>
      </w:r>
      <w:r>
        <w:rPr>
          <w:rFonts w:hint="eastAsia" w:ascii="Calibri" w:hAnsi="Calibri" w:eastAsia="方正仿宋_GBK" w:cs="黑体"/>
          <w:sz w:val="32"/>
          <w:szCs w:val="22"/>
        </w:rPr>
        <w:t>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方正仿宋_GBK" w:hAnsi="方正楷体_GBK" w:eastAsia="方正仿宋_GBK" w:cs="方正楷体_GBK"/>
          <w:sz w:val="32"/>
          <w:szCs w:val="32"/>
          <w:lang w:val="en-US" w:eastAsia="zh-CN"/>
        </w:rPr>
      </w:pPr>
      <w:r>
        <w:rPr>
          <w:rFonts w:hint="default" w:ascii="Times New Roman" w:hAnsi="Times New Roman" w:eastAsia="方正仿宋_GBK" w:cs="Times New Roman"/>
          <w:kern w:val="2"/>
          <w:sz w:val="32"/>
          <w:szCs w:val="32"/>
          <w:lang w:val="en-US" w:eastAsia="zh-CN" w:bidi="ar-SA"/>
        </w:rPr>
        <w:t>3</w:t>
      </w:r>
      <w:r>
        <w:rPr>
          <w:rFonts w:hint="eastAsia" w:ascii="方正仿宋_GBK" w:hAnsi="方正楷体_GBK" w:eastAsia="方正仿宋_GBK" w:cs="方正楷体_GBK"/>
          <w:kern w:val="2"/>
          <w:sz w:val="32"/>
          <w:szCs w:val="32"/>
          <w:lang w:val="en-US" w:eastAsia="zh-CN" w:bidi="ar-SA"/>
        </w:rPr>
        <w:t>.</w:t>
      </w:r>
      <w:r>
        <w:rPr>
          <w:rFonts w:hint="eastAsia" w:ascii="Calibri" w:hAnsi="Calibri" w:eastAsia="方正仿宋_GBK" w:cs="黑体"/>
          <w:sz w:val="32"/>
          <w:szCs w:val="22"/>
          <w:lang w:eastAsia="zh-CN"/>
        </w:rPr>
        <w:t>《重庆市长寿区民政局重庆市长寿区残疾人联合会重庆市长寿区老龄工作委员会办公室重庆市长寿区财政局</w:t>
      </w:r>
      <w:r>
        <w:rPr>
          <w:rFonts w:hint="eastAsia" w:ascii="Calibri" w:hAnsi="Calibri" w:eastAsia="方正仿宋_GBK" w:cs="黑体"/>
          <w:sz w:val="32"/>
          <w:szCs w:val="22"/>
        </w:rPr>
        <w:t>关于印发</w:t>
      </w:r>
      <w:r>
        <w:rPr>
          <w:rFonts w:hint="eastAsia" w:ascii="Calibri" w:hAnsi="Calibri" w:eastAsia="方正仿宋_GBK" w:cs="黑体"/>
          <w:sz w:val="32"/>
          <w:szCs w:val="22"/>
          <w:lang w:val="en-US" w:eastAsia="zh-CN"/>
        </w:rPr>
        <w:t>&lt;</w:t>
      </w:r>
      <w:r>
        <w:rPr>
          <w:rFonts w:hint="eastAsia" w:ascii="Calibri" w:hAnsi="Calibri" w:eastAsia="方正仿宋_GBK" w:cs="黑体"/>
          <w:sz w:val="32"/>
          <w:szCs w:val="22"/>
        </w:rPr>
        <w:t>重庆市长寿区经济困难的高龄失能老年人养老服务补贴实施办法</w:t>
      </w:r>
      <w:r>
        <w:rPr>
          <w:rFonts w:hint="eastAsia" w:ascii="Calibri" w:hAnsi="Calibri" w:eastAsia="方正仿宋_GBK" w:cs="黑体"/>
          <w:sz w:val="32"/>
          <w:szCs w:val="22"/>
          <w:lang w:val="en-US" w:eastAsia="zh-CN"/>
        </w:rPr>
        <w:t>&gt;&lt;</w:t>
      </w:r>
      <w:r>
        <w:rPr>
          <w:rFonts w:hint="eastAsia" w:ascii="Calibri" w:hAnsi="Calibri" w:eastAsia="方正仿宋_GBK" w:cs="黑体"/>
          <w:sz w:val="32"/>
          <w:szCs w:val="22"/>
        </w:rPr>
        <w:t>重庆市长寿区贫困残疾人生活补贴实施办法</w:t>
      </w:r>
      <w:r>
        <w:rPr>
          <w:rFonts w:hint="eastAsia" w:ascii="Calibri" w:hAnsi="Calibri" w:eastAsia="方正仿宋_GBK" w:cs="黑体"/>
          <w:sz w:val="32"/>
          <w:szCs w:val="22"/>
          <w:lang w:val="en-US" w:eastAsia="zh-CN"/>
        </w:rPr>
        <w:t>&gt;&lt;</w:t>
      </w:r>
      <w:r>
        <w:rPr>
          <w:rFonts w:hint="eastAsia" w:ascii="Calibri" w:hAnsi="Calibri" w:eastAsia="方正仿宋_GBK" w:cs="黑体"/>
          <w:sz w:val="32"/>
          <w:szCs w:val="22"/>
        </w:rPr>
        <w:t>重庆市长寿区重度残疾人护理补贴实施办法</w:t>
      </w:r>
      <w:r>
        <w:rPr>
          <w:rFonts w:hint="eastAsia" w:ascii="Calibri" w:hAnsi="Calibri" w:eastAsia="方正仿宋_GBK" w:cs="黑体"/>
          <w:sz w:val="32"/>
          <w:szCs w:val="22"/>
          <w:lang w:val="en-US" w:eastAsia="zh-CN"/>
        </w:rPr>
        <w:t>&gt;</w:t>
      </w:r>
      <w:r>
        <w:rPr>
          <w:rFonts w:hint="eastAsia" w:ascii="Calibri" w:hAnsi="Calibri" w:eastAsia="方正仿宋_GBK" w:cs="黑体"/>
          <w:sz w:val="32"/>
          <w:szCs w:val="22"/>
        </w:rPr>
        <w:t>的通知》（长民政〔</w:t>
      </w:r>
      <w:r>
        <w:rPr>
          <w:rFonts w:hint="default" w:ascii="Times New Roman" w:hAnsi="Times New Roman" w:eastAsia="方正仿宋_GBK" w:cs="Times New Roman"/>
          <w:sz w:val="32"/>
          <w:szCs w:val="22"/>
        </w:rPr>
        <w:t>2015</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235</w:t>
      </w:r>
      <w:r>
        <w:rPr>
          <w:rFonts w:hint="eastAsia" w:ascii="Calibri" w:hAnsi="Calibri" w:eastAsia="方正仿宋_GBK" w:cs="黑体"/>
          <w:sz w:val="32"/>
          <w:szCs w:val="22"/>
        </w:rPr>
        <w:t xml:space="preserve"> 号）</w:t>
      </w:r>
    </w:p>
    <w:p>
      <w:pPr>
        <w:keepNext w:val="0"/>
        <w:keepLines w:val="0"/>
        <w:pageBreakBefore w:val="0"/>
        <w:numPr>
          <w:ilvl w:val="0"/>
          <w:numId w:val="0"/>
        </w:numPr>
        <w:kinsoku/>
        <w:wordWrap/>
        <w:overflowPunct/>
        <w:topLinePunct w:val="0"/>
        <w:autoSpaceDE/>
        <w:autoSpaceDN/>
        <w:bidi w:val="0"/>
        <w:spacing w:line="600" w:lineRule="atLeast"/>
        <w:ind w:firstLine="640" w:firstLineChars="200"/>
        <w:jc w:val="both"/>
        <w:textAlignment w:val="auto"/>
        <w:rPr>
          <w:rFonts w:hint="eastAsia" w:ascii="方正仿宋_GBK" w:hAnsi="方正楷体_GBK" w:eastAsia="方正仿宋_GBK" w:cs="方正楷体_GBK"/>
          <w:sz w:val="32"/>
          <w:szCs w:val="32"/>
          <w:lang w:val="en-US" w:eastAsia="zh-CN"/>
        </w:rPr>
      </w:pPr>
      <w:r>
        <w:rPr>
          <w:rFonts w:hint="default" w:ascii="Times New Roman" w:hAnsi="Times New Roman" w:eastAsia="方正仿宋_GBK" w:cs="Times New Roman"/>
          <w:kern w:val="2"/>
          <w:sz w:val="32"/>
          <w:szCs w:val="32"/>
          <w:lang w:val="en-US" w:eastAsia="zh-CN" w:bidi="ar-SA"/>
        </w:rPr>
        <w:t>4</w:t>
      </w:r>
      <w:r>
        <w:rPr>
          <w:rFonts w:hint="eastAsia" w:ascii="方正仿宋_GBK" w:hAnsi="方正楷体_GBK" w:eastAsia="方正仿宋_GBK" w:cs="方正楷体_GBK"/>
          <w:kern w:val="2"/>
          <w:sz w:val="32"/>
          <w:szCs w:val="32"/>
          <w:lang w:val="en-US" w:eastAsia="zh-CN" w:bidi="ar-SA"/>
        </w:rPr>
        <w:t>.</w:t>
      </w:r>
      <w:r>
        <w:rPr>
          <w:rFonts w:hint="eastAsia" w:ascii="Calibri" w:hAnsi="Calibri" w:eastAsia="方正仿宋_GBK" w:cs="黑体"/>
          <w:sz w:val="32"/>
          <w:szCs w:val="22"/>
        </w:rPr>
        <w:t>《重庆市长寿区民政局关于印发&lt;重庆市长寿区最低生活保障家庭收入核算办法（修订）&gt;的通知》（长民政〔</w:t>
      </w:r>
      <w:r>
        <w:rPr>
          <w:rFonts w:hint="default" w:ascii="Times New Roman" w:hAnsi="Times New Roman" w:eastAsia="方正仿宋_GBK" w:cs="Times New Roman"/>
          <w:sz w:val="32"/>
          <w:szCs w:val="22"/>
        </w:rPr>
        <w:t>2017</w:t>
      </w:r>
      <w:r>
        <w:rPr>
          <w:rFonts w:hint="eastAsia" w:ascii="Calibri" w:hAnsi="Calibri" w:eastAsia="方正仿宋_GBK" w:cs="黑体"/>
          <w:sz w:val="32"/>
          <w:szCs w:val="22"/>
        </w:rPr>
        <w:t>〕</w:t>
      </w:r>
      <w:r>
        <w:rPr>
          <w:rFonts w:hint="default" w:ascii="Times New Roman" w:hAnsi="Times New Roman" w:eastAsia="方正仿宋_GBK" w:cs="Times New Roman"/>
          <w:sz w:val="32"/>
          <w:szCs w:val="22"/>
        </w:rPr>
        <w:t>116</w:t>
      </w:r>
      <w:r>
        <w:rPr>
          <w:rFonts w:hint="eastAsia" w:ascii="Calibri" w:hAnsi="Calibri" w:eastAsia="方正仿宋_GBK" w:cs="黑体"/>
          <w:sz w:val="32"/>
          <w:szCs w:val="22"/>
        </w:rPr>
        <w:t>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C77C36"/>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3A00366"/>
    <w:rsid w:val="642C3698"/>
    <w:rsid w:val="648B0A32"/>
    <w:rsid w:val="65102B0C"/>
    <w:rsid w:val="65A31A8A"/>
    <w:rsid w:val="65CA336D"/>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1043</Words>
  <Characters>1120</Characters>
  <Lines>1</Lines>
  <Paragraphs>1</Paragraphs>
  <TotalTime>3</TotalTime>
  <ScaleCrop>false</ScaleCrop>
  <LinksUpToDate>false</LinksUpToDate>
  <CharactersWithSpaces>1204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