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重庆市长寿区民政局婚姻登记处</w:t>
      </w:r>
    </w:p>
    <w:p>
      <w:pPr>
        <w:pStyle w:val="6"/>
        <w:keepNext w:val="0"/>
        <w:keepLines w:val="0"/>
        <w:pageBreakBefore w:val="0"/>
        <w:widowControl/>
        <w:shd w:val="clear"/>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基本情况</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val="en-US" w:eastAsia="zh-CN"/>
        </w:rPr>
        <w:t>本单位</w:t>
      </w:r>
      <w:r>
        <w:rPr>
          <w:rFonts w:hint="default" w:ascii="Times New Roman" w:hAnsi="Times New Roman" w:eastAsia="方正仿宋_GBK" w:cs="Times New Roman"/>
          <w:color w:val="auto"/>
          <w:sz w:val="32"/>
          <w:szCs w:val="32"/>
          <w:shd w:val="clear" w:color="auto" w:fill="FFFFFF"/>
        </w:rPr>
        <w:t>主要职责</w:t>
      </w:r>
      <w:r>
        <w:rPr>
          <w:rFonts w:hint="default" w:ascii="Times New Roman" w:hAnsi="Times New Roman" w:eastAsia="方正仿宋_GBK" w:cs="Times New Roman"/>
          <w:color w:val="auto"/>
          <w:sz w:val="32"/>
          <w:szCs w:val="32"/>
          <w:shd w:val="clear" w:color="auto" w:fill="FFFFFF"/>
          <w:lang w:val="en-US" w:eastAsia="zh-CN"/>
        </w:rPr>
        <w:t>为</w:t>
      </w:r>
      <w:r>
        <w:rPr>
          <w:rFonts w:hint="default" w:ascii="Times New Roman" w:hAnsi="Times New Roman" w:eastAsia="方正仿宋_GBK" w:cs="Times New Roman"/>
          <w:color w:val="auto"/>
          <w:sz w:val="32"/>
          <w:szCs w:val="32"/>
          <w:shd w:val="clear" w:color="auto" w:fill="FFFFFF"/>
        </w:rPr>
        <w:t>办理婚姻登记、补发婚姻登记证、收集和保存婚姻档案、宣传婚姻法律法规、倡导文明婚俗、承办收养登记工作、承担民政局交办的其他工作。</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本单位是长寿区民政局下属参照公务员法管理事业单位，无</w:t>
      </w:r>
      <w:r>
        <w:rPr>
          <w:rFonts w:hint="default" w:ascii="Times New Roman" w:hAnsi="Times New Roman" w:eastAsia="方正仿宋_GBK" w:cs="Times New Roman"/>
          <w:color w:val="auto"/>
          <w:sz w:val="32"/>
          <w:szCs w:val="32"/>
          <w:shd w:val="clear" w:color="auto" w:fill="FFFFFF"/>
        </w:rPr>
        <w:t>下属管理单位，无内设机构，编制8人，现有职工</w:t>
      </w:r>
      <w:r>
        <w:rPr>
          <w:rFonts w:hint="default" w:ascii="Times New Roman" w:hAnsi="Times New Roman" w:eastAsia="方正仿宋_GBK" w:cs="Times New Roman"/>
          <w:color w:val="auto"/>
          <w:sz w:val="32"/>
          <w:szCs w:val="32"/>
          <w:shd w:val="clear" w:color="auto" w:fill="FFFFFF"/>
          <w:lang w:val="en-US" w:eastAsia="zh-CN"/>
        </w:rPr>
        <w:t>7人。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二、</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决算</w:t>
      </w:r>
      <w:r>
        <w:rPr>
          <w:rStyle w:val="10"/>
          <w:rFonts w:hint="default" w:ascii="Times New Roman" w:hAnsi="Times New Roman" w:eastAsia="黑体" w:cs="Times New Roman"/>
          <w:b w:val="0"/>
          <w:bCs/>
          <w:sz w:val="32"/>
          <w:szCs w:val="32"/>
          <w:shd w:val="clear" w:color="auto" w:fill="FFFFFF"/>
          <w:lang w:eastAsia="zh-CN"/>
        </w:rPr>
        <w:t>收支</w:t>
      </w:r>
      <w:r>
        <w:rPr>
          <w:rStyle w:val="10"/>
          <w:rFonts w:hint="default" w:ascii="Times New Roman" w:hAnsi="Times New Roman" w:eastAsia="黑体" w:cs="Times New Roman"/>
          <w:b w:val="0"/>
          <w:bCs/>
          <w:sz w:val="32"/>
          <w:szCs w:val="32"/>
          <w:shd w:val="clear" w:color="auto" w:fill="FFFFFF"/>
        </w:rPr>
        <w:t>情况说明</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bookmarkStart w:id="0" w:name="_GoBack"/>
      <w:bookmarkEnd w:id="0"/>
    </w:p>
    <w:p>
      <w:pPr>
        <w:pStyle w:val="6"/>
        <w:keepNext w:val="0"/>
        <w:keepLines w:val="0"/>
        <w:pageBreakBefore w:val="0"/>
        <w:shd w:val="clear"/>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度收入总计195.43万元，支出总计</w:t>
      </w:r>
      <w:r>
        <w:rPr>
          <w:rFonts w:hint="default" w:ascii="Times New Roman" w:hAnsi="Times New Roman" w:eastAsia="方正仿宋_GBK" w:cs="Times New Roman"/>
          <w:sz w:val="32"/>
          <w:szCs w:val="32"/>
        </w:rPr>
        <w:t>195.43</w:t>
      </w:r>
      <w:r>
        <w:rPr>
          <w:rFonts w:hint="default" w:ascii="Times New Roman" w:hAnsi="Times New Roman" w:eastAsia="方正仿宋_GBK" w:cs="Times New Roman"/>
          <w:sz w:val="32"/>
          <w:szCs w:val="32"/>
          <w:shd w:val="clear" w:color="auto" w:fill="FFFFFF"/>
        </w:rPr>
        <w:t>万元。收、支与2023年度相比，增加195.43万元，增长100.0%，主要原因是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度收入合计195.43万元，与2023年度相比，增加195.43万元，增长100.0%，主要原因是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195.43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w:t>
      </w:r>
      <w:r>
        <w:rPr>
          <w:rFonts w:hint="default" w:ascii="Times New Roman" w:hAnsi="Times New Roman" w:eastAsia="方正仿宋_GBK" w:cs="Times New Roman"/>
          <w:sz w:val="32"/>
          <w:szCs w:val="32"/>
          <w:highlight w:val="none"/>
          <w:shd w:val="clear" w:color="auto" w:fill="FFFFFF"/>
        </w:rPr>
        <w:t>。此外，使用非财政拨款结余（含专用结余）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195.43</w:t>
      </w:r>
      <w:r>
        <w:rPr>
          <w:rFonts w:hint="default" w:ascii="Times New Roman" w:hAnsi="Times New Roman" w:eastAsia="方正仿宋_GBK" w:cs="Times New Roman"/>
          <w:sz w:val="32"/>
          <w:szCs w:val="32"/>
          <w:shd w:val="clear" w:color="auto" w:fill="FFFFFF"/>
        </w:rPr>
        <w:t>万元，与2023年度相比，增加195.43万元，增长100.0%，主要原因是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168.43</w:t>
      </w:r>
      <w:r>
        <w:rPr>
          <w:rFonts w:hint="default" w:ascii="Times New Roman" w:hAnsi="Times New Roman" w:eastAsia="方正仿宋_GBK" w:cs="Times New Roman"/>
          <w:sz w:val="32"/>
          <w:szCs w:val="32"/>
          <w:shd w:val="clear" w:color="auto" w:fill="FFFFFF"/>
        </w:rPr>
        <w:t>万元，占86.2%；项目支出</w:t>
      </w:r>
      <w:r>
        <w:rPr>
          <w:rFonts w:hint="default" w:ascii="Times New Roman" w:hAnsi="Times New Roman" w:eastAsia="方正仿宋_GBK" w:cs="Times New Roman"/>
          <w:sz w:val="32"/>
          <w:szCs w:val="32"/>
        </w:rPr>
        <w:t>27.00</w:t>
      </w:r>
      <w:r>
        <w:rPr>
          <w:rFonts w:hint="default" w:ascii="Times New Roman" w:hAnsi="Times New Roman" w:eastAsia="方正仿宋_GBK" w:cs="Times New Roman"/>
          <w:sz w:val="32"/>
          <w:szCs w:val="32"/>
          <w:shd w:val="clear" w:color="auto" w:fill="FFFFFF"/>
        </w:rPr>
        <w:t>万元，占13.8%；经营支出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度财政拨款收、支总计195.43万元。与202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年相比，财政拨款收、支总计各增加195.43万元，增长100.0%。主要原因是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195.43</w:t>
      </w:r>
      <w:r>
        <w:rPr>
          <w:rFonts w:hint="default" w:ascii="Times New Roman" w:hAnsi="Times New Roman" w:eastAsia="方正仿宋_GBK" w:cs="Times New Roman"/>
          <w:sz w:val="32"/>
          <w:szCs w:val="32"/>
          <w:shd w:val="clear" w:color="auto" w:fill="FFFFFF"/>
        </w:rPr>
        <w:t>万元，与2023年度相比，增加195.43万元，增长100.0%。主要原因是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较年初预算数增加27.40万元，增长16.3%。主要原因是</w:t>
      </w:r>
      <w:r>
        <w:rPr>
          <w:rFonts w:hint="default" w:ascii="Times New Roman" w:hAnsi="Times New Roman" w:eastAsia="方正仿宋_GBK" w:cs="Times New Roman"/>
          <w:sz w:val="32"/>
          <w:szCs w:val="32"/>
          <w:shd w:val="clear" w:color="auto" w:fill="FFFFFF"/>
          <w:lang w:val="en-US" w:eastAsia="zh-CN"/>
        </w:rPr>
        <w:t>人员调动及增资调资。</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195.43</w:t>
      </w:r>
      <w:r>
        <w:rPr>
          <w:rFonts w:hint="default" w:ascii="Times New Roman" w:hAnsi="Times New Roman" w:eastAsia="方正仿宋_GBK" w:cs="Times New Roman"/>
          <w:sz w:val="32"/>
          <w:szCs w:val="32"/>
          <w:shd w:val="clear" w:color="auto" w:fill="FFFFFF"/>
        </w:rPr>
        <w:t>万元，与2023年度相比，增加195.43万元，增长100.0%。主要原因是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较年初预算数增加27.40万元，增长16.3%。主要原因是</w:t>
      </w:r>
      <w:r>
        <w:rPr>
          <w:rFonts w:hint="default" w:ascii="Times New Roman" w:hAnsi="Times New Roman" w:eastAsia="方正仿宋_GBK" w:cs="Times New Roman"/>
          <w:sz w:val="32"/>
          <w:szCs w:val="32"/>
          <w:shd w:val="clear" w:color="auto" w:fill="FFFFFF"/>
          <w:lang w:val="en-US" w:eastAsia="zh-CN"/>
        </w:rPr>
        <w:t>人员调动及增资调资。</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w:t>
      </w:r>
      <w:r>
        <w:rPr>
          <w:rFonts w:hint="default" w:ascii="Times New Roman" w:hAnsi="Times New Roman" w:eastAsia="方正仿宋_GBK" w:cs="Times New Roman"/>
          <w:sz w:val="32"/>
          <w:szCs w:val="32"/>
          <w:highlight w:val="none"/>
          <w:shd w:val="clear" w:color="auto" w:fill="FFFFFF"/>
        </w:rPr>
        <w:t>保障</w:t>
      </w:r>
      <w:r>
        <w:rPr>
          <w:rFonts w:hint="default" w:ascii="Times New Roman" w:hAnsi="Times New Roman" w:eastAsia="方正仿宋_GBK" w:cs="Times New Roman"/>
          <w:sz w:val="32"/>
          <w:szCs w:val="32"/>
          <w:highlight w:val="none"/>
          <w:shd w:val="clear" w:color="auto" w:fill="FFFFFF"/>
          <w:lang w:eastAsia="zh-CN"/>
        </w:rPr>
        <w:t>和</w:t>
      </w:r>
      <w:r>
        <w:rPr>
          <w:rFonts w:hint="default" w:ascii="Times New Roman" w:hAnsi="Times New Roman" w:eastAsia="方正仿宋_GBK" w:cs="Times New Roman"/>
          <w:sz w:val="32"/>
          <w:szCs w:val="32"/>
          <w:highlight w:val="none"/>
          <w:shd w:val="clear" w:color="auto" w:fill="FFFFFF"/>
        </w:rPr>
        <w:t>就业支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174.26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89.2%</w:t>
      </w:r>
      <w:r>
        <w:rPr>
          <w:rFonts w:hint="default" w:ascii="Times New Roman" w:hAnsi="Times New Roman" w:eastAsia="方正仿宋_GBK" w:cs="Times New Roman"/>
          <w:sz w:val="32"/>
          <w:szCs w:val="32"/>
          <w:shd w:val="clear" w:color="auto" w:fill="FFFFFF"/>
        </w:rPr>
        <w:t>，较年初预算数增加24.86万元，增长16.6%，主要原因是人员变动及增资调资导致</w:t>
      </w:r>
      <w:r>
        <w:rPr>
          <w:rFonts w:hint="default" w:ascii="Times New Roman" w:hAnsi="Times New Roman" w:eastAsia="方正仿宋_GBK" w:cs="Times New Roman"/>
          <w:sz w:val="32"/>
          <w:szCs w:val="32"/>
          <w:shd w:val="clear" w:color="auto" w:fill="FFFFFF"/>
          <w:lang w:val="en-US" w:eastAsia="zh-CN"/>
        </w:rPr>
        <w:t>基数发生变化。</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9.15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w:t>
      </w:r>
      <w:r>
        <w:rPr>
          <w:rFonts w:hint="default" w:ascii="Times New Roman" w:hAnsi="Times New Roman" w:eastAsia="方正仿宋_GBK" w:cs="Times New Roman"/>
          <w:sz w:val="32"/>
          <w:szCs w:val="32"/>
          <w:shd w:val="clear" w:color="auto" w:fill="FFFFFF"/>
        </w:rPr>
        <w:t>，较年初预算数增加1.15万元，增长14.4%，主要原因是人员变动及增资调资导致</w:t>
      </w:r>
      <w:r>
        <w:rPr>
          <w:rFonts w:hint="default" w:ascii="Times New Roman" w:hAnsi="Times New Roman" w:eastAsia="方正仿宋_GBK" w:cs="Times New Roman"/>
          <w:sz w:val="32"/>
          <w:szCs w:val="32"/>
          <w:shd w:val="clear" w:color="auto" w:fill="FFFFFF"/>
          <w:lang w:val="en-US" w:eastAsia="zh-CN"/>
        </w:rPr>
        <w:t>基数发生变化。</w:t>
      </w:r>
    </w:p>
    <w:p>
      <w:pPr>
        <w:keepNext w:val="0"/>
        <w:keepLines w:val="0"/>
        <w:pageBreakBefore w:val="0"/>
        <w:shd w:val="clear"/>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住房保障支出11.37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5.8%</w:t>
      </w:r>
      <w:r>
        <w:rPr>
          <w:rFonts w:hint="default" w:ascii="Times New Roman" w:hAnsi="Times New Roman" w:eastAsia="方正仿宋_GBK" w:cs="Times New Roman"/>
          <w:sz w:val="32"/>
          <w:szCs w:val="32"/>
          <w:shd w:val="clear" w:color="auto" w:fill="FFFFFF"/>
        </w:rPr>
        <w:t>，较年初预算数增加1.40万元，增长14.0%，主要原因是人员变动及增资调资导致</w:t>
      </w:r>
      <w:r>
        <w:rPr>
          <w:rFonts w:hint="default" w:ascii="Times New Roman" w:hAnsi="Times New Roman" w:eastAsia="方正仿宋_GBK" w:cs="Times New Roman"/>
          <w:sz w:val="32"/>
          <w:szCs w:val="32"/>
          <w:shd w:val="clear" w:color="auto" w:fill="FFFFFF"/>
          <w:lang w:val="en-US" w:eastAsia="zh-CN"/>
        </w:rPr>
        <w:t>缴费基数发生变化。</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度一般公共预算财政拨款基本支出</w:t>
      </w:r>
      <w:r>
        <w:rPr>
          <w:rFonts w:hint="default" w:ascii="Times New Roman" w:hAnsi="Times New Roman" w:eastAsia="方正仿宋_GBK" w:cs="Times New Roman"/>
          <w:sz w:val="32"/>
          <w:szCs w:val="32"/>
        </w:rPr>
        <w:t>168.43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142.60</w:t>
      </w:r>
      <w:r>
        <w:rPr>
          <w:rFonts w:hint="default" w:ascii="Times New Roman" w:hAnsi="Times New Roman" w:eastAsia="方正仿宋_GBK" w:cs="Times New Roman"/>
          <w:sz w:val="32"/>
          <w:szCs w:val="32"/>
          <w:shd w:val="clear" w:color="auto" w:fill="FFFFFF"/>
        </w:rPr>
        <w:t>万元，与2023年度相比，增加142.60万元，增长100.0%，主要原因是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w:t>
      </w:r>
      <w:r>
        <w:rPr>
          <w:rFonts w:hint="default" w:ascii="Times New Roman" w:hAnsi="Times New Roman" w:eastAsia="方正仿宋_GBK" w:cs="Times New Roman"/>
          <w:color w:val="auto"/>
          <w:sz w:val="32"/>
          <w:szCs w:val="32"/>
          <w:shd w:val="clear" w:color="auto" w:fill="FFFFFF"/>
          <w:lang w:eastAsia="zh-CN"/>
        </w:rPr>
        <w:t>社保、住房公积金</w:t>
      </w:r>
      <w:r>
        <w:rPr>
          <w:rFonts w:hint="default" w:ascii="Times New Roman" w:hAnsi="Times New Roman" w:eastAsia="方正仿宋_GBK" w:cs="Times New Roman"/>
          <w:color w:val="auto"/>
          <w:sz w:val="32"/>
          <w:szCs w:val="32"/>
          <w:shd w:val="clear" w:color="auto" w:fill="FFFFFF"/>
          <w:lang w:val="en-US" w:eastAsia="zh-CN"/>
        </w:rPr>
        <w:t>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25.83</w:t>
      </w:r>
      <w:r>
        <w:rPr>
          <w:rFonts w:hint="default" w:ascii="Times New Roman" w:hAnsi="Times New Roman" w:eastAsia="方正仿宋_GBK" w:cs="Times New Roman"/>
          <w:sz w:val="32"/>
          <w:szCs w:val="32"/>
          <w:shd w:val="clear" w:color="auto" w:fill="FFFFFF"/>
        </w:rPr>
        <w:t>万元，与2023年度相比，增加25.83万元，增长100.0%，主要原因是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color w:val="auto"/>
          <w:sz w:val="32"/>
          <w:szCs w:val="32"/>
          <w:shd w:val="clear" w:color="auto" w:fill="FFFFFF"/>
        </w:rPr>
        <w:t>包括</w:t>
      </w:r>
      <w:r>
        <w:rPr>
          <w:rFonts w:hint="default" w:ascii="Times New Roman" w:hAnsi="Times New Roman" w:eastAsia="方正仿宋_GBK" w:cs="Times New Roman"/>
          <w:color w:val="auto"/>
          <w:sz w:val="32"/>
          <w:szCs w:val="32"/>
          <w:shd w:val="clear" w:color="auto" w:fill="FFFFFF"/>
          <w:lang w:val="en-US" w:eastAsia="zh-CN"/>
        </w:rPr>
        <w:t>办公费、邮电费、接待费等。</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度国有资本经营预算财政拨款本年支出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度无国有资本经营预算财政拨款支出。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三、</w:t>
      </w:r>
      <w:r>
        <w:rPr>
          <w:rStyle w:val="10"/>
          <w:rFonts w:hint="default" w:ascii="Times New Roman" w:hAnsi="Times New Roman" w:eastAsia="黑体" w:cs="Times New Roman"/>
          <w:b w:val="0"/>
          <w:bCs/>
          <w:sz w:val="32"/>
          <w:szCs w:val="32"/>
          <w:shd w:val="clear" w:color="auto" w:fill="FFFFFF"/>
          <w:lang w:eastAsia="zh-CN"/>
        </w:rPr>
        <w:t>财政拨款</w:t>
      </w:r>
      <w:r>
        <w:rPr>
          <w:rStyle w:val="10"/>
          <w:rFonts w:hint="default" w:ascii="Times New Roman" w:hAnsi="Times New Roman" w:eastAsia="黑体" w:cs="Times New Roman"/>
          <w:b w:val="0"/>
          <w:bCs/>
          <w:sz w:val="32"/>
          <w:szCs w:val="32"/>
          <w:shd w:val="clear" w:color="auto" w:fill="FFFFFF"/>
        </w:rPr>
        <w:t>“三公”经费情况说明</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较上年支出数增加0.16万元，增长100.0%，主要原因是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w:t>
      </w:r>
      <w:r>
        <w:rPr>
          <w:rFonts w:hint="default" w:ascii="Times New Roman" w:hAnsi="Times New Roman" w:eastAsia="方正仿宋_GBK" w:cs="Times New Roman"/>
          <w:sz w:val="32"/>
          <w:szCs w:val="32"/>
          <w:shd w:val="clear" w:color="auto" w:fill="FFFFFF"/>
          <w:lang w:val="en-US" w:eastAsia="zh-CN"/>
        </w:rPr>
        <w:t>原因</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未购置车辆</w:t>
      </w:r>
      <w:r>
        <w:rPr>
          <w:rFonts w:hint="default" w:ascii="Times New Roman" w:hAnsi="Times New Roman" w:eastAsia="方正仿宋_GBK" w:cs="Times New Roman"/>
          <w:sz w:val="32"/>
          <w:szCs w:val="32"/>
          <w:shd w:val="clear" w:color="auto" w:fill="FFFFFF"/>
        </w:rPr>
        <w:t>。费用支出较年初预算数无增减。与2023年度相比无增减。</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highlight w:val="none"/>
          <w:shd w:val="clear" w:color="auto" w:fill="FFFFFF"/>
        </w:rPr>
        <w:t>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w:t>
      </w:r>
      <w:r>
        <w:rPr>
          <w:rFonts w:hint="default" w:ascii="Times New Roman" w:hAnsi="Times New Roman" w:eastAsia="方正仿宋_GBK" w:cs="Times New Roman"/>
          <w:sz w:val="32"/>
          <w:szCs w:val="32"/>
          <w:shd w:val="clear" w:color="auto" w:fill="FFFFFF"/>
        </w:rPr>
        <w:t>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万元，主要用于接待上级验收试点工作</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较上年支出数增加0.16万元，增长100.0%，主要原因是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w:t>
      </w:r>
      <w:r>
        <w:rPr>
          <w:rFonts w:hint="default" w:ascii="Times New Roman" w:hAnsi="Times New Roman" w:eastAsia="方正仿宋_GBK" w:cs="Times New Roman"/>
          <w:sz w:val="32"/>
          <w:szCs w:val="32"/>
          <w:shd w:val="clear" w:color="auto" w:fill="FFFFFF"/>
        </w:rPr>
        <w:t>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44.44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四、其他需要说明的事项</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万元，与2023年度相比，增加0.65万元，增长100.0%，主要原因是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25.83</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fill="FFFFFF"/>
        </w:rPr>
        <w:t>办公</w:t>
      </w:r>
      <w:r>
        <w:rPr>
          <w:rFonts w:hint="default" w:ascii="Times New Roman" w:hAnsi="Times New Roman" w:eastAsia="方正仿宋_GBK" w:cs="Times New Roman"/>
          <w:kern w:val="0"/>
          <w:sz w:val="32"/>
          <w:szCs w:val="32"/>
          <w:shd w:val="clear" w:fill="FFFFFF"/>
          <w:lang w:val="en-US" w:eastAsia="zh-CN"/>
        </w:rPr>
        <w:t>费</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kern w:val="0"/>
          <w:sz w:val="32"/>
          <w:szCs w:val="32"/>
          <w:shd w:val="clear" w:fill="FFFFFF"/>
          <w:lang w:val="en-US" w:eastAsia="zh-CN"/>
        </w:rPr>
        <w:t>水电费、</w:t>
      </w:r>
      <w:r>
        <w:rPr>
          <w:rFonts w:hint="default" w:ascii="Times New Roman" w:hAnsi="Times New Roman" w:eastAsia="方正仿宋_GBK" w:cs="Times New Roman"/>
          <w:kern w:val="0"/>
          <w:sz w:val="32"/>
          <w:szCs w:val="32"/>
          <w:shd w:val="clear" w:fill="FFFFFF"/>
        </w:rPr>
        <w:t>邮电费</w:t>
      </w:r>
      <w:r>
        <w:rPr>
          <w:rFonts w:hint="default" w:ascii="Times New Roman" w:hAnsi="Times New Roman" w:eastAsia="方正仿宋_GBK" w:cs="Times New Roman"/>
          <w:kern w:val="0"/>
          <w:sz w:val="32"/>
          <w:szCs w:val="32"/>
          <w:shd w:val="clear" w:fill="FFFFFF"/>
          <w:lang w:val="en-US" w:eastAsia="zh-CN"/>
        </w:rPr>
        <w:t>等</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机关运行经费较上年支出数增加25.83万元，增长100.0%，主要原因是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shd w:val="clear"/>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0.65万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sz w:val="32"/>
          <w:szCs w:val="32"/>
          <w:shd w:val="clear" w:color="auto" w:fill="FFFFFF"/>
          <w:lang w:val="en-US" w:eastAsia="zh-CN"/>
        </w:rPr>
        <w:t>打印机。</w:t>
      </w:r>
    </w:p>
    <w:p>
      <w:pPr>
        <w:pStyle w:val="16"/>
        <w:keepNext w:val="0"/>
        <w:keepLines w:val="0"/>
        <w:pageBreakBefore w:val="0"/>
        <w:shd w:val="clear"/>
        <w:tabs>
          <w:tab w:val="center" w:pos="4153"/>
          <w:tab w:val="left" w:pos="7275"/>
        </w:tabs>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五、预算绩效管理情况说明</w:t>
      </w:r>
    </w:p>
    <w:p>
      <w:pPr>
        <w:pStyle w:val="6"/>
        <w:keepNext w:val="0"/>
        <w:keepLines w:val="0"/>
        <w:pageBreakBefore w:val="0"/>
        <w:widowControl w:val="0"/>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kern w:val="2"/>
          <w:sz w:val="32"/>
          <w:szCs w:val="32"/>
          <w:highlight w:val="none"/>
          <w:shd w:val="clear" w:color="auto" w:fill="FFFFFF"/>
        </w:rPr>
      </w:pPr>
      <w:r>
        <w:rPr>
          <w:rFonts w:hint="default" w:ascii="Times New Roman" w:hAnsi="Times New Roman" w:eastAsia="方正楷体_GBK" w:cs="Times New Roman"/>
          <w:b w:val="0"/>
          <w:kern w:val="2"/>
          <w:sz w:val="32"/>
          <w:szCs w:val="32"/>
          <w:highlight w:val="none"/>
          <w:shd w:val="clear" w:color="auto" w:fill="FFFFFF"/>
          <w:lang w:val="en-US" w:eastAsia="zh-CN" w:bidi="ar"/>
        </w:rPr>
        <w:t>（一）预算绩效管理工作开展情况</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kern w:val="0"/>
          <w:sz w:val="32"/>
          <w:szCs w:val="32"/>
          <w:highlight w:val="none"/>
          <w:lang w:val="en-US" w:eastAsia="zh-CN" w:bidi="ar"/>
        </w:rPr>
        <w:t>根据预算绩效管理要求，我单位对1个项目开展了绩效自评，涉及财政拨款项目支出资金27万元。</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b w:val="0"/>
          <w:kern w:val="2"/>
          <w:sz w:val="32"/>
          <w:szCs w:val="32"/>
          <w:highlight w:val="none"/>
          <w:shd w:val="clear" w:color="auto" w:fill="FFFFFF"/>
          <w:lang w:val="en-US" w:eastAsia="zh-CN" w:bidi="ar"/>
        </w:rPr>
        <w:t>（二）</w:t>
      </w:r>
      <w:r>
        <w:rPr>
          <w:rFonts w:hint="default" w:ascii="Times New Roman" w:hAnsi="Times New Roman" w:eastAsia="方正楷体_GBK" w:cs="Times New Roman"/>
          <w:kern w:val="0"/>
          <w:sz w:val="32"/>
          <w:szCs w:val="32"/>
          <w:highlight w:val="none"/>
          <w:lang w:val="en-US" w:eastAsia="zh-CN" w:bidi="ar"/>
        </w:rPr>
        <w:t>绩效自评结果</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kern w:val="2"/>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lang w:val="en-US" w:eastAsia="zh-CN" w:bidi="ar"/>
        </w:rPr>
        <w:t>绩效自评结果详见附件2024年度绩效自评公开表（《项目绩效自评结果汇总表》、《项目支出绩效自评表》）。</w:t>
      </w:r>
    </w:p>
    <w:p>
      <w:pPr>
        <w:pStyle w:val="6"/>
        <w:keepNext w:val="0"/>
        <w:keepLines w:val="0"/>
        <w:pageBreakBefore w:val="0"/>
        <w:widowControl w:val="0"/>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kern w:val="2"/>
          <w:sz w:val="32"/>
          <w:szCs w:val="32"/>
          <w:highlight w:val="none"/>
          <w:shd w:val="clear" w:color="auto" w:fill="FFFFFF"/>
        </w:rPr>
      </w:pPr>
      <w:r>
        <w:rPr>
          <w:rFonts w:hint="default" w:ascii="Times New Roman" w:hAnsi="Times New Roman" w:eastAsia="方正楷体_GBK" w:cs="Times New Roman"/>
          <w:b w:val="0"/>
          <w:kern w:val="2"/>
          <w:sz w:val="32"/>
          <w:szCs w:val="32"/>
          <w:highlight w:val="none"/>
          <w:shd w:val="clear" w:color="auto" w:fill="FFFFFF"/>
          <w:lang w:val="en-US" w:eastAsia="zh-CN" w:bidi="ar"/>
        </w:rPr>
        <w:t>（三）财政绩效评价情况</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区财政局未委托第三方对我单位开展绩效评价。</w:t>
      </w:r>
    </w:p>
    <w:p>
      <w:pPr>
        <w:pStyle w:val="12"/>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Style w:val="10"/>
          <w:rFonts w:hint="default" w:ascii="Times New Roman" w:hAnsi="Times New Roman" w:eastAsia="黑体" w:cs="Times New Roman"/>
          <w:sz w:val="32"/>
          <w:szCs w:val="32"/>
          <w:shd w:val="clear" w:color="auto" w:fill="FFFFFF"/>
          <w:lang w:val="en-US" w:eastAsia="zh-CN" w:bidi="ar-SA"/>
        </w:rPr>
        <w:t xml:space="preserve"> </w:t>
      </w:r>
      <w:r>
        <w:rPr>
          <w:rStyle w:val="10"/>
          <w:rFonts w:hint="default" w:ascii="Times New Roman" w:hAnsi="Times New Roman" w:eastAsia="黑体" w:cs="Times New Roman"/>
          <w:b w:val="0"/>
          <w:bCs/>
          <w:sz w:val="32"/>
          <w:szCs w:val="32"/>
          <w:shd w:val="clear" w:color="auto" w:fill="FFFFFF"/>
          <w:lang w:val="en-US" w:eastAsia="zh-CN" w:bidi="ar-SA"/>
        </w:rPr>
        <w:t>六、专业名词解释</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cs="Times New Roman"/>
          <w:sz w:val="18"/>
          <w:szCs w:val="18"/>
        </w:rPr>
      </w:pPr>
      <w:r>
        <w:rPr>
          <w:rFonts w:hint="default" w:ascii="Times New Roman" w:hAnsi="Times New Roman" w:eastAsia="方正仿宋_GBK" w:cs="Times New Roman"/>
          <w:kern w:val="0"/>
          <w:sz w:val="32"/>
          <w:szCs w:val="32"/>
          <w:shd w:val="clear" w:fill="FFFFFF"/>
        </w:rPr>
        <w:t>本单位决算公开信息反馈和联系方式：</w:t>
      </w:r>
      <w:r>
        <w:rPr>
          <w:rFonts w:hint="default" w:ascii="Times New Roman" w:hAnsi="Times New Roman" w:eastAsia="方正仿宋_GBK" w:cs="Times New Roman"/>
          <w:color w:val="auto"/>
          <w:kern w:val="0"/>
          <w:sz w:val="32"/>
          <w:szCs w:val="32"/>
          <w:shd w:val="clear" w:fill="FFFFFF"/>
        </w:rPr>
        <w:t>023-40406858</w:t>
      </w:r>
    </w:p>
    <w:sectPr>
      <w:footerReference r:id="rId5" w:type="default"/>
      <w:pgSz w:w="11850" w:h="16783"/>
      <w:pgMar w:top="2098" w:right="1474" w:bottom="1984" w:left="1587" w:header="0" w:footer="283" w:gutter="0"/>
      <w:pgBorders>
        <w:top w:val="none" w:sz="0" w:space="0"/>
        <w:left w:val="none" w:sz="0" w:space="0"/>
        <w:bottom w:val="none" w:sz="0" w:space="0"/>
        <w:right w:val="none" w:sz="0" w:space="0"/>
      </w:pgBorders>
      <w:pgNumType w:fmt="numberInDash" w:start="2"/>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w:pict>
        <v:shape id="_x0000_s1035" o:spid="_x0000_s1035" o:spt="202" type="#_x0000_t202" style="position:absolute;left:0pt;margin-top:-57.75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3" o:spid="_x0000_s1033" o:spt="202" type="#_x0000_t202" style="position:absolute;left:0pt;margin-top:-54.75pt;height:144pt;width:144pt;mso-position-horizontal:outside;mso-position-horizontal-relative:margin;mso-wrap-style:none;z-index:25166540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31 -</w:t>
                </w:r>
                <w:r>
                  <w:rPr>
                    <w:sz w:val="28"/>
                    <w:szCs w:val="28"/>
                  </w:rPr>
                  <w:fldChar w:fldCharType="end"/>
                </w:r>
                <w:r>
                  <w:t xml:space="preserve"> </w:t>
                </w:r>
              </w:p>
            </w:txbxContent>
          </v:textbox>
        </v:shape>
      </w:pict>
    </w:r>
    <w:r>
      <w:rPr>
        <w:rFonts w:hint="default"/>
      </w:rPr>
      <w:pict>
        <v:shape id="_x0000_s1034" o:spid="_x0000_s1034" o:spt="202" type="#_x0000_t202" style="position:absolute;left:0pt;margin-top:1160.4pt;height:17.4pt;width:144pt;mso-position-horizontal:center;mso-position-horizontal-relative:margin;mso-position-vertical-relative:page;mso-wrap-style:none;z-index:25166438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74452B"/>
    <w:rsid w:val="03B87EA0"/>
    <w:rsid w:val="03E3214F"/>
    <w:rsid w:val="044C50BA"/>
    <w:rsid w:val="05AA7A2E"/>
    <w:rsid w:val="05BC6D49"/>
    <w:rsid w:val="06192835"/>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ABC541E"/>
    <w:rsid w:val="0B9335CE"/>
    <w:rsid w:val="0BF2311A"/>
    <w:rsid w:val="0C5A32DA"/>
    <w:rsid w:val="0C7927C4"/>
    <w:rsid w:val="0C9B098C"/>
    <w:rsid w:val="0D673E11"/>
    <w:rsid w:val="0DDA54E4"/>
    <w:rsid w:val="0DF248A2"/>
    <w:rsid w:val="0E3A5F83"/>
    <w:rsid w:val="0F836721"/>
    <w:rsid w:val="0FA25D96"/>
    <w:rsid w:val="107B59E5"/>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87FEE"/>
    <w:rsid w:val="14F51912"/>
    <w:rsid w:val="163A6CEE"/>
    <w:rsid w:val="17060D55"/>
    <w:rsid w:val="171E29AD"/>
    <w:rsid w:val="173708E3"/>
    <w:rsid w:val="17C374FC"/>
    <w:rsid w:val="181864E0"/>
    <w:rsid w:val="182E4AB6"/>
    <w:rsid w:val="184A7675"/>
    <w:rsid w:val="189079DC"/>
    <w:rsid w:val="189B0D0B"/>
    <w:rsid w:val="18B43F7C"/>
    <w:rsid w:val="191C433B"/>
    <w:rsid w:val="194A1770"/>
    <w:rsid w:val="19B906A4"/>
    <w:rsid w:val="1A7E5A48"/>
    <w:rsid w:val="1B6F15B6"/>
    <w:rsid w:val="1BAA2EDC"/>
    <w:rsid w:val="1CA55E64"/>
    <w:rsid w:val="1CD7147B"/>
    <w:rsid w:val="1D014A01"/>
    <w:rsid w:val="1D022362"/>
    <w:rsid w:val="1D1B04B0"/>
    <w:rsid w:val="1DA52501"/>
    <w:rsid w:val="1DBD6767"/>
    <w:rsid w:val="1DC52125"/>
    <w:rsid w:val="1DD26311"/>
    <w:rsid w:val="1E374ACB"/>
    <w:rsid w:val="1ECF0A66"/>
    <w:rsid w:val="1EF67CA4"/>
    <w:rsid w:val="1F020D3A"/>
    <w:rsid w:val="1F2C5189"/>
    <w:rsid w:val="1F2C738E"/>
    <w:rsid w:val="1F4B0B02"/>
    <w:rsid w:val="1FBB35CD"/>
    <w:rsid w:val="1FCD26AF"/>
    <w:rsid w:val="203C28E8"/>
    <w:rsid w:val="204C351E"/>
    <w:rsid w:val="20642787"/>
    <w:rsid w:val="2128241D"/>
    <w:rsid w:val="21556F04"/>
    <w:rsid w:val="22403BD3"/>
    <w:rsid w:val="22AD3177"/>
    <w:rsid w:val="235417B6"/>
    <w:rsid w:val="235977ED"/>
    <w:rsid w:val="23672FA4"/>
    <w:rsid w:val="24B92327"/>
    <w:rsid w:val="24C14514"/>
    <w:rsid w:val="24E37FCC"/>
    <w:rsid w:val="252D4D73"/>
    <w:rsid w:val="2533755C"/>
    <w:rsid w:val="25791755"/>
    <w:rsid w:val="26396DF4"/>
    <w:rsid w:val="27167136"/>
    <w:rsid w:val="271B442C"/>
    <w:rsid w:val="273635B4"/>
    <w:rsid w:val="27B23302"/>
    <w:rsid w:val="28CB4632"/>
    <w:rsid w:val="290B3245"/>
    <w:rsid w:val="29310A5F"/>
    <w:rsid w:val="29C37A35"/>
    <w:rsid w:val="2A076083"/>
    <w:rsid w:val="2A73162E"/>
    <w:rsid w:val="2A76270D"/>
    <w:rsid w:val="2B167953"/>
    <w:rsid w:val="2B200583"/>
    <w:rsid w:val="2B2729C0"/>
    <w:rsid w:val="2B8209DE"/>
    <w:rsid w:val="2B821C91"/>
    <w:rsid w:val="2BF81A22"/>
    <w:rsid w:val="2BF84CF3"/>
    <w:rsid w:val="2C636760"/>
    <w:rsid w:val="2C6762A3"/>
    <w:rsid w:val="2DFB3B2B"/>
    <w:rsid w:val="2FCA4B37"/>
    <w:rsid w:val="2FE029D7"/>
    <w:rsid w:val="2FF06E00"/>
    <w:rsid w:val="30586FEC"/>
    <w:rsid w:val="30BE67FD"/>
    <w:rsid w:val="31290816"/>
    <w:rsid w:val="315F0B22"/>
    <w:rsid w:val="31815B65"/>
    <w:rsid w:val="31A15828"/>
    <w:rsid w:val="31D84415"/>
    <w:rsid w:val="32285F6F"/>
    <w:rsid w:val="32770556"/>
    <w:rsid w:val="329C0913"/>
    <w:rsid w:val="32AA0460"/>
    <w:rsid w:val="3337290D"/>
    <w:rsid w:val="33780DC9"/>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441EB"/>
    <w:rsid w:val="3C566AD6"/>
    <w:rsid w:val="3C594871"/>
    <w:rsid w:val="3C6A5B02"/>
    <w:rsid w:val="3D083B3A"/>
    <w:rsid w:val="3D2757A1"/>
    <w:rsid w:val="3D3D4FC4"/>
    <w:rsid w:val="3D742D63"/>
    <w:rsid w:val="3DDF3AB1"/>
    <w:rsid w:val="3E1D0952"/>
    <w:rsid w:val="3E42660A"/>
    <w:rsid w:val="3E7555B1"/>
    <w:rsid w:val="3E787ED9"/>
    <w:rsid w:val="3EFC3875"/>
    <w:rsid w:val="3F032E93"/>
    <w:rsid w:val="3F0527E5"/>
    <w:rsid w:val="3F4C52C6"/>
    <w:rsid w:val="3F694D83"/>
    <w:rsid w:val="3F885DCC"/>
    <w:rsid w:val="3FCD675E"/>
    <w:rsid w:val="4004000C"/>
    <w:rsid w:val="40760DD1"/>
    <w:rsid w:val="40BD5482"/>
    <w:rsid w:val="40C761D4"/>
    <w:rsid w:val="411B6CE5"/>
    <w:rsid w:val="412070D7"/>
    <w:rsid w:val="41314E40"/>
    <w:rsid w:val="41E0734B"/>
    <w:rsid w:val="426C1EA8"/>
    <w:rsid w:val="42736402"/>
    <w:rsid w:val="42E86A87"/>
    <w:rsid w:val="43307B09"/>
    <w:rsid w:val="439A3EB9"/>
    <w:rsid w:val="43BB152F"/>
    <w:rsid w:val="44C37687"/>
    <w:rsid w:val="45CB699A"/>
    <w:rsid w:val="46202199"/>
    <w:rsid w:val="46423C66"/>
    <w:rsid w:val="465B470D"/>
    <w:rsid w:val="469D6AD4"/>
    <w:rsid w:val="471E6C84"/>
    <w:rsid w:val="4748792B"/>
    <w:rsid w:val="475D719D"/>
    <w:rsid w:val="47674801"/>
    <w:rsid w:val="4781151B"/>
    <w:rsid w:val="48225EF7"/>
    <w:rsid w:val="488F422B"/>
    <w:rsid w:val="48E36915"/>
    <w:rsid w:val="48EB6572"/>
    <w:rsid w:val="495C4A24"/>
    <w:rsid w:val="497135DF"/>
    <w:rsid w:val="4A263DF2"/>
    <w:rsid w:val="4A2F278B"/>
    <w:rsid w:val="4A6F6675"/>
    <w:rsid w:val="4B135857"/>
    <w:rsid w:val="4B7951CB"/>
    <w:rsid w:val="4B7C315C"/>
    <w:rsid w:val="4CBB6CED"/>
    <w:rsid w:val="4D1F53CA"/>
    <w:rsid w:val="4D811C56"/>
    <w:rsid w:val="4DAC4ACA"/>
    <w:rsid w:val="4DBE01D2"/>
    <w:rsid w:val="4EFD467F"/>
    <w:rsid w:val="4F0C6BA3"/>
    <w:rsid w:val="4F186D58"/>
    <w:rsid w:val="504B6EAA"/>
    <w:rsid w:val="50F06B6E"/>
    <w:rsid w:val="51D21804"/>
    <w:rsid w:val="520C20C9"/>
    <w:rsid w:val="52234D33"/>
    <w:rsid w:val="522F6E0C"/>
    <w:rsid w:val="52360AEF"/>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620164"/>
    <w:rsid w:val="55665D85"/>
    <w:rsid w:val="5582012B"/>
    <w:rsid w:val="558E4E05"/>
    <w:rsid w:val="55BE2E85"/>
    <w:rsid w:val="56530F5D"/>
    <w:rsid w:val="567700D3"/>
    <w:rsid w:val="56FF7E9E"/>
    <w:rsid w:val="578867FC"/>
    <w:rsid w:val="582632A6"/>
    <w:rsid w:val="5842572D"/>
    <w:rsid w:val="5A3B59D6"/>
    <w:rsid w:val="5AAB2B74"/>
    <w:rsid w:val="5AD134D8"/>
    <w:rsid w:val="5BF41F67"/>
    <w:rsid w:val="5C263CE4"/>
    <w:rsid w:val="5C525B41"/>
    <w:rsid w:val="5C5D2777"/>
    <w:rsid w:val="5CF66BF3"/>
    <w:rsid w:val="5D290C69"/>
    <w:rsid w:val="5DA80C2C"/>
    <w:rsid w:val="5DE2219D"/>
    <w:rsid w:val="5DF40FBD"/>
    <w:rsid w:val="5F2D4A41"/>
    <w:rsid w:val="60C74F6C"/>
    <w:rsid w:val="61015958"/>
    <w:rsid w:val="61025A59"/>
    <w:rsid w:val="613D5BBC"/>
    <w:rsid w:val="61536C39"/>
    <w:rsid w:val="61636D4B"/>
    <w:rsid w:val="62944DD7"/>
    <w:rsid w:val="6319381F"/>
    <w:rsid w:val="634466C0"/>
    <w:rsid w:val="63C25DC5"/>
    <w:rsid w:val="63C62057"/>
    <w:rsid w:val="6435487D"/>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E0DE5"/>
    <w:rsid w:val="6A6C7940"/>
    <w:rsid w:val="6A8919DC"/>
    <w:rsid w:val="6A9F1565"/>
    <w:rsid w:val="6AAD2300"/>
    <w:rsid w:val="6AD33EE6"/>
    <w:rsid w:val="6B25041B"/>
    <w:rsid w:val="6B474EF5"/>
    <w:rsid w:val="6BC938E5"/>
    <w:rsid w:val="6C0A5AC5"/>
    <w:rsid w:val="6C560CAE"/>
    <w:rsid w:val="6C576495"/>
    <w:rsid w:val="6D903FF5"/>
    <w:rsid w:val="6DA955B8"/>
    <w:rsid w:val="6DE346AB"/>
    <w:rsid w:val="6DE5391A"/>
    <w:rsid w:val="6EFD1324"/>
    <w:rsid w:val="6F453271"/>
    <w:rsid w:val="6F5A53AC"/>
    <w:rsid w:val="6FAC003D"/>
    <w:rsid w:val="6FD926BF"/>
    <w:rsid w:val="6FE55E12"/>
    <w:rsid w:val="6FE73160"/>
    <w:rsid w:val="6FFB2E76"/>
    <w:rsid w:val="708F6F7F"/>
    <w:rsid w:val="70A8330B"/>
    <w:rsid w:val="70D94BD3"/>
    <w:rsid w:val="71574775"/>
    <w:rsid w:val="71C34D91"/>
    <w:rsid w:val="72DB435C"/>
    <w:rsid w:val="72E2613A"/>
    <w:rsid w:val="72F771F4"/>
    <w:rsid w:val="73934AD2"/>
    <w:rsid w:val="73F9118C"/>
    <w:rsid w:val="750837F0"/>
    <w:rsid w:val="754758CF"/>
    <w:rsid w:val="75595ECD"/>
    <w:rsid w:val="764F62AB"/>
    <w:rsid w:val="765C45EC"/>
    <w:rsid w:val="768A7619"/>
    <w:rsid w:val="76BD23AB"/>
    <w:rsid w:val="772E1EBA"/>
    <w:rsid w:val="781926BC"/>
    <w:rsid w:val="796D60A4"/>
    <w:rsid w:val="79A031D5"/>
    <w:rsid w:val="79B47FDF"/>
    <w:rsid w:val="79C55526"/>
    <w:rsid w:val="79DA9DA8"/>
    <w:rsid w:val="79DF1AD4"/>
    <w:rsid w:val="79E569A9"/>
    <w:rsid w:val="79F62773"/>
    <w:rsid w:val="7A1525F7"/>
    <w:rsid w:val="7A5F0580"/>
    <w:rsid w:val="7A6427F2"/>
    <w:rsid w:val="7B420052"/>
    <w:rsid w:val="7BD06A28"/>
    <w:rsid w:val="7C3A7C0B"/>
    <w:rsid w:val="7C5248E4"/>
    <w:rsid w:val="7C566698"/>
    <w:rsid w:val="7C5866A3"/>
    <w:rsid w:val="7D1D29E6"/>
    <w:rsid w:val="7D7406BB"/>
    <w:rsid w:val="7DE94331"/>
    <w:rsid w:val="7E251AE1"/>
    <w:rsid w:val="7F446A19"/>
    <w:rsid w:val="7F7452B9"/>
    <w:rsid w:val="F5D77957"/>
    <w:rsid w:val="F7F3E919"/>
    <w:rsid w:val="FDBF6B2B"/>
    <w:rsid w:val="FFFBF8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textRotate="1"/>
    <customShpInfo spid="_x0000_s103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10281</Words>
  <Characters>24537</Characters>
  <Lines>186</Lines>
  <Paragraphs>52</Paragraphs>
  <TotalTime>5</TotalTime>
  <ScaleCrop>false</ScaleCrop>
  <LinksUpToDate>false</LinksUpToDate>
  <CharactersWithSpaces>25433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2025-10-15T04:37:37Z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