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after="0" w:afterAutospacing="0" w:line="596"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重庆市长寿区民政局</w:t>
      </w:r>
    </w:p>
    <w:p>
      <w:pPr>
        <w:pStyle w:val="6"/>
        <w:shd w:val="clear"/>
        <w:spacing w:before="0" w:beforeAutospacing="0" w:after="0" w:afterAutospacing="0" w:line="596" w:lineRule="exact"/>
        <w:jc w:val="center"/>
        <w:rPr>
          <w:rFonts w:hint="default" w:ascii="Times New Roman" w:hAnsi="Times New Roman" w:eastAsia="方正小标宋_GBK" w:cs="Times New Roman"/>
          <w:b w:val="0"/>
          <w:bCs w:val="0"/>
          <w:color w:val="auto"/>
          <w:sz w:val="44"/>
          <w:szCs w:val="44"/>
          <w:shd w:val="clear" w:color="auto" w:fill="FFFFFF"/>
        </w:rPr>
      </w:pPr>
      <w:r>
        <w:rPr>
          <w:rFonts w:hint="default" w:ascii="Times New Roman" w:hAnsi="Times New Roman" w:eastAsia="方正小标宋_GBK" w:cs="Times New Roman"/>
          <w:b w:val="0"/>
          <w:bCs w:val="0"/>
          <w:color w:val="auto"/>
          <w:sz w:val="44"/>
          <w:szCs w:val="44"/>
          <w:shd w:val="clear" w:color="auto" w:fill="FFFFFF"/>
        </w:rPr>
        <w:t>2024</w:t>
      </w:r>
      <w:r>
        <w:rPr>
          <w:rFonts w:hint="default" w:ascii="Times New Roman" w:hAnsi="Times New Roman" w:eastAsia="方正小标宋_GBK" w:cs="Times New Roman"/>
          <w:b w:val="0"/>
          <w:bCs w:val="0"/>
          <w:color w:val="auto"/>
          <w:sz w:val="44"/>
          <w:szCs w:val="44"/>
          <w:shd w:val="clear" w:color="auto" w:fill="FFFFFF"/>
          <w:lang w:eastAsia="zh-CN"/>
        </w:rPr>
        <w:t>年度部门</w:t>
      </w:r>
      <w:r>
        <w:rPr>
          <w:rFonts w:hint="default" w:ascii="Times New Roman" w:hAnsi="Times New Roman" w:eastAsia="方正小标宋_GBK" w:cs="Times New Roman"/>
          <w:b w:val="0"/>
          <w:bCs w:val="0"/>
          <w:color w:val="auto"/>
          <w:sz w:val="44"/>
          <w:szCs w:val="44"/>
          <w:shd w:val="clear" w:color="auto" w:fill="FFFFFF"/>
        </w:rPr>
        <w:t>决算公开说明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一、</w:t>
      </w:r>
      <w:r>
        <w:rPr>
          <w:rStyle w:val="10"/>
          <w:rFonts w:hint="default" w:ascii="Times New Roman" w:hAnsi="Times New Roman" w:eastAsia="黑体" w:cs="Times New Roman"/>
          <w:b w:val="0"/>
          <w:bCs/>
          <w:color w:val="auto"/>
          <w:sz w:val="32"/>
          <w:szCs w:val="32"/>
          <w:shd w:val="clear" w:color="auto" w:fill="FFFFFF"/>
          <w:lang w:eastAsia="zh-CN"/>
        </w:rPr>
        <w:t>部门</w:t>
      </w:r>
      <w:r>
        <w:rPr>
          <w:rStyle w:val="10"/>
          <w:rFonts w:hint="default" w:ascii="Times New Roman" w:hAnsi="Times New Roman" w:eastAsia="黑体" w:cs="Times New Roman"/>
          <w:b w:val="0"/>
          <w:bCs/>
          <w:color w:val="auto"/>
          <w:sz w:val="32"/>
          <w:szCs w:val="32"/>
          <w:shd w:val="clear" w:color="auto" w:fill="FFFFFF"/>
        </w:rPr>
        <w:t>基本情况</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（一）职能职责</w:t>
      </w:r>
    </w:p>
    <w:p>
      <w:pPr>
        <w:pStyle w:val="6"/>
        <w:keepNext w:val="0"/>
        <w:keepLines w:val="0"/>
        <w:pageBreakBefore w:val="0"/>
        <w:shd w:val="clear"/>
        <w:kinsoku/>
        <w:overflowPunct/>
        <w:topLinePunct w:val="0"/>
        <w:autoSpaceDN/>
        <w:bidi w:val="0"/>
        <w:adjustRightInd/>
        <w:spacing w:beforeAutospacing="0" w:afterAutospacing="0" w:line="594" w:lineRule="exact"/>
        <w:ind w:firstLine="420"/>
        <w:textAlignment w:val="auto"/>
        <w:rPr>
          <w:rFonts w:hint="default" w:ascii="Times New Roman" w:hAnsi="Times New Roman" w:eastAsia="方正仿宋_GBK" w:cs="Times New Roman"/>
          <w:i w:val="0"/>
          <w:iCs w:val="0"/>
          <w:caps w:val="0"/>
          <w:color w:val="auto"/>
          <w:spacing w:val="0"/>
          <w:sz w:val="32"/>
          <w:szCs w:val="32"/>
          <w:shd w:val="clear" w:fill="FFFFFF"/>
        </w:rPr>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hint="default" w:ascii="Times New Roman" w:hAnsi="Times New Roman" w:eastAsia="方正仿宋_GBK" w:cs="Times New Roman"/>
          <w:i w:val="0"/>
          <w:iCs w:val="0"/>
          <w:caps w:val="0"/>
          <w:color w:val="auto"/>
          <w:spacing w:val="0"/>
          <w:sz w:val="32"/>
          <w:szCs w:val="32"/>
          <w:shd w:val="clear" w:fill="FFFFFF"/>
        </w:rPr>
        <w:t>重庆市长寿区民政局为区政府组成部门。主要职责：贯彻执行民政工作法律、法规和方针政策，拟定民政事业发展规划，并组织实施和监督检查。负责全区区划地名工作，承担行政区划设立、命名、变更和政府驻地迁移的审核报批工作；承办区内重要自然地理实体的命名、更名审核报批工作；承担全区道路地名标志的设置和管理；承担行政区域边界线争议的调查和调处。拟定社会工作和志愿服务政策，组织推进社会工作人才队伍建设和志愿者队伍建设。按照管理权限对社会组织进行登记和日常监督管理。负责社会组织党建工作，对行业特征不明显、不能纳入相关行业社会组织综合党委的全区性社会组织（含脱钩和直接登记）党建工作进行兜底管理。按规定审核社会组织会长（理事长）、副会长（副理事长）、秘书长等负责人人选。牵头区民政局执法监督、民政领域“放管服”和行政审批制度改革等工作，承担行业标准化工作、规范性文件的合法性审查和行政复议、行政应诉等工作。推进婚俗和殡葬改革，拟定婚姻、殡葬、生活无着流浪乞讨人员救助管理政策，指导区</w:t>
      </w:r>
      <w:r>
        <w:rPr>
          <w:rFonts w:hint="default" w:ascii="Times New Roman" w:hAnsi="Times New Roman" w:eastAsia="方正仿宋_GBK" w:cs="Times New Roman"/>
          <w:i w:val="0"/>
          <w:iCs w:val="0"/>
          <w:caps w:val="0"/>
          <w:color w:val="auto"/>
          <w:spacing w:val="0"/>
          <w:sz w:val="32"/>
          <w:szCs w:val="32"/>
          <w:shd w:val="clear" w:fill="FFFFFF"/>
          <w:lang w:eastAsia="zh-CN"/>
        </w:rPr>
        <w:t>民政局</w:t>
      </w:r>
      <w:r>
        <w:rPr>
          <w:rFonts w:hint="default" w:ascii="Times New Roman" w:hAnsi="Times New Roman" w:eastAsia="方正仿宋_GBK" w:cs="Times New Roman"/>
          <w:i w:val="0"/>
          <w:iCs w:val="0"/>
          <w:caps w:val="0"/>
          <w:color w:val="auto"/>
          <w:spacing w:val="0"/>
          <w:sz w:val="32"/>
          <w:szCs w:val="32"/>
          <w:shd w:val="clear" w:fill="FFFFFF"/>
        </w:rPr>
        <w:t>婚姻登记处、区救助管理站、区殡葬管理所、区殡仪馆</w:t>
      </w:r>
    </w:p>
    <w:p>
      <w:pPr>
        <w:pStyle w:val="6"/>
        <w:keepNext w:val="0"/>
        <w:keepLines w:val="0"/>
        <w:pageBreakBefore w:val="0"/>
        <w:shd w:val="clear"/>
        <w:kinsoku/>
        <w:overflowPunct/>
        <w:topLinePunct w:val="0"/>
        <w:autoSpaceDN/>
        <w:bidi w:val="0"/>
        <w:adjustRightInd/>
        <w:spacing w:beforeAutospacing="0" w:afterAutospacing="0" w:line="594" w:lineRule="exac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rPr>
        <w:t>和公墓管理、殡仪服务管理、开展家庭暴力受害人临时庇护救助等工作。拟定儿童福利、孤弃儿童保障、儿童收养、儿童救助保护政策、标准，健全农村留守儿童关爱服务体系和困境儿童保障制度，指导儿童福利、收养登记、救助保护机构管理工作。负责贫困残疾人和重度残疾人补贴。负责全区养老服务机构和殡葬服务行业安全管理工作。拟定城乡居民最低生活保障、特困人员救助供养、临时救助等社会救助政策和标准，承办市财政困难群众救助补助资金分配和监管工作，指导区低保管理中心工作。承担老年人福利工作，拟定老年人福利补贴制度和养老服务体系建设规划、政策、标准，推进农村留守老年人关爱服务工作，指导养老服务、老年人福利、特困人员救助供养机构管理工作，负责老年人高龄津贴、经济困难的高龄失能老年人补贴和特困人员供养工作</w:t>
      </w:r>
      <w:r>
        <w:rPr>
          <w:rFonts w:hint="default" w:ascii="Times New Roman" w:hAnsi="Times New Roman" w:eastAsia="方正仿宋_GBK" w:cs="Times New Roman"/>
          <w:i w:val="0"/>
          <w:iCs w:val="0"/>
          <w:caps w:val="0"/>
          <w:color w:val="auto"/>
          <w:spacing w:val="0"/>
          <w:sz w:val="32"/>
          <w:szCs w:val="32"/>
          <w:shd w:val="clear" w:fill="FFFFFF"/>
          <w:lang w:eastAsia="zh-CN"/>
        </w:rPr>
        <w:t>。</w:t>
      </w:r>
    </w:p>
    <w:p>
      <w:pPr>
        <w:pStyle w:val="6"/>
        <w:keepNext w:val="0"/>
        <w:keepLines w:val="0"/>
        <w:pageBreakBefore w:val="0"/>
        <w:widowControl/>
        <w:numPr>
          <w:ilvl w:val="0"/>
          <w:numId w:val="1"/>
        </w:numPr>
        <w:shd w:val="clear"/>
        <w:kinsoku/>
        <w:wordWrap/>
        <w:overflowPunct/>
        <w:topLinePunct w:val="0"/>
        <w:autoSpaceDE/>
        <w:autoSpaceDN/>
        <w:bidi w:val="0"/>
        <w:adjustRightInd/>
        <w:snapToGrid/>
        <w:spacing w:beforeAutospacing="0" w:afterAutospacing="0" w:line="594" w:lineRule="exact"/>
        <w:ind w:firstLine="643" w:firstLineChars="200"/>
        <w:textAlignment w:val="auto"/>
        <w:rPr>
          <w:rStyle w:val="10"/>
          <w:rFonts w:hint="default" w:ascii="Times New Roman" w:hAnsi="Times New Roman" w:eastAsia="楷体"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机构设置</w:t>
      </w:r>
    </w:p>
    <w:p>
      <w:pPr>
        <w:pStyle w:val="6"/>
        <w:keepNext w:val="0"/>
        <w:keepLines w:val="0"/>
        <w:pageBreakBefore w:val="0"/>
        <w:numPr>
          <w:ilvl w:val="0"/>
          <w:numId w:val="0"/>
        </w:numPr>
        <w:shd w:val="clear"/>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rPr>
        <w:t>区民政局由局机关内设6个科室：办公室（信访科）、规划财务科（内审科）、区划地名科、社会组织管理科（行政审批科）、社会事务和社会救助科、老龄工作和养老服务科；6个事业单位组成（重庆市长寿区救助管理站、重庆市长寿区低保管理中心、重庆市长寿区民政</w:t>
      </w:r>
      <w:r>
        <w:rPr>
          <w:rFonts w:hint="default" w:ascii="Times New Roman" w:hAnsi="Times New Roman" w:eastAsia="方正仿宋_GBK" w:cs="Times New Roman"/>
          <w:i w:val="0"/>
          <w:iCs w:val="0"/>
          <w:caps w:val="0"/>
          <w:color w:val="auto"/>
          <w:spacing w:val="0"/>
          <w:sz w:val="32"/>
          <w:szCs w:val="32"/>
          <w:shd w:val="clear" w:fill="FFFFFF"/>
          <w:lang w:eastAsia="zh-CN"/>
        </w:rPr>
        <w:t>局</w:t>
      </w:r>
      <w:r>
        <w:rPr>
          <w:rFonts w:hint="default" w:ascii="Times New Roman" w:hAnsi="Times New Roman" w:eastAsia="方正仿宋_GBK" w:cs="Times New Roman"/>
          <w:i w:val="0"/>
          <w:iCs w:val="0"/>
          <w:caps w:val="0"/>
          <w:color w:val="auto"/>
          <w:spacing w:val="0"/>
          <w:sz w:val="32"/>
          <w:szCs w:val="32"/>
          <w:shd w:val="clear" w:fill="FFFFFF"/>
        </w:rPr>
        <w:t>婚姻登记处、重庆市长寿区殡葬管理所、重庆市长寿区养老服务</w:t>
      </w:r>
      <w:r>
        <w:rPr>
          <w:rFonts w:hint="default" w:ascii="Times New Roman" w:hAnsi="Times New Roman" w:eastAsia="方正仿宋_GBK" w:cs="Times New Roman"/>
          <w:i w:val="0"/>
          <w:iCs w:val="0"/>
          <w:caps w:val="0"/>
          <w:color w:val="auto"/>
          <w:spacing w:val="0"/>
          <w:sz w:val="32"/>
          <w:szCs w:val="32"/>
          <w:shd w:val="clear" w:fill="FFFFFF"/>
          <w:lang w:eastAsia="zh-CN"/>
        </w:rPr>
        <w:t>指导</w:t>
      </w:r>
      <w:r>
        <w:rPr>
          <w:rFonts w:hint="default" w:ascii="Times New Roman" w:hAnsi="Times New Roman" w:eastAsia="方正仿宋_GBK" w:cs="Times New Roman"/>
          <w:i w:val="0"/>
          <w:iCs w:val="0"/>
          <w:caps w:val="0"/>
          <w:color w:val="auto"/>
          <w:spacing w:val="0"/>
          <w:sz w:val="32"/>
          <w:szCs w:val="32"/>
          <w:shd w:val="clear" w:fill="FFFFFF"/>
        </w:rPr>
        <w:t>中心、重庆市长寿区殡仪馆）。</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0"/>
          <w:rFonts w:hint="default" w:ascii="Times New Roman" w:hAnsi="Times New Roman" w:eastAsia="黑体" w:cs="Times New Roman"/>
          <w:color w:val="auto"/>
          <w:sz w:val="32"/>
          <w:szCs w:val="32"/>
          <w:shd w:val="clear" w:color="auto" w:fill="FFFFFF"/>
        </w:rPr>
        <w:sectPr>
          <w:footerReference r:id="rId5" w:type="default"/>
          <w:pgSz w:w="11850" w:h="16783"/>
          <w:pgMar w:top="2098" w:right="1474" w:bottom="1984" w:left="1587" w:header="0" w:footer="283" w:gutter="0"/>
          <w:pgBorders>
            <w:top w:val="none" w:sz="0" w:space="0"/>
            <w:left w:val="none" w:sz="0" w:space="0"/>
            <w:bottom w:val="none" w:sz="0" w:space="0"/>
            <w:right w:val="none" w:sz="0" w:space="0"/>
          </w:pgBorders>
          <w:pgNumType w:fmt="numberInDash" w:start="2"/>
          <w:cols w:space="720" w:num="1"/>
          <w:docGrid w:type="lines" w:linePitch="326" w:charSpace="0"/>
        </w:sectPr>
      </w:pP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二、</w:t>
      </w:r>
      <w:r>
        <w:rPr>
          <w:rStyle w:val="10"/>
          <w:rFonts w:hint="default" w:ascii="Times New Roman" w:hAnsi="Times New Roman" w:eastAsia="黑体" w:cs="Times New Roman"/>
          <w:b w:val="0"/>
          <w:bCs/>
          <w:color w:val="auto"/>
          <w:sz w:val="32"/>
          <w:szCs w:val="32"/>
          <w:shd w:val="clear" w:color="auto" w:fill="FFFFFF"/>
          <w:lang w:eastAsia="zh-CN"/>
        </w:rPr>
        <w:t>部门</w:t>
      </w:r>
      <w:r>
        <w:rPr>
          <w:rStyle w:val="10"/>
          <w:rFonts w:hint="default" w:ascii="Times New Roman" w:hAnsi="Times New Roman" w:eastAsia="黑体" w:cs="Times New Roman"/>
          <w:b w:val="0"/>
          <w:bCs/>
          <w:color w:val="auto"/>
          <w:sz w:val="32"/>
          <w:szCs w:val="32"/>
          <w:shd w:val="clear" w:color="auto" w:fill="FFFFFF"/>
        </w:rPr>
        <w:t>决算</w:t>
      </w:r>
      <w:r>
        <w:rPr>
          <w:rStyle w:val="10"/>
          <w:rFonts w:hint="default" w:ascii="Times New Roman" w:hAnsi="Times New Roman" w:eastAsia="黑体" w:cs="Times New Roman"/>
          <w:b w:val="0"/>
          <w:bCs/>
          <w:color w:val="auto"/>
          <w:sz w:val="32"/>
          <w:szCs w:val="32"/>
          <w:shd w:val="clear" w:color="auto" w:fill="FFFFFF"/>
          <w:lang w:eastAsia="zh-CN"/>
        </w:rPr>
        <w:t>收支</w:t>
      </w:r>
      <w:r>
        <w:rPr>
          <w:rStyle w:val="10"/>
          <w:rFonts w:hint="default" w:ascii="Times New Roman" w:hAnsi="Times New Roman" w:eastAsia="黑体" w:cs="Times New Roman"/>
          <w:b w:val="0"/>
          <w:bCs/>
          <w:color w:val="auto"/>
          <w:sz w:val="32"/>
          <w:szCs w:val="32"/>
          <w:shd w:val="clear" w:color="auto" w:fill="FFFFFF"/>
        </w:rPr>
        <w:t>情况说明</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shd w:val="clear"/>
        <w:kinsoku/>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度收入总计30320.61万元，支出总计</w:t>
      </w:r>
      <w:r>
        <w:rPr>
          <w:rFonts w:hint="default" w:ascii="Times New Roman" w:hAnsi="Times New Roman" w:eastAsia="方正仿宋_GBK" w:cs="Times New Roman"/>
          <w:color w:val="auto"/>
          <w:sz w:val="32"/>
          <w:szCs w:val="32"/>
        </w:rPr>
        <w:t>30320.61</w:t>
      </w:r>
      <w:r>
        <w:rPr>
          <w:rFonts w:hint="default" w:ascii="Times New Roman" w:hAnsi="Times New Roman" w:eastAsia="方正仿宋_GBK" w:cs="Times New Roman"/>
          <w:color w:val="auto"/>
          <w:sz w:val="32"/>
          <w:szCs w:val="32"/>
          <w:shd w:val="clear" w:color="auto" w:fill="FFFFFF"/>
        </w:rPr>
        <w:t>万元。收、支与2023年度相比，增加480.26万元，增长1.6%，主要原因是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度收入合计30251.27万元，与2023年度相比，增加462.67万元，增长1.6%，主要原因是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29124.20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96.3%</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1127.07</w:t>
      </w:r>
      <w:r>
        <w:rPr>
          <w:rFonts w:hint="default" w:ascii="Times New Roman" w:hAnsi="Times New Roman" w:eastAsia="方正仿宋_GBK" w:cs="Times New Roman"/>
          <w:color w:val="auto"/>
          <w:sz w:val="32"/>
          <w:szCs w:val="32"/>
          <w:shd w:val="clear" w:color="auto" w:fill="FFFFFF"/>
        </w:rPr>
        <w:t>万元，占3.7%；经营收入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万元，占0.0%。此外，</w:t>
      </w:r>
      <w:r>
        <w:rPr>
          <w:rFonts w:hint="default" w:ascii="Times New Roman" w:hAnsi="Times New Roman" w:eastAsia="方正仿宋_GBK" w:cs="Times New Roman"/>
          <w:color w:val="auto"/>
          <w:sz w:val="32"/>
          <w:szCs w:val="32"/>
          <w:highlight w:val="none"/>
          <w:shd w:val="clear" w:color="auto" w:fill="FFFFFF"/>
        </w:rPr>
        <w:t>使用非财政拨款结余（含专用结余）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69.33</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29997.86</w:t>
      </w:r>
      <w:r>
        <w:rPr>
          <w:rFonts w:hint="default" w:ascii="Times New Roman" w:hAnsi="Times New Roman" w:eastAsia="方正仿宋_GBK" w:cs="Times New Roman"/>
          <w:color w:val="auto"/>
          <w:sz w:val="32"/>
          <w:szCs w:val="32"/>
          <w:shd w:val="clear" w:color="auto" w:fill="FFFFFF"/>
        </w:rPr>
        <w:t>万元，与2023年度相比，增加494.53万元，增长1.7%，主要原因是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2212.59</w:t>
      </w:r>
      <w:r>
        <w:rPr>
          <w:rFonts w:hint="default" w:ascii="Times New Roman" w:hAnsi="Times New Roman" w:eastAsia="方正仿宋_GBK" w:cs="Times New Roman"/>
          <w:color w:val="auto"/>
          <w:sz w:val="32"/>
          <w:szCs w:val="32"/>
          <w:shd w:val="clear" w:color="auto" w:fill="FFFFFF"/>
        </w:rPr>
        <w:t>万元，占7.4%；项目支出</w:t>
      </w:r>
      <w:r>
        <w:rPr>
          <w:rFonts w:hint="default" w:ascii="Times New Roman" w:hAnsi="Times New Roman" w:eastAsia="方正仿宋_GBK" w:cs="Times New Roman"/>
          <w:color w:val="auto"/>
          <w:sz w:val="32"/>
          <w:szCs w:val="32"/>
        </w:rPr>
        <w:t>27785.27</w:t>
      </w:r>
      <w:r>
        <w:rPr>
          <w:rFonts w:hint="default" w:ascii="Times New Roman" w:hAnsi="Times New Roman" w:eastAsia="方正仿宋_GBK" w:cs="Times New Roman"/>
          <w:color w:val="auto"/>
          <w:sz w:val="32"/>
          <w:szCs w:val="32"/>
          <w:shd w:val="clear" w:color="auto" w:fill="FFFFFF"/>
        </w:rPr>
        <w:t>万元，占92.6%；经营支出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万元，占0.0%。此外，结余分配</w:t>
      </w:r>
      <w:r>
        <w:rPr>
          <w:rFonts w:hint="default" w:ascii="Times New Roman" w:hAnsi="Times New Roman" w:eastAsia="方正仿宋_GBK" w:cs="Times New Roman"/>
          <w:color w:val="auto"/>
          <w:sz w:val="32"/>
          <w:szCs w:val="32"/>
        </w:rPr>
        <w:t>237.22</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85.52</w:t>
      </w:r>
      <w:r>
        <w:rPr>
          <w:rFonts w:hint="default" w:ascii="Times New Roman" w:hAnsi="Times New Roman" w:eastAsia="方正仿宋_GBK" w:cs="Times New Roman"/>
          <w:color w:val="auto"/>
          <w:sz w:val="32"/>
          <w:szCs w:val="32"/>
          <w:shd w:val="clear" w:color="auto" w:fill="FFFFFF"/>
        </w:rPr>
        <w:t>万元，与2023年度相比，增加16.19万元，增长23.4%，主要原因是</w:t>
      </w:r>
      <w:r>
        <w:rPr>
          <w:rFonts w:hint="default" w:ascii="Times New Roman" w:hAnsi="Times New Roman" w:eastAsia="方正仿宋_GBK" w:cs="Times New Roman"/>
          <w:color w:val="auto"/>
          <w:sz w:val="32"/>
          <w:szCs w:val="32"/>
          <w:shd w:val="clear" w:color="auto" w:fill="FFFFFF"/>
          <w:lang w:val="en-US" w:eastAsia="zh-CN"/>
        </w:rPr>
        <w:t>区殡仪馆</w:t>
      </w:r>
      <w:r>
        <w:rPr>
          <w:rFonts w:hint="default" w:ascii="Times New Roman" w:hAnsi="Times New Roman" w:eastAsia="方正仿宋_GBK" w:cs="Times New Roman"/>
          <w:color w:val="auto"/>
          <w:sz w:val="32"/>
          <w:szCs w:val="32"/>
          <w:shd w:val="clear" w:color="auto" w:fill="FFFFFF"/>
          <w:lang w:eastAsia="zh-CN"/>
        </w:rPr>
        <w:t>困难群众及无名尸丧葬费用减免项目剩余资金结转</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度财政拨款收、支总计29193.54万元。与202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年相比，财政拨款收、支总计各增加691.45万元，增长2.4%。主要原因是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度一般公共预算财政拨款收入</w:t>
      </w:r>
      <w:r>
        <w:rPr>
          <w:rFonts w:hint="default" w:ascii="Times New Roman" w:hAnsi="Times New Roman" w:eastAsia="方正仿宋_GBK" w:cs="Times New Roman"/>
          <w:color w:val="auto"/>
          <w:sz w:val="32"/>
          <w:szCs w:val="32"/>
        </w:rPr>
        <w:t>26160.29</w:t>
      </w:r>
      <w:r>
        <w:rPr>
          <w:rFonts w:hint="default" w:ascii="Times New Roman" w:hAnsi="Times New Roman" w:eastAsia="方正仿宋_GBK" w:cs="Times New Roman"/>
          <w:color w:val="auto"/>
          <w:sz w:val="32"/>
          <w:szCs w:val="32"/>
          <w:shd w:val="clear" w:color="auto" w:fill="FFFFFF"/>
        </w:rPr>
        <w:t>万元，与2023年度相比，增加707.94万元，增长2.8%。主要原因是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较年初预算数增加1953.31万元，增长8.1%。</w:t>
      </w:r>
      <w:r>
        <w:rPr>
          <w:rFonts w:hint="default" w:ascii="Times New Roman" w:hAnsi="Times New Roman" w:eastAsia="方正仿宋_GBK" w:cs="Times New Roman"/>
          <w:color w:val="auto"/>
          <w:sz w:val="32"/>
          <w:szCs w:val="32"/>
          <w:highlight w:val="none"/>
          <w:shd w:val="clear" w:color="auto" w:fill="FFFFFF"/>
        </w:rPr>
        <w:t>主要原因是困难群众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69.33</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26144.10</w:t>
      </w:r>
      <w:r>
        <w:rPr>
          <w:rFonts w:hint="default" w:ascii="Times New Roman" w:hAnsi="Times New Roman" w:eastAsia="方正仿宋_GBK" w:cs="Times New Roman"/>
          <w:color w:val="auto"/>
          <w:sz w:val="32"/>
          <w:szCs w:val="32"/>
          <w:shd w:val="clear" w:color="auto" w:fill="FFFFFF"/>
        </w:rPr>
        <w:t>万元，与2023年度相比，增加709.34万元，增长2.8%。主要原因是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较年初预算数增加1867.78万元，增长7.7%。</w:t>
      </w:r>
      <w:r>
        <w:rPr>
          <w:rFonts w:hint="default" w:ascii="Times New Roman" w:hAnsi="Times New Roman" w:eastAsia="方正仿宋_GBK" w:cs="Times New Roman"/>
          <w:color w:val="auto"/>
          <w:sz w:val="32"/>
          <w:szCs w:val="32"/>
          <w:highlight w:val="none"/>
          <w:shd w:val="clear" w:color="auto" w:fill="FFFFFF"/>
        </w:rPr>
        <w:t>主要原因是困难群众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度年末一般公共预算财政拨款结转和结余</w:t>
      </w:r>
      <w:r>
        <w:rPr>
          <w:rFonts w:hint="default" w:ascii="Times New Roman" w:hAnsi="Times New Roman" w:eastAsia="方正仿宋_GBK" w:cs="Times New Roman"/>
          <w:color w:val="auto"/>
          <w:sz w:val="32"/>
          <w:szCs w:val="32"/>
        </w:rPr>
        <w:t>85.52</w:t>
      </w:r>
      <w:r>
        <w:rPr>
          <w:rFonts w:hint="default" w:ascii="Times New Roman" w:hAnsi="Times New Roman" w:eastAsia="方正仿宋_GBK" w:cs="Times New Roman"/>
          <w:color w:val="auto"/>
          <w:sz w:val="32"/>
          <w:szCs w:val="32"/>
          <w:shd w:val="clear" w:color="auto" w:fill="FFFFFF"/>
        </w:rPr>
        <w:t>万元，与2023年度相比，增加16.19万元，增长23.4%，主要原因是</w:t>
      </w:r>
      <w:r>
        <w:rPr>
          <w:rFonts w:hint="default" w:ascii="Times New Roman" w:hAnsi="Times New Roman" w:eastAsia="方正仿宋_GBK" w:cs="Times New Roman"/>
          <w:color w:val="auto"/>
          <w:sz w:val="32"/>
          <w:szCs w:val="32"/>
          <w:shd w:val="clear" w:color="auto" w:fill="FFFFFF"/>
          <w:lang w:val="en-US" w:eastAsia="zh-CN"/>
        </w:rPr>
        <w:t>区殡仪馆</w:t>
      </w:r>
      <w:r>
        <w:rPr>
          <w:rFonts w:hint="default" w:ascii="Times New Roman" w:hAnsi="Times New Roman" w:eastAsia="方正仿宋_GBK" w:cs="Times New Roman"/>
          <w:color w:val="auto"/>
          <w:sz w:val="32"/>
          <w:szCs w:val="32"/>
          <w:shd w:val="clear" w:color="auto" w:fill="FFFFFF"/>
          <w:lang w:eastAsia="zh-CN"/>
        </w:rPr>
        <w:t>困难群众及无名尸丧葬费用减免项目剩余资金结转。</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本部门</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）教育支出</w:t>
      </w:r>
      <w:r>
        <w:rPr>
          <w:rFonts w:hint="default" w:ascii="Times New Roman" w:hAnsi="Times New Roman" w:eastAsia="方正仿宋_GBK" w:cs="Times New Roman"/>
          <w:color w:val="auto"/>
          <w:sz w:val="32"/>
          <w:szCs w:val="32"/>
        </w:rPr>
        <w:t>4.73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0.0%</w:t>
      </w:r>
      <w:r>
        <w:rPr>
          <w:rFonts w:hint="default" w:ascii="Times New Roman" w:hAnsi="Times New Roman" w:eastAsia="方正仿宋_GBK" w:cs="Times New Roman"/>
          <w:color w:val="auto"/>
          <w:sz w:val="32"/>
          <w:szCs w:val="32"/>
          <w:shd w:val="clear" w:color="auto" w:fill="FFFFFF"/>
        </w:rPr>
        <w:t>，较年初预算数减少0.73万元，下降13.4%，主要原因是</w:t>
      </w:r>
      <w:r>
        <w:rPr>
          <w:rFonts w:hint="default" w:ascii="Times New Roman" w:hAnsi="Times New Roman" w:eastAsia="方正仿宋_GBK" w:cs="Times New Roman"/>
          <w:color w:val="auto"/>
          <w:sz w:val="32"/>
          <w:szCs w:val="32"/>
          <w:shd w:val="clear" w:color="auto" w:fill="FFFFFF"/>
          <w:lang w:eastAsia="zh-CN"/>
        </w:rPr>
        <w:t>开展培训较少。</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highlight w:val="none"/>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rPr>
        <w:t>25932.10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99.2%</w:t>
      </w:r>
      <w:r>
        <w:rPr>
          <w:rFonts w:hint="default" w:ascii="Times New Roman" w:hAnsi="Times New Roman" w:eastAsia="方正仿宋_GBK" w:cs="Times New Roman"/>
          <w:color w:val="auto"/>
          <w:sz w:val="32"/>
          <w:szCs w:val="32"/>
          <w:shd w:val="clear" w:color="auto" w:fill="FFFFFF"/>
        </w:rPr>
        <w:t>，较年初预算数增加1866.20万元，增长7.8%，</w:t>
      </w:r>
      <w:r>
        <w:rPr>
          <w:rFonts w:hint="default" w:ascii="Times New Roman" w:hAnsi="Times New Roman" w:eastAsia="方正仿宋_GBK" w:cs="Times New Roman"/>
          <w:color w:val="auto"/>
          <w:sz w:val="32"/>
          <w:szCs w:val="32"/>
          <w:highlight w:val="none"/>
          <w:shd w:val="clear" w:color="auto" w:fill="FFFFFF"/>
        </w:rPr>
        <w:t>主要原因是困难群众</w:t>
      </w:r>
      <w:r>
        <w:rPr>
          <w:rFonts w:hint="default" w:ascii="Times New Roman" w:hAnsi="Times New Roman" w:eastAsia="方正仿宋_GBK" w:cs="Times New Roman"/>
          <w:color w:val="auto"/>
          <w:sz w:val="32"/>
          <w:szCs w:val="32"/>
          <w:highlight w:val="none"/>
          <w:shd w:val="clear" w:color="auto" w:fill="FFFFFF"/>
          <w:lang w:eastAsia="zh-CN"/>
        </w:rPr>
        <w:t>救助</w:t>
      </w:r>
      <w:r>
        <w:rPr>
          <w:rFonts w:hint="default" w:ascii="Times New Roman" w:hAnsi="Times New Roman" w:eastAsia="方正仿宋_GBK" w:cs="Times New Roman"/>
          <w:color w:val="auto"/>
          <w:sz w:val="32"/>
          <w:szCs w:val="32"/>
          <w:highlight w:val="none"/>
          <w:shd w:val="clear" w:color="auto" w:fill="FFFFFF"/>
        </w:rPr>
        <w:t>调标、养老扶持力度加大</w:t>
      </w:r>
      <w:r>
        <w:rPr>
          <w:rFonts w:hint="default" w:ascii="Times New Roman" w:hAnsi="Times New Roman" w:eastAsia="方正仿宋_GBK" w:cs="Times New Roman"/>
          <w:color w:val="auto"/>
          <w:sz w:val="32"/>
          <w:szCs w:val="32"/>
          <w:highlight w:val="none"/>
          <w:shd w:val="clear" w:color="auto" w:fill="FFFFFF"/>
          <w:lang w:eastAsia="zh-CN"/>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71.65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0.3%</w:t>
      </w:r>
      <w:r>
        <w:rPr>
          <w:rFonts w:hint="default" w:ascii="Times New Roman" w:hAnsi="Times New Roman" w:eastAsia="方正仿宋_GBK" w:cs="Times New Roman"/>
          <w:color w:val="auto"/>
          <w:sz w:val="32"/>
          <w:szCs w:val="32"/>
          <w:shd w:val="clear" w:color="auto" w:fill="FFFFFF"/>
        </w:rPr>
        <w:t>，较年初预算数增加1.77万元，增长2.5%</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新招录人员及拆分局属单位（区民政局婚姻登记处、区殡葬管理所、区养老服务指导中心）独立核算。</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57.88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0.2%</w:t>
      </w:r>
      <w:r>
        <w:rPr>
          <w:rFonts w:hint="default" w:ascii="Times New Roman" w:hAnsi="Times New Roman" w:eastAsia="方正仿宋_GBK" w:cs="Times New Roman"/>
          <w:color w:val="auto"/>
          <w:sz w:val="32"/>
          <w:szCs w:val="32"/>
          <w:shd w:val="clear" w:color="auto" w:fill="FFFFFF"/>
        </w:rPr>
        <w:t>，较年初预算数减少1.61万元，下降2.7%，主要原因是</w:t>
      </w:r>
      <w:r>
        <w:rPr>
          <w:rFonts w:hint="default" w:ascii="Times New Roman" w:hAnsi="Times New Roman" w:eastAsia="方正仿宋_GBK" w:cs="Times New Roman"/>
          <w:color w:val="auto"/>
          <w:sz w:val="32"/>
          <w:szCs w:val="32"/>
          <w:highlight w:val="none"/>
          <w:shd w:val="clear" w:color="auto" w:fill="FFFFFF"/>
          <w:lang w:eastAsia="zh-CN"/>
        </w:rPr>
        <w:t>村干部人员调整</w:t>
      </w:r>
      <w:r>
        <w:rPr>
          <w:rFonts w:hint="default" w:ascii="Times New Roman" w:hAnsi="Times New Roman" w:eastAsia="方正仿宋_GBK" w:cs="Times New Roman"/>
          <w:color w:val="auto"/>
          <w:sz w:val="32"/>
          <w:szCs w:val="32"/>
          <w:highlight w:val="none"/>
          <w:shd w:val="clear" w:color="auto" w:fill="FFFFFF"/>
        </w:rPr>
        <w:t>。</w:t>
      </w:r>
    </w:p>
    <w:p>
      <w:pPr>
        <w:keepNext w:val="0"/>
        <w:keepLines w:val="0"/>
        <w:pageBreakBefore w:val="0"/>
        <w:shd w:val="clear"/>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住房保障支出77.75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0.3%</w:t>
      </w:r>
      <w:r>
        <w:rPr>
          <w:rFonts w:hint="default" w:ascii="Times New Roman" w:hAnsi="Times New Roman" w:eastAsia="方正仿宋_GBK" w:cs="Times New Roman"/>
          <w:color w:val="auto"/>
          <w:sz w:val="32"/>
          <w:szCs w:val="32"/>
          <w:shd w:val="clear" w:color="auto" w:fill="FFFFFF"/>
        </w:rPr>
        <w:t>，较年初预算数增加2.17万元，增长2.9%，主要原因是</w:t>
      </w:r>
      <w:r>
        <w:rPr>
          <w:rFonts w:hint="default" w:ascii="Times New Roman" w:hAnsi="Times New Roman" w:eastAsia="方正仿宋_GBK" w:cs="Times New Roman"/>
          <w:color w:val="auto"/>
          <w:sz w:val="32"/>
          <w:szCs w:val="32"/>
          <w:highlight w:val="none"/>
          <w:shd w:val="clear" w:color="auto" w:fill="FFFFFF"/>
          <w:lang w:eastAsia="zh-CN"/>
        </w:rPr>
        <w:t>新招录人员及拆分局属单位（区民政局婚姻登记处、区殡葬管理所、区养老服务指导中心）独立核算。</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w:t>
      </w:r>
      <w:r>
        <w:rPr>
          <w:rFonts w:hint="default" w:ascii="Times New Roman" w:hAnsi="Times New Roman" w:eastAsia="方正仿宋_GBK" w:cs="Times New Roman"/>
          <w:color w:val="auto"/>
          <w:sz w:val="32"/>
          <w:szCs w:val="32"/>
          <w:shd w:val="clear" w:color="auto" w:fill="FFFFFF"/>
          <w:lang w:val="en-US"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default" w:ascii="Times New Roman" w:hAnsi="Times New Roman" w:eastAsia="方正仿宋_GBK" w:cs="Times New Roman"/>
          <w:color w:val="auto"/>
          <w:sz w:val="32"/>
          <w:szCs w:val="32"/>
        </w:rPr>
        <w:t>1325.72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1135.79</w:t>
      </w:r>
      <w:r>
        <w:rPr>
          <w:rFonts w:hint="default" w:ascii="Times New Roman" w:hAnsi="Times New Roman" w:eastAsia="方正仿宋_GBK" w:cs="Times New Roman"/>
          <w:color w:val="auto"/>
          <w:sz w:val="32"/>
          <w:szCs w:val="32"/>
          <w:shd w:val="clear" w:color="auto" w:fill="FFFFFF"/>
        </w:rPr>
        <w:t>万元，与2023年度相比，减少39.07万元，下降3.3%，主要原因是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基本工资、规范性津补贴、社保、住房公积金</w:t>
      </w:r>
      <w:r>
        <w:rPr>
          <w:rFonts w:hint="default" w:ascii="Times New Roman" w:hAnsi="Times New Roman" w:eastAsia="方正仿宋_GBK" w:cs="Times New Roman"/>
          <w:color w:val="auto"/>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189.93</w:t>
      </w:r>
      <w:r>
        <w:rPr>
          <w:rFonts w:hint="default" w:ascii="Times New Roman" w:hAnsi="Times New Roman" w:eastAsia="方正仿宋_GBK" w:cs="Times New Roman"/>
          <w:color w:val="auto"/>
          <w:sz w:val="32"/>
          <w:szCs w:val="32"/>
          <w:shd w:val="clear" w:color="auto" w:fill="FFFFFF"/>
        </w:rPr>
        <w:t>万元，与2023年度相比，增加11.85万元，增长6.7%，主要原因是</w:t>
      </w:r>
      <w:r>
        <w:rPr>
          <w:rFonts w:hint="default" w:ascii="Times New Roman" w:hAnsi="Times New Roman" w:eastAsia="方正仿宋_GBK" w:cs="Times New Roman"/>
          <w:color w:val="auto"/>
          <w:sz w:val="32"/>
          <w:szCs w:val="32"/>
          <w:highlight w:val="none"/>
          <w:shd w:val="clear" w:color="auto" w:fill="FFFFFF"/>
          <w:lang w:eastAsia="zh-CN"/>
        </w:rPr>
        <w:t>拆分局属单位（区民政局婚姻登记处、区殡葬管理所、区养老服务指导中心）独立核算。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办公费、水电费、差旅费、培训费、公务接待费、公务用车运行维护费。</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（五）政府性基金预算收支决算情况说明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度政府性基金预算财政拨款年初结转结余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2963.92</w:t>
      </w:r>
      <w:r>
        <w:rPr>
          <w:rFonts w:hint="default" w:ascii="Times New Roman" w:hAnsi="Times New Roman" w:eastAsia="方正仿宋_GBK" w:cs="Times New Roman"/>
          <w:color w:val="auto"/>
          <w:sz w:val="32"/>
          <w:szCs w:val="32"/>
          <w:shd w:val="clear" w:color="auto" w:fill="FFFFFF"/>
        </w:rPr>
        <w:t>万元，与2023年度相比，减少34.08万元，下降1.1%，主要原因是</w:t>
      </w:r>
      <w:r>
        <w:rPr>
          <w:rFonts w:hint="default" w:ascii="Times New Roman" w:hAnsi="Times New Roman" w:eastAsia="方正仿宋_GBK" w:cs="Times New Roman"/>
          <w:color w:val="auto"/>
          <w:sz w:val="32"/>
          <w:szCs w:val="32"/>
          <w:highlight w:val="none"/>
          <w:shd w:val="clear" w:color="auto" w:fill="FFFFFF"/>
        </w:rPr>
        <w:t>长寿区第一养护院建设即将完工，建设资金需求逐步减少</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2963.92</w:t>
      </w:r>
      <w:r>
        <w:rPr>
          <w:rFonts w:hint="default" w:ascii="Times New Roman" w:hAnsi="Times New Roman" w:eastAsia="方正仿宋_GBK" w:cs="Times New Roman"/>
          <w:color w:val="auto"/>
          <w:sz w:val="32"/>
          <w:szCs w:val="32"/>
          <w:shd w:val="clear" w:color="auto" w:fill="FFFFFF"/>
        </w:rPr>
        <w:t>万元，与2023年度相比，减少34.08万元，下降1.1%，</w:t>
      </w:r>
      <w:r>
        <w:rPr>
          <w:rFonts w:hint="default" w:ascii="Times New Roman" w:hAnsi="Times New Roman" w:eastAsia="方正仿宋_GBK" w:cs="Times New Roman"/>
          <w:color w:val="auto"/>
          <w:sz w:val="32"/>
          <w:szCs w:val="32"/>
          <w:highlight w:val="none"/>
          <w:shd w:val="clear" w:color="auto" w:fill="FFFFFF"/>
        </w:rPr>
        <w:t>主要原因是长寿区第一养护院建设即将完工，建设资金需求逐步减少</w:t>
      </w:r>
      <w:r>
        <w:rPr>
          <w:rFonts w:hint="default" w:ascii="Times New Roman" w:hAnsi="Times New Roman" w:eastAsia="方正仿宋_GBK" w:cs="Times New Roman"/>
          <w:color w:val="auto"/>
          <w:sz w:val="32"/>
          <w:szCs w:val="32"/>
          <w:highlight w:val="none"/>
          <w:shd w:val="clear" w:color="auto" w:fill="FFFFFF"/>
          <w:lang w:eastAsia="zh-CN"/>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度无国有资本经营预算财政拨款支出。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三、</w:t>
      </w:r>
      <w:r>
        <w:rPr>
          <w:rStyle w:val="10"/>
          <w:rFonts w:hint="default" w:ascii="Times New Roman" w:hAnsi="Times New Roman" w:eastAsia="黑体" w:cs="Times New Roman"/>
          <w:b w:val="0"/>
          <w:bCs/>
          <w:color w:val="auto"/>
          <w:sz w:val="32"/>
          <w:szCs w:val="32"/>
          <w:shd w:val="clear" w:color="auto" w:fill="FFFFFF"/>
          <w:lang w:eastAsia="zh-CN"/>
        </w:rPr>
        <w:t>财政拨款</w:t>
      </w:r>
      <w:r>
        <w:rPr>
          <w:rStyle w:val="10"/>
          <w:rFonts w:hint="default" w:ascii="Times New Roman" w:hAnsi="Times New Roman" w:eastAsia="黑体" w:cs="Times New Roman"/>
          <w:b w:val="0"/>
          <w:bCs/>
          <w:color w:val="auto"/>
          <w:sz w:val="32"/>
          <w:szCs w:val="32"/>
          <w:shd w:val="clear" w:color="auto" w:fill="FFFFFF"/>
        </w:rPr>
        <w:t>“三公”经费情况说明</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度“三公”经费支出共计</w:t>
      </w:r>
      <w:r>
        <w:rPr>
          <w:rFonts w:hint="default" w:ascii="Times New Roman" w:hAnsi="Times New Roman" w:eastAsia="方正仿宋_GBK" w:cs="Times New Roman"/>
          <w:color w:val="auto"/>
          <w:sz w:val="32"/>
          <w:szCs w:val="32"/>
        </w:rPr>
        <w:t>15.06</w:t>
      </w:r>
      <w:r>
        <w:rPr>
          <w:rFonts w:hint="default" w:ascii="Times New Roman" w:hAnsi="Times New Roman" w:eastAsia="方正仿宋_GBK" w:cs="Times New Roman"/>
          <w:color w:val="auto"/>
          <w:sz w:val="32"/>
          <w:szCs w:val="32"/>
          <w:shd w:val="clear" w:color="auto" w:fill="FFFFFF"/>
        </w:rPr>
        <w:t>万元，较年初预算数减少5.07万元，下降25.2%，主要原因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rPr>
        <w:t>严格执行相关规定，控制三公经费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较上年支出数增加0.77万元，增长5.4%</w:t>
      </w:r>
      <w:r>
        <w:rPr>
          <w:rFonts w:hint="default" w:ascii="Times New Roman" w:hAnsi="Times New Roman" w:eastAsia="方正仿宋_GBK" w:cs="Times New Roman"/>
          <w:color w:val="auto"/>
          <w:sz w:val="32"/>
          <w:szCs w:val="32"/>
          <w:highlight w:val="none"/>
          <w:shd w:val="clear" w:color="auto" w:fill="FFFFFF"/>
        </w:rPr>
        <w:t>，主要原因是</w:t>
      </w:r>
      <w:r>
        <w:rPr>
          <w:rFonts w:hint="default" w:ascii="Times New Roman" w:hAnsi="Times New Roman" w:eastAsia="方正仿宋_GBK" w:cs="Times New Roman"/>
          <w:color w:val="auto"/>
          <w:sz w:val="32"/>
          <w:szCs w:val="32"/>
          <w:highlight w:val="none"/>
          <w:shd w:val="clear" w:color="auto" w:fill="FFFFFF"/>
          <w:lang w:eastAsia="zh-CN"/>
        </w:rPr>
        <w:t>区低保管理中心</w:t>
      </w:r>
      <w:r>
        <w:rPr>
          <w:rFonts w:hint="default" w:ascii="Times New Roman" w:hAnsi="Times New Roman" w:eastAsia="方正仿宋_GBK" w:cs="Times New Roman"/>
          <w:color w:val="auto"/>
          <w:sz w:val="32"/>
          <w:szCs w:val="32"/>
          <w:highlight w:val="none"/>
          <w:shd w:val="clear" w:color="auto" w:fill="FFFFFF"/>
          <w:lang w:val="en-US" w:eastAsia="zh-CN"/>
        </w:rPr>
        <w:t>公务用车</w:t>
      </w:r>
      <w:r>
        <w:rPr>
          <w:rFonts w:hint="default" w:ascii="Times New Roman" w:hAnsi="Times New Roman" w:eastAsia="方正仿宋_GBK" w:cs="Times New Roman"/>
          <w:color w:val="auto"/>
          <w:sz w:val="32"/>
          <w:szCs w:val="32"/>
          <w:shd w:val="clear" w:color="auto" w:fill="FFFFFF"/>
          <w:lang w:val="en-US" w:eastAsia="zh-CN"/>
        </w:rPr>
        <w:t>运行维护费增加。</w:t>
      </w:r>
    </w:p>
    <w:p>
      <w:pPr>
        <w:pStyle w:val="11"/>
        <w:keepNext w:val="0"/>
        <w:keepLines w:val="0"/>
        <w:pageBreakBefore w:val="0"/>
        <w:numPr>
          <w:ilvl w:val="0"/>
          <w:numId w:val="2"/>
        </w:numPr>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“三公”经费分项支出情况</w:t>
      </w:r>
    </w:p>
    <w:p>
      <w:pPr>
        <w:pStyle w:val="11"/>
        <w:keepNext w:val="0"/>
        <w:keepLines w:val="0"/>
        <w:pageBreakBefore w:val="0"/>
        <w:numPr>
          <w:ilvl w:val="0"/>
          <w:numId w:val="0"/>
        </w:numPr>
        <w:shd w:val="clear"/>
        <w:kinsoku/>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费用支出较年初预算数无增减，较上年支出数无增减，主要原因是</w:t>
      </w:r>
      <w:r>
        <w:rPr>
          <w:rFonts w:hint="default" w:ascii="Times New Roman" w:hAnsi="Times New Roman" w:eastAsia="方正仿宋_GBK" w:cs="Times New Roman"/>
          <w:color w:val="auto"/>
          <w:sz w:val="32"/>
          <w:szCs w:val="32"/>
          <w:shd w:val="clear" w:color="auto" w:fill="FFFFFF"/>
          <w:lang w:eastAsia="zh-CN"/>
        </w:rPr>
        <w:t>本单位无因公</w:t>
      </w:r>
      <w:r>
        <w:rPr>
          <w:rFonts w:hint="default" w:ascii="Times New Roman" w:hAnsi="Times New Roman" w:eastAsia="方正仿宋_GBK" w:cs="Times New Roman"/>
          <w:color w:val="auto"/>
          <w:sz w:val="32"/>
          <w:szCs w:val="32"/>
          <w:shd w:val="clear" w:color="auto" w:fill="FFFFFF"/>
        </w:rPr>
        <w:t>出国（境）。</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车购</w:t>
      </w:r>
      <w:r>
        <w:rPr>
          <w:rFonts w:hint="default" w:ascii="Times New Roman" w:hAnsi="Times New Roman" w:eastAsia="方正仿宋_GBK" w:cs="Times New Roman"/>
          <w:color w:val="auto"/>
          <w:sz w:val="32"/>
          <w:szCs w:val="32"/>
          <w:shd w:val="clear" w:color="auto" w:fill="FFFFFF"/>
        </w:rPr>
        <w:t>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万元，费用支出较年初预算数无增减，与2023年度相比无增减，主要原因是</w:t>
      </w:r>
      <w:r>
        <w:rPr>
          <w:rFonts w:hint="default" w:ascii="Times New Roman" w:hAnsi="Times New Roman" w:eastAsia="方正仿宋_GBK" w:cs="Times New Roman"/>
          <w:color w:val="auto"/>
          <w:sz w:val="32"/>
          <w:szCs w:val="32"/>
          <w:shd w:val="clear" w:color="auto" w:fill="FFFFFF"/>
          <w:lang w:eastAsia="zh-CN"/>
        </w:rPr>
        <w:t>未新购置车辆</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shd w:val="clear" w:color="auto" w:fill="FFFFFF"/>
        </w:rPr>
        <w:t>公务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车运行维</w:t>
      </w:r>
      <w:r>
        <w:rPr>
          <w:rFonts w:hint="default" w:ascii="Times New Roman" w:hAnsi="Times New Roman" w:eastAsia="方正仿宋_GBK" w:cs="Times New Roman"/>
          <w:color w:val="auto"/>
          <w:sz w:val="32"/>
          <w:szCs w:val="32"/>
          <w:shd w:val="clear" w:color="auto" w:fill="FFFFFF"/>
        </w:rPr>
        <w:t>护费</w:t>
      </w:r>
      <w:r>
        <w:rPr>
          <w:rFonts w:hint="default" w:ascii="Times New Roman" w:hAnsi="Times New Roman" w:eastAsia="方正仿宋_GBK" w:cs="Times New Roman"/>
          <w:color w:val="auto"/>
          <w:sz w:val="32"/>
          <w:szCs w:val="32"/>
        </w:rPr>
        <w:t>11.99</w:t>
      </w:r>
      <w:r>
        <w:rPr>
          <w:rFonts w:hint="default" w:ascii="Times New Roman" w:hAnsi="Times New Roman" w:eastAsia="方正仿宋_GBK" w:cs="Times New Roman"/>
          <w:color w:val="auto"/>
          <w:sz w:val="32"/>
          <w:szCs w:val="32"/>
          <w:shd w:val="clear" w:color="auto" w:fill="FFFFFF"/>
        </w:rPr>
        <w:t>万元，主要用于公务用</w:t>
      </w:r>
      <w:r>
        <w:rPr>
          <w:rFonts w:hint="default" w:ascii="Times New Roman" w:hAnsi="Times New Roman" w:eastAsia="方正仿宋_GBK" w:cs="Times New Roman"/>
          <w:color w:val="auto"/>
          <w:sz w:val="32"/>
          <w:szCs w:val="32"/>
          <w:shd w:val="clear" w:color="auto" w:fill="FFFFFF"/>
          <w:lang w:eastAsia="zh-CN"/>
        </w:rPr>
        <w:t>车</w:t>
      </w:r>
      <w:r>
        <w:rPr>
          <w:rFonts w:hint="default" w:ascii="Times New Roman" w:hAnsi="Times New Roman" w:eastAsia="方正仿宋_GBK" w:cs="Times New Roman"/>
          <w:color w:val="auto"/>
          <w:sz w:val="32"/>
          <w:szCs w:val="32"/>
          <w:shd w:val="clear" w:color="auto" w:fill="FFFFFF"/>
        </w:rPr>
        <w:t>维修费、燃油费、过路过桥费、洗车费等。费用支出较年初预算数减少3.29万元，下降21.5%，主要原因是</w:t>
      </w:r>
      <w:r>
        <w:rPr>
          <w:rFonts w:hint="default" w:ascii="Times New Roman" w:hAnsi="Times New Roman" w:eastAsia="方正仿宋_GBK" w:cs="Times New Roman"/>
          <w:color w:val="auto"/>
          <w:sz w:val="32"/>
          <w:szCs w:val="32"/>
          <w:shd w:val="clear" w:color="auto" w:fill="FFFFFF"/>
          <w:lang w:eastAsia="zh-CN"/>
        </w:rPr>
        <w:t>本年度跨区培训及检查减少。</w:t>
      </w:r>
      <w:r>
        <w:rPr>
          <w:rFonts w:hint="default" w:ascii="Times New Roman" w:hAnsi="Times New Roman" w:eastAsia="方正仿宋_GBK" w:cs="Times New Roman"/>
          <w:color w:val="auto"/>
          <w:sz w:val="32"/>
          <w:szCs w:val="32"/>
          <w:shd w:val="clear" w:color="auto" w:fill="FFFFFF"/>
        </w:rPr>
        <w:t>较上年支</w:t>
      </w:r>
      <w:r>
        <w:rPr>
          <w:rFonts w:hint="default" w:ascii="Times New Roman" w:hAnsi="Times New Roman" w:eastAsia="方正仿宋_GBK" w:cs="Times New Roman"/>
          <w:color w:val="auto"/>
          <w:sz w:val="32"/>
          <w:szCs w:val="32"/>
          <w:highlight w:val="none"/>
          <w:shd w:val="clear" w:color="auto" w:fill="FFFFFF"/>
        </w:rPr>
        <w:t>出数增加0.81万元，增长7.3%，主要原因是</w:t>
      </w:r>
      <w:r>
        <w:rPr>
          <w:rFonts w:hint="default" w:ascii="Times New Roman" w:hAnsi="Times New Roman" w:eastAsia="方正仿宋_GBK" w:cs="Times New Roman"/>
          <w:color w:val="auto"/>
          <w:sz w:val="32"/>
          <w:szCs w:val="32"/>
          <w:highlight w:val="none"/>
          <w:shd w:val="clear" w:color="auto" w:fill="FFFFFF"/>
          <w:lang w:eastAsia="zh-CN"/>
        </w:rPr>
        <w:t>区低保管理中心</w:t>
      </w:r>
      <w:r>
        <w:rPr>
          <w:rFonts w:hint="default" w:ascii="Times New Roman" w:hAnsi="Times New Roman" w:eastAsia="方正仿宋_GBK" w:cs="Times New Roman"/>
          <w:color w:val="auto"/>
          <w:sz w:val="32"/>
          <w:szCs w:val="32"/>
          <w:highlight w:val="none"/>
          <w:shd w:val="clear" w:color="auto" w:fill="FFFFFF"/>
          <w:lang w:val="en-US" w:eastAsia="zh-CN"/>
        </w:rPr>
        <w:t>用车需</w:t>
      </w:r>
      <w:r>
        <w:rPr>
          <w:rFonts w:hint="default" w:ascii="Times New Roman" w:hAnsi="Times New Roman" w:eastAsia="方正仿宋_GBK" w:cs="Times New Roman"/>
          <w:color w:val="auto"/>
          <w:sz w:val="32"/>
          <w:szCs w:val="32"/>
          <w:shd w:val="clear" w:color="auto" w:fill="FFFFFF"/>
          <w:lang w:val="en-US" w:eastAsia="zh-CN"/>
        </w:rPr>
        <w:t>求增加。</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3.06</w:t>
      </w:r>
      <w:r>
        <w:rPr>
          <w:rFonts w:hint="default" w:ascii="Times New Roman" w:hAnsi="Times New Roman" w:eastAsia="方正仿宋_GBK" w:cs="Times New Roman"/>
          <w:color w:val="auto"/>
          <w:sz w:val="32"/>
          <w:szCs w:val="32"/>
          <w:shd w:val="clear" w:color="auto" w:fill="FFFFFF"/>
        </w:rPr>
        <w:t>万元，主要用于接待国内其他区县到我单位学习调研民政工作，接受相关部门检查指导工作发生的接待支出。费用支出较年初预算数减少1.79万元，下降36.9%，主要原因是严格控制公务接待数量、规模及档次</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shd w:val="clear" w:color="auto" w:fill="FFFFFF"/>
        </w:rPr>
        <w:t>较上年支出数减少0.05万元，下降1.6%，主要原因是</w:t>
      </w:r>
      <w:r>
        <w:rPr>
          <w:rFonts w:hint="default" w:ascii="Times New Roman" w:hAnsi="Times New Roman" w:eastAsia="方正仿宋_GBK" w:cs="Times New Roman"/>
          <w:color w:val="auto"/>
          <w:sz w:val="32"/>
          <w:szCs w:val="32"/>
          <w:highlight w:val="none"/>
          <w:shd w:val="clear" w:color="auto" w:fill="FFFFFF"/>
        </w:rPr>
        <w:t>本年度公务接待人次</w:t>
      </w:r>
      <w:r>
        <w:rPr>
          <w:rFonts w:hint="default" w:ascii="Times New Roman" w:hAnsi="Times New Roman" w:eastAsia="方正仿宋_GBK" w:cs="Times New Roman"/>
          <w:color w:val="auto"/>
          <w:sz w:val="32"/>
          <w:szCs w:val="32"/>
          <w:highlight w:val="none"/>
          <w:shd w:val="clear" w:color="auto" w:fill="FFFFFF"/>
          <w:lang w:eastAsia="zh-CN"/>
        </w:rPr>
        <w:t>减少</w:t>
      </w:r>
      <w:r>
        <w:rPr>
          <w:rFonts w:hint="default" w:ascii="Times New Roman" w:hAnsi="Times New Roman" w:eastAsia="方正仿宋_GBK" w:cs="Times New Roman"/>
          <w:color w:val="auto"/>
          <w:sz w:val="32"/>
          <w:szCs w:val="32"/>
          <w:highlight w:val="none"/>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w:t>
      </w:r>
      <w:r>
        <w:rPr>
          <w:rFonts w:hint="default" w:ascii="Times New Roman" w:hAnsi="Times New Roman" w:eastAsia="方正仿宋_GBK" w:cs="Times New Roman"/>
          <w:color w:val="auto"/>
          <w:sz w:val="32"/>
          <w:szCs w:val="32"/>
          <w:highlight w:val="none"/>
          <w:shd w:val="clear" w:color="auto" w:fill="FFFFFF"/>
        </w:rPr>
        <w:t>务</w:t>
      </w:r>
      <w:r>
        <w:rPr>
          <w:rFonts w:hint="default" w:ascii="Times New Roman" w:hAnsi="Times New Roman" w:eastAsia="方正仿宋_GBK" w:cs="Times New Roman"/>
          <w:color w:val="auto"/>
          <w:sz w:val="32"/>
          <w:szCs w:val="32"/>
          <w:highlight w:val="none"/>
          <w:shd w:val="clear" w:color="auto" w:fill="FFFFFF"/>
          <w:lang w:eastAsia="zh-CN"/>
        </w:rPr>
        <w:t>用</w:t>
      </w:r>
      <w:r>
        <w:rPr>
          <w:rFonts w:hint="default" w:ascii="Times New Roman" w:hAnsi="Times New Roman" w:eastAsia="方正仿宋_GBK" w:cs="Times New Roman"/>
          <w:color w:val="auto"/>
          <w:sz w:val="32"/>
          <w:szCs w:val="32"/>
          <w:highlight w:val="none"/>
          <w:shd w:val="clear" w:color="auto" w:fill="FFFFFF"/>
        </w:rPr>
        <w:t>车</w:t>
      </w:r>
      <w:r>
        <w:rPr>
          <w:rFonts w:hint="default" w:ascii="Times New Roman" w:hAnsi="Times New Roman" w:eastAsia="方正仿宋_GBK" w:cs="Times New Roman"/>
          <w:color w:val="auto"/>
          <w:sz w:val="32"/>
          <w:szCs w:val="32"/>
          <w:shd w:val="clear" w:color="auto" w:fill="FFFFFF"/>
        </w:rPr>
        <w:t>保有量为</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68</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542</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本部门人均接待费</w:t>
      </w:r>
      <w:r>
        <w:rPr>
          <w:rFonts w:hint="default" w:ascii="Times New Roman" w:hAnsi="Times New Roman" w:eastAsia="方正仿宋_GBK" w:cs="Times New Roman"/>
          <w:color w:val="auto"/>
          <w:sz w:val="32"/>
          <w:szCs w:val="32"/>
        </w:rPr>
        <w:t>56.52</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3.00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kinsoku/>
        <w:wordWrap/>
        <w:overflowPunct/>
        <w:topLinePunct w:val="0"/>
        <w:autoSpaceDE/>
        <w:autoSpaceDN/>
        <w:bidi w:val="0"/>
        <w:adjustRightInd/>
        <w:snapToGrid/>
        <w:spacing w:beforeAutospacing="0" w:afterAutospacing="0" w:line="594" w:lineRule="exact"/>
        <w:ind w:firstLine="640" w:firstLineChars="200"/>
        <w:textAlignment w:val="auto"/>
        <w:rPr>
          <w:rStyle w:val="10"/>
          <w:rFonts w:hint="default" w:ascii="Times New Roman" w:hAnsi="Times New Roman" w:eastAsia="黑体" w:cs="Times New Roman"/>
          <w:b w:val="0"/>
          <w:bCs/>
          <w:color w:val="auto"/>
          <w:sz w:val="32"/>
          <w:szCs w:val="32"/>
          <w:shd w:val="clear" w:color="auto" w:fill="FFFFFF"/>
        </w:rPr>
      </w:pPr>
      <w:r>
        <w:rPr>
          <w:rStyle w:val="10"/>
          <w:rFonts w:hint="default" w:ascii="Times New Roman" w:hAnsi="Times New Roman" w:eastAsia="黑体" w:cs="Times New Roman"/>
          <w:b w:val="0"/>
          <w:bCs/>
          <w:color w:val="auto"/>
          <w:sz w:val="32"/>
          <w:szCs w:val="32"/>
          <w:shd w:val="clear" w:color="auto" w:fill="FFFFFF"/>
        </w:rPr>
        <w:t>四、其他需要说明的事项</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（一）财政拨款会议费和培训费情况说明</w:t>
      </w:r>
    </w:p>
    <w:p>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0.03</w:t>
      </w:r>
      <w:r>
        <w:rPr>
          <w:rFonts w:hint="default" w:ascii="Times New Roman" w:hAnsi="Times New Roman" w:eastAsia="方正仿宋_GBK" w:cs="Times New Roman"/>
          <w:color w:val="auto"/>
          <w:sz w:val="32"/>
          <w:szCs w:val="32"/>
          <w:shd w:val="clear" w:color="auto" w:fill="FFFFFF"/>
        </w:rPr>
        <w:t>万元，与2023年度相比，减少1.17万元，下降97.5%，主要原因是</w:t>
      </w:r>
      <w:r>
        <w:rPr>
          <w:rFonts w:hint="default" w:ascii="Times New Roman" w:hAnsi="Times New Roman" w:eastAsia="方正仿宋_GBK" w:cs="Times New Roman"/>
          <w:color w:val="auto"/>
          <w:sz w:val="32"/>
          <w:szCs w:val="32"/>
          <w:shd w:val="clear" w:color="auto" w:fill="FFFFFF"/>
          <w:lang w:eastAsia="zh-CN"/>
        </w:rPr>
        <w:t>培训减少</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4.81</w:t>
      </w:r>
      <w:r>
        <w:rPr>
          <w:rFonts w:hint="default" w:ascii="Times New Roman" w:hAnsi="Times New Roman" w:eastAsia="方正仿宋_GBK" w:cs="Times New Roman"/>
          <w:color w:val="auto"/>
          <w:sz w:val="32"/>
          <w:szCs w:val="32"/>
          <w:shd w:val="clear" w:color="auto" w:fill="FFFFFF"/>
        </w:rPr>
        <w:t>万元，与2023年度相比，减少2.50万元，下降34.2%，主要原因是</w:t>
      </w:r>
      <w:r>
        <w:rPr>
          <w:rFonts w:hint="default" w:ascii="Times New Roman" w:hAnsi="Times New Roman" w:eastAsia="方正仿宋_GBK" w:cs="Times New Roman"/>
          <w:color w:val="auto"/>
          <w:sz w:val="32"/>
          <w:szCs w:val="32"/>
          <w:shd w:val="clear" w:color="auto" w:fill="FFFFFF"/>
          <w:lang w:eastAsia="zh-CN"/>
        </w:rPr>
        <w:t>培训减少。</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度本部门机关运行经费支出</w:t>
      </w:r>
      <w:r>
        <w:rPr>
          <w:rFonts w:hint="default" w:ascii="Times New Roman" w:hAnsi="Times New Roman" w:eastAsia="方正仿宋_GBK" w:cs="Times New Roman"/>
          <w:color w:val="auto"/>
          <w:sz w:val="32"/>
          <w:szCs w:val="32"/>
        </w:rPr>
        <w:t>171.35</w:t>
      </w:r>
      <w:r>
        <w:rPr>
          <w:rFonts w:hint="default" w:ascii="Times New Roman" w:hAnsi="Times New Roman" w:eastAsia="方正仿宋_GBK" w:cs="Times New Roman"/>
          <w:color w:val="auto"/>
          <w:sz w:val="32"/>
          <w:szCs w:val="32"/>
          <w:shd w:val="clear" w:color="auto" w:fill="FFFFFF"/>
        </w:rPr>
        <w:t>万元，机关运行经费主要用于办公费、印刷费、邮电费、差旅费、会议费、福利费、维护费、水电费及公务用车运行维护费等保障单位运行的各项</w:t>
      </w:r>
      <w:r>
        <w:rPr>
          <w:rFonts w:hint="eastAsia" w:ascii="Times New Roman" w:hAnsi="Times New Roman" w:eastAsia="方正仿宋_GBK" w:cs="Times New Roman"/>
          <w:color w:val="auto"/>
          <w:sz w:val="32"/>
          <w:szCs w:val="32"/>
          <w:shd w:val="clear" w:color="auto" w:fill="FFFFFF"/>
          <w:lang w:eastAsia="zh-CN"/>
        </w:rPr>
        <w:t>开支</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机关运行经费较上年支出数减少6.73万元，下降3.8%，主要原因是</w:t>
      </w:r>
      <w:r>
        <w:rPr>
          <w:rFonts w:hint="eastAsia" w:ascii="Times New Roman" w:hAnsi="Times New Roman" w:eastAsia="方正仿宋_GBK" w:cs="Times New Roman"/>
          <w:color w:val="auto"/>
          <w:sz w:val="32"/>
          <w:szCs w:val="32"/>
          <w:shd w:val="clear" w:color="auto" w:fill="FFFFFF"/>
          <w:lang w:eastAsia="zh-CN"/>
        </w:rPr>
        <w:t>拆分</w:t>
      </w:r>
      <w:r>
        <w:rPr>
          <w:rFonts w:hint="default" w:ascii="Times New Roman" w:hAnsi="Times New Roman" w:eastAsia="方正仿宋_GBK" w:cs="Times New Roman"/>
          <w:color w:val="auto"/>
          <w:sz w:val="32"/>
          <w:szCs w:val="32"/>
          <w:highlight w:val="none"/>
          <w:shd w:val="clear" w:color="auto" w:fill="FFFFFF"/>
          <w:lang w:eastAsia="zh-CN"/>
        </w:rPr>
        <w:t>局属单位（区民政局婚姻登记处、区殡葬管理所、区养老服务指导中心）独立核算</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12月31日，本部门共有车辆</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shd w:val="clear"/>
        <w:kinsoku/>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6"/>
        <w:keepNext w:val="0"/>
        <w:keepLines w:val="0"/>
        <w:pageBreakBefore w:val="0"/>
        <w:shd w:val="clear"/>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度本部门政府采购支出总额</w:t>
      </w:r>
      <w:r>
        <w:rPr>
          <w:rFonts w:hint="default" w:ascii="Times New Roman" w:hAnsi="Times New Roman" w:eastAsia="方正仿宋_GBK" w:cs="Times New Roman"/>
          <w:color w:val="auto"/>
          <w:sz w:val="32"/>
          <w:szCs w:val="32"/>
        </w:rPr>
        <w:t>15.12</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15.12</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15.12万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15.12</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w:t>
      </w:r>
      <w:r>
        <w:rPr>
          <w:rFonts w:hint="default" w:ascii="Times New Roman" w:hAnsi="Times New Roman" w:eastAsia="方正仿宋_GBK" w:cs="Times New Roman"/>
          <w:color w:val="auto"/>
          <w:sz w:val="32"/>
          <w:szCs w:val="32"/>
          <w:shd w:val="clear" w:color="auto" w:fill="FFFFFF"/>
        </w:rPr>
        <w:t>%。主要用于</w:t>
      </w:r>
      <w:r>
        <w:rPr>
          <w:rFonts w:hint="eastAsia" w:ascii="Times New Roman" w:hAnsi="Times New Roman" w:eastAsia="方正仿宋_GBK" w:cs="Times New Roman"/>
          <w:color w:val="auto"/>
          <w:sz w:val="32"/>
          <w:szCs w:val="32"/>
          <w:shd w:val="clear" w:color="auto" w:fill="FFFFFF"/>
          <w:lang w:eastAsia="zh-CN"/>
        </w:rPr>
        <w:t>区民政局</w:t>
      </w:r>
      <w:bookmarkStart w:id="0" w:name="_GoBack"/>
      <w:bookmarkEnd w:id="0"/>
      <w:r>
        <w:rPr>
          <w:rFonts w:hint="default" w:ascii="Times New Roman" w:hAnsi="Times New Roman" w:eastAsia="方正仿宋_GBK" w:cs="Times New Roman"/>
          <w:color w:val="auto"/>
          <w:sz w:val="32"/>
          <w:szCs w:val="32"/>
          <w:shd w:val="clear" w:color="auto" w:fill="FFFFFF"/>
          <w:lang w:eastAsia="zh-CN"/>
        </w:rPr>
        <w:t>办公室</w:t>
      </w:r>
      <w:r>
        <w:rPr>
          <w:rFonts w:hint="default" w:ascii="Times New Roman" w:hAnsi="Times New Roman" w:eastAsia="方正仿宋_GBK" w:cs="Times New Roman"/>
          <w:color w:val="auto"/>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eastAsia="zh-CN"/>
        </w:rPr>
        <w:t>（复印打印）综合一体机</w:t>
      </w:r>
      <w:r>
        <w:rPr>
          <w:rFonts w:hint="eastAsia" w:ascii="Times New Roman" w:hAnsi="Times New Roman" w:eastAsia="方正仿宋_GBK" w:cs="Times New Roman"/>
          <w:color w:val="auto"/>
          <w:sz w:val="32"/>
          <w:szCs w:val="32"/>
          <w:shd w:val="clear" w:color="auto" w:fill="FFFFFF"/>
          <w:lang w:val="en-US" w:eastAsia="zh-CN"/>
        </w:rPr>
        <w:t>1台</w:t>
      </w:r>
      <w:r>
        <w:rPr>
          <w:rFonts w:hint="default" w:ascii="Times New Roman" w:hAnsi="Times New Roman" w:eastAsia="方正仿宋_GBK" w:cs="Times New Roman"/>
          <w:color w:val="auto"/>
          <w:sz w:val="32"/>
          <w:szCs w:val="32"/>
          <w:shd w:val="clear" w:color="auto" w:fill="FFFFFF"/>
          <w:lang w:eastAsia="zh-CN"/>
        </w:rPr>
        <w:t>；区救助管理站</w:t>
      </w:r>
      <w:r>
        <w:rPr>
          <w:rFonts w:hint="default" w:ascii="Times New Roman" w:hAnsi="Times New Roman" w:eastAsia="方正仿宋_GBK" w:cs="Times New Roman"/>
          <w:color w:val="auto"/>
          <w:sz w:val="32"/>
          <w:szCs w:val="32"/>
          <w:shd w:val="clear" w:color="auto" w:fill="FFFFFF"/>
        </w:rPr>
        <w:t>采购打印机、笔记本电脑、台式电脑各</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台。</w:t>
      </w:r>
    </w:p>
    <w:p>
      <w:pPr>
        <w:pStyle w:val="16"/>
        <w:keepNext w:val="0"/>
        <w:keepLines w:val="0"/>
        <w:pageBreakBefore w:val="0"/>
        <w:shd w:val="clear"/>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黑体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t>五、预算绩效管理情况说明</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（一）预算绩效管理工作开展情况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N/>
        <w:bidi w:val="0"/>
        <w:adjustRightInd/>
        <w:spacing w:before="0" w:beforeAutospacing="0" w:after="0" w:afterAutospacing="0" w:line="594" w:lineRule="exact"/>
        <w:ind w:left="0" w:right="0" w:firstLine="420"/>
        <w:jc w:val="both"/>
        <w:textAlignment w:val="auto"/>
        <w:rPr>
          <w:rFonts w:hint="default" w:ascii="Times New Roman" w:hAnsi="Times New Roman" w:eastAsia="方正仿宋_GBK" w:cs="Times New Roman"/>
          <w:color w:val="auto"/>
          <w:kern w:val="0"/>
          <w:sz w:val="32"/>
          <w:szCs w:val="32"/>
          <w:highlight w:val="none"/>
          <w:shd w:val="clear" w:fill="FFFFFF"/>
          <w:lang w:val="en-US" w:eastAsia="zh-CN" w:bidi="ar-SA"/>
        </w:rPr>
      </w:pPr>
      <w:r>
        <w:rPr>
          <w:rFonts w:hint="default" w:ascii="Times New Roman" w:hAnsi="Times New Roman" w:eastAsia="方正仿宋_GBK" w:cs="Times New Roman"/>
          <w:color w:val="auto"/>
          <w:kern w:val="0"/>
          <w:sz w:val="32"/>
          <w:szCs w:val="32"/>
          <w:highlight w:val="none"/>
          <w:shd w:val="clear" w:fill="FFFFFF"/>
          <w:lang w:val="en-US" w:eastAsia="zh-CN" w:bidi="ar-SA"/>
        </w:rPr>
        <w:t>根据预算绩效管理要求，我局对部门整体和41个项目开展了绩效自评，涉及财政拨款项目支出资金27785.27万元。</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（二）</w:t>
      </w:r>
      <w:r>
        <w:rPr>
          <w:rFonts w:hint="default" w:ascii="Times New Roman" w:hAnsi="Times New Roman" w:eastAsia="方正楷体_GBK" w:cs="Times New Roman"/>
          <w:color w:val="auto"/>
          <w:kern w:val="0"/>
          <w:sz w:val="32"/>
          <w:szCs w:val="32"/>
          <w:highlight w:val="none"/>
          <w:lang w:val="en-US" w:eastAsia="zh-CN" w:bidi="ar"/>
        </w:rPr>
        <w:t>绩效自评结果</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仿宋_GBK" w:cs="Times New Roman"/>
          <w:color w:val="auto"/>
          <w:kern w:val="0"/>
          <w:sz w:val="32"/>
          <w:szCs w:val="32"/>
          <w:highlight w:val="none"/>
          <w:lang w:val="en-US" w:eastAsia="zh-CN" w:bidi="ar"/>
        </w:rPr>
        <w:t>绩效自评结果详见附件2024年度绩效自评公开表（《部门整体绩效自评表》、《项目绩效自评结果汇总表》、《项目支出绩效自评表》）。</w:t>
      </w:r>
    </w:p>
    <w:p>
      <w:pPr>
        <w:pStyle w:val="6"/>
        <w:keepNext w:val="0"/>
        <w:keepLines w:val="0"/>
        <w:pageBreakBefore w:val="0"/>
        <w:widowControl w:val="0"/>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b w:val="0"/>
          <w:color w:val="auto"/>
          <w:kern w:val="2"/>
          <w:sz w:val="32"/>
          <w:szCs w:val="32"/>
          <w:highlight w:val="none"/>
          <w:shd w:val="clear" w:color="auto" w:fill="FFFFFF"/>
        </w:rPr>
      </w:pPr>
      <w:r>
        <w:rPr>
          <w:rFonts w:hint="default" w:ascii="Times New Roman" w:hAnsi="Times New Roman" w:eastAsia="方正楷体_GBK" w:cs="Times New Roman"/>
          <w:b w:val="0"/>
          <w:color w:val="auto"/>
          <w:kern w:val="2"/>
          <w:sz w:val="32"/>
          <w:szCs w:val="32"/>
          <w:highlight w:val="none"/>
          <w:shd w:val="clear" w:color="auto" w:fill="FFFFFF"/>
          <w:lang w:val="en-US" w:eastAsia="zh-CN" w:bidi="ar"/>
        </w:rPr>
        <w:t>（三）财政绩效评价情况</w:t>
      </w:r>
    </w:p>
    <w:p>
      <w:pPr>
        <w:pStyle w:val="6"/>
        <w:keepNext w:val="0"/>
        <w:keepLines w:val="0"/>
        <w:pageBreakBefore w:val="0"/>
        <w:widowControl/>
        <w:suppressLineNumbers w:val="0"/>
        <w:shd w:val="clear"/>
        <w:kinsoku/>
        <w:wordWrap/>
        <w:overflowPunct/>
        <w:topLinePunct w:val="0"/>
        <w:autoSpaceDN/>
        <w:bidi w:val="0"/>
        <w:adjustRightIn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区财政局未委托第三方对我单位开展绩效评价。</w:t>
      </w:r>
    </w:p>
    <w:p>
      <w:pPr>
        <w:pStyle w:val="12"/>
        <w:keepNext w:val="0"/>
        <w:keepLines w:val="0"/>
        <w:pageBreakBefore w:val="0"/>
        <w:widowControl/>
        <w:shd w:val="clear"/>
        <w:kinsoku/>
        <w:wordWrap/>
        <w:overflowPunct/>
        <w:topLinePunct w:val="0"/>
        <w:autoSpaceDE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黑体" w:cs="Times New Roman"/>
          <w:color w:val="auto"/>
          <w:sz w:val="32"/>
          <w:szCs w:val="32"/>
          <w:shd w:val="clear" w:color="auto" w:fill="FFFFFF"/>
          <w:lang w:val="en-US" w:eastAsia="zh-CN" w:bidi="ar-SA"/>
        </w:rPr>
        <w:t>六、专业名词解释</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（一）财政拨款收入：</w:t>
      </w:r>
      <w:r>
        <w:rPr>
          <w:rFonts w:hint="default" w:ascii="Times New Roman" w:hAnsi="Times New Roman" w:eastAsia="方正仿宋_GBK" w:cs="Times New Roman"/>
          <w:color w:val="auto"/>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（二）事业收入：</w:t>
      </w:r>
      <w:r>
        <w:rPr>
          <w:rFonts w:hint="default" w:ascii="Times New Roman" w:hAnsi="Times New Roman" w:eastAsia="方正仿宋_GBK" w:cs="Times New Roman"/>
          <w:color w:val="auto"/>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（三）经营收入：</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（四）其他收入：</w:t>
      </w:r>
      <w:r>
        <w:rPr>
          <w:rFonts w:hint="default" w:ascii="Times New Roman" w:hAnsi="Times New Roman" w:eastAsia="方正仿宋_GBK" w:cs="Times New Roman"/>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（五）使用非财政拨款结余：</w:t>
      </w:r>
      <w:r>
        <w:rPr>
          <w:rFonts w:hint="default" w:ascii="Times New Roman" w:hAnsi="Times New Roman" w:eastAsia="方正仿宋_GBK" w:cs="Times New Roman"/>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（六）年初结转和结余：</w:t>
      </w:r>
      <w:r>
        <w:rPr>
          <w:rFonts w:hint="default" w:ascii="Times New Roman" w:hAnsi="Times New Roman" w:eastAsia="方正仿宋_GBK" w:cs="Times New Roman"/>
          <w:color w:val="auto"/>
          <w:kern w:val="0"/>
          <w:sz w:val="32"/>
          <w:szCs w:val="32"/>
          <w:shd w:val="clear" w:fill="FFFFFF"/>
        </w:rPr>
        <w:t>指单位上年结转本年使用的基本支出结转、项目支出结转和结余、经营结余。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（七）结余分配：</w:t>
      </w:r>
      <w:r>
        <w:rPr>
          <w:rFonts w:hint="default" w:ascii="Times New Roman" w:hAnsi="Times New Roman" w:eastAsia="方正仿宋_GBK" w:cs="Times New Roman"/>
          <w:color w:val="auto"/>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（八）年末结转和结余：</w:t>
      </w:r>
      <w:r>
        <w:rPr>
          <w:rFonts w:hint="default" w:ascii="Times New Roman" w:hAnsi="Times New Roman" w:eastAsia="方正仿宋_GBK" w:cs="Times New Roman"/>
          <w:color w:val="auto"/>
          <w:kern w:val="0"/>
          <w:sz w:val="32"/>
          <w:szCs w:val="32"/>
          <w:shd w:val="clear" w:fill="FFFFFF"/>
        </w:rPr>
        <w:t>指单位结转下年的基本支出结转、项目支出结转和结余、经营结余。</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（九）基本支出：</w:t>
      </w:r>
      <w:r>
        <w:rPr>
          <w:rFonts w:hint="default" w:ascii="Times New Roman" w:hAnsi="Times New Roman" w:eastAsia="方正仿宋_GBK" w:cs="Times New Roman"/>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（十）项目支出：</w:t>
      </w:r>
      <w:r>
        <w:rPr>
          <w:rFonts w:hint="default" w:ascii="Times New Roman" w:hAnsi="Times New Roman" w:eastAsia="方正仿宋_GBK" w:cs="Times New Roman"/>
          <w:color w:val="auto"/>
          <w:kern w:val="0"/>
          <w:sz w:val="32"/>
          <w:szCs w:val="32"/>
          <w:shd w:val="clear" w:fill="FFFFFF"/>
        </w:rPr>
        <w:t>指在基本支出之外为完成特定行政任务和事业发展目标所发生的支出。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（十一）经营支出：</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（十二）“三公”经费：</w:t>
      </w:r>
      <w:r>
        <w:rPr>
          <w:rFonts w:hint="default" w:ascii="Times New Roman" w:hAnsi="Times New Roman" w:eastAsia="方正仿宋_GBK" w:cs="Times New Roman"/>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（十三）机关运行经费：</w:t>
      </w:r>
      <w:r>
        <w:rPr>
          <w:rFonts w:hint="default" w:ascii="Times New Roman" w:hAnsi="Times New Roman" w:eastAsia="方正仿宋_GBK" w:cs="Times New Roman"/>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color w:val="auto"/>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color w:val="auto"/>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color w:val="auto"/>
          <w:kern w:val="0"/>
          <w:sz w:val="32"/>
          <w:szCs w:val="32"/>
          <w:shd w:val="clear" w:fill="FFFFFF"/>
        </w:rPr>
        <w:t>反映用于对个人和家庭的补助支出。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楷体" w:cs="Times New Roman"/>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color w:val="auto"/>
          <w:kern w:val="0"/>
          <w:sz w:val="32"/>
          <w:szCs w:val="32"/>
        </w:rPr>
      </w:pPr>
      <w:r>
        <w:rPr>
          <w:rStyle w:val="10"/>
          <w:rFonts w:hint="default" w:ascii="Times New Roman" w:hAnsi="Times New Roman" w:eastAsia="黑体" w:cs="Times New Roman"/>
          <w:color w:val="auto"/>
          <w:sz w:val="32"/>
          <w:szCs w:val="32"/>
          <w:shd w:val="clear" w:color="auto" w:fill="FFFFFF"/>
          <w:lang w:val="en-US" w:eastAsia="zh-CN" w:bidi="ar-SA"/>
        </w:rPr>
        <w:t>七、决算公开联系方式及信息反馈渠道</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ind w:firstLine="640" w:firstLineChars="200"/>
        <w:textAlignment w:val="auto"/>
        <w:rPr>
          <w:rStyle w:val="10"/>
          <w:rFonts w:hint="default" w:ascii="Times New Roman" w:hAnsi="Times New Roman" w:eastAsia="方正仿宋_GBK" w:cs="Times New Roman"/>
          <w:color w:val="auto"/>
          <w:sz w:val="32"/>
          <w:szCs w:val="32"/>
          <w:shd w:val="clear" w:color="auto" w:fill="FFFF00"/>
        </w:rPr>
      </w:pPr>
      <w:r>
        <w:rPr>
          <w:rFonts w:hint="default" w:ascii="Times New Roman" w:hAnsi="Times New Roman" w:eastAsia="方正仿宋_GBK" w:cs="Times New Roman"/>
          <w:color w:val="auto"/>
          <w:kern w:val="0"/>
          <w:sz w:val="32"/>
          <w:szCs w:val="32"/>
          <w:shd w:val="clear" w:fill="FFFFFF"/>
        </w:rPr>
        <w:t>本单位决算公开信息反馈和联系方式：</w:t>
      </w:r>
    </w:p>
    <w:p>
      <w:pPr>
        <w:pStyle w:val="12"/>
        <w:keepNext w:val="0"/>
        <w:keepLines w:val="0"/>
        <w:pageBreakBefore w:val="0"/>
        <w:widowControl/>
        <w:shd w:val="clear"/>
        <w:kinsoku/>
        <w:wordWrap/>
        <w:overflowPunct/>
        <w:topLinePunct w:val="0"/>
        <w:autoSpaceDN/>
        <w:bidi w:val="0"/>
        <w:adjustRightInd/>
        <w:snapToGrid/>
        <w:spacing w:before="0" w:beforeAutospacing="0" w:after="0" w:afterAutospacing="0" w:line="594" w:lineRule="exact"/>
        <w:textAlignment w:val="auto"/>
        <w:rPr>
          <w:rFonts w:hint="default" w:ascii="Times New Roman" w:hAnsi="Times New Roman" w:cs="Times New Roman"/>
          <w:color w:val="auto"/>
          <w:sz w:val="18"/>
          <w:szCs w:val="18"/>
        </w:rPr>
      </w:pPr>
      <w:r>
        <w:rPr>
          <w:rFonts w:hint="default" w:ascii="Times New Roman" w:hAnsi="Times New Roman" w:eastAsia="方正仿宋_GBK" w:cs="Times New Roman"/>
          <w:color w:val="auto"/>
          <w:kern w:val="0"/>
          <w:sz w:val="32"/>
          <w:szCs w:val="32"/>
          <w:shd w:val="clear" w:fill="FFFFFF"/>
        </w:rPr>
        <w:t xml:space="preserve"> </w:t>
      </w:r>
      <w:r>
        <w:rPr>
          <w:rFonts w:hint="eastAsia" w:ascii="Times New Roman" w:hAnsi="Times New Roman" w:eastAsia="方正仿宋_GBK" w:cs="Times New Roman"/>
          <w:color w:val="auto"/>
          <w:kern w:val="0"/>
          <w:sz w:val="32"/>
          <w:szCs w:val="32"/>
          <w:shd w:val="clear" w:fill="FFFFFF"/>
          <w:lang w:val="en-US" w:eastAsia="zh-CN"/>
        </w:rPr>
        <w:t xml:space="preserve">   </w:t>
      </w:r>
      <w:r>
        <w:rPr>
          <w:rFonts w:hint="default" w:ascii="Times New Roman" w:hAnsi="Times New Roman" w:eastAsia="方正仿宋_GBK" w:cs="Times New Roman"/>
          <w:color w:val="auto"/>
          <w:kern w:val="0"/>
          <w:sz w:val="32"/>
          <w:szCs w:val="32"/>
          <w:highlight w:val="none"/>
          <w:shd w:val="clear" w:fill="FFFFFF"/>
          <w:lang w:eastAsia="zh-CN"/>
        </w:rPr>
        <w:t>孔秀梅</w:t>
      </w:r>
      <w:r>
        <w:rPr>
          <w:rFonts w:hint="default" w:ascii="Times New Roman" w:hAnsi="Times New Roman" w:eastAsia="方正仿宋_GBK" w:cs="Times New Roman"/>
          <w:color w:val="auto"/>
          <w:kern w:val="0"/>
          <w:sz w:val="32"/>
          <w:szCs w:val="32"/>
          <w:highlight w:val="none"/>
          <w:shd w:val="clear" w:fill="FFFFFF"/>
        </w:rPr>
        <w:t xml:space="preserve">  </w:t>
      </w:r>
      <w:r>
        <w:rPr>
          <w:rFonts w:hint="default" w:ascii="Times New Roman" w:hAnsi="Times New Roman" w:eastAsia="方正仿宋_GBK" w:cs="Times New Roman"/>
          <w:color w:val="auto"/>
          <w:kern w:val="0"/>
          <w:sz w:val="32"/>
          <w:szCs w:val="32"/>
          <w:highlight w:val="none"/>
          <w:shd w:val="clear" w:fill="FFFFFF"/>
          <w:lang w:val="en-US" w:eastAsia="zh-CN"/>
        </w:rPr>
        <w:t xml:space="preserve"> </w:t>
      </w:r>
      <w:r>
        <w:rPr>
          <w:rFonts w:hint="default" w:ascii="Times New Roman" w:hAnsi="Times New Roman" w:eastAsia="方正仿宋_GBK" w:cs="Times New Roman"/>
          <w:color w:val="auto"/>
          <w:kern w:val="0"/>
          <w:sz w:val="32"/>
          <w:szCs w:val="32"/>
          <w:highlight w:val="none"/>
          <w:shd w:val="clear" w:fill="FFFFFF"/>
        </w:rPr>
        <w:t>023-40243164</w:t>
      </w:r>
    </w:p>
    <w:sectPr>
      <w:footerReference r:id="rId6" w:type="default"/>
      <w:pgSz w:w="11850" w:h="16783"/>
      <w:pgMar w:top="2098" w:right="1474" w:bottom="1984" w:left="1587" w:header="0" w:footer="283" w:gutter="0"/>
      <w:pgBorders>
        <w:top w:val="none" w:sz="0" w:space="0"/>
        <w:left w:val="none" w:sz="0" w:space="0"/>
        <w:bottom w:val="none" w:sz="0" w:space="0"/>
        <w:right w:val="none" w:sz="0" w:space="0"/>
      </w:pgBorders>
      <w:pgNumType w:fmt="numberInDash" w:start="3"/>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-733425</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57.75pt;height:144pt;width:144pt;mso-position-horizontal:outside;mso-position-horizontal-relative:margin;mso-wrap-style:none;z-index:251661312;mso-width-relative:page;mso-height-relative:page;" filled="f" stroked="f" coordsize="21600,21600" o:gfxdata="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CvkNUAAAAJ&#10;AQAADwAAAAAAAAABACAAAAAiAAAAZHJzL2Rvd25yZXYueG1sUEsBAhQAFAAAAAgAh07iQOSdI8ut&#10;AQAASwMAAA4AAAAAAAAAAQAgAAAAJAEAAGRycy9lMm9Eb2MueG1sUEsFBgAAAAAGAAYAWQEAAEMF&#10;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-819150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64.5pt;height:144pt;width:144pt;mso-position-horizontal:outside;mso-position-horizontal-relative:margin;mso-wrap-style:none;z-index:251663360;mso-width-relative:page;mso-height-relative:page;" filled="f" stroked="f" coordsize="21600,21600" o:gfxdata="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g16qdMAAAAJ&#10;AQAADwAAAAAAAAABACAAAAAiAAAAZHJzL2Rvd25yZXYueG1sUEsBAhQAFAAAAAgAh07iQEoZwPmv&#10;AQAATAMAAA4AAAAAAAAAAQAgAAAAIgEAAGRycy9lMm9Eb2MueG1sUEsFBgAAAAAGAAYAWQEAAEMF&#10;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CuDJ4pFwIAABY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-790575</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62.25pt;height:144pt;width:144pt;mso-position-horizontal:outside;mso-position-horizontal-relative:margin;mso-wrap-style:none;z-index:251664384;mso-width-relative:page;mso-height-relative:page;" filled="f" stroked="f" coordsize="21600,21600" o:gfxdata="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hkBNNYA&#10;AAAJAQAADwAAAAAAAAABACAAAAAiAAAAZHJzL2Rvd25yZXYueG1sUEsBAhQAFAAAAAgAh07iQD3A&#10;7oyvAQAASwMAAA4AAAAAAAAAAQAgAAAAJQEAAGRycy9lMm9Eb2MueG1sUEsFBgAAAAAGAAYAWQEA&#10;AEY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6" o:spt="202" type="#_x0000_t202" style="position:absolute;left:0pt;margin-top:1160.4pt;height:17.4pt;width:144pt;mso-position-horizontal:center;mso-position-horizontal-relative:margin;mso-position-vertical-relative:page;mso-wrap-style:none;z-index:251662336;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FL5pCAZAgAA&#10;Fg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D49C9"/>
    <w:multiLevelType w:val="singleLevel"/>
    <w:tmpl w:val="BBBD49C9"/>
    <w:lvl w:ilvl="0" w:tentative="0">
      <w:start w:val="2"/>
      <w:numFmt w:val="chineseCounting"/>
      <w:suff w:val="nothing"/>
      <w:lvlText w:val="（%1）"/>
      <w:lvlJc w:val="left"/>
      <w:rPr>
        <w:rFonts w:hint="eastAsia"/>
      </w:rPr>
    </w:lvl>
  </w:abstractNum>
  <w:abstractNum w:abstractNumId="1">
    <w:nsid w:val="7FE74A93"/>
    <w:multiLevelType w:val="singleLevel"/>
    <w:tmpl w:val="7FE74A9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Y4ZjI1OWIzYmEzMzg5MWE2ZDNiNmU3YWUzMWIifQ=="/>
  </w:docVars>
  <w:rsids>
    <w:rsidRoot w:val="00B03CCD"/>
    <w:rsid w:val="000C01CC"/>
    <w:rsid w:val="000D7702"/>
    <w:rsid w:val="000F6721"/>
    <w:rsid w:val="001632EC"/>
    <w:rsid w:val="00261065"/>
    <w:rsid w:val="002D0E5A"/>
    <w:rsid w:val="002D31F3"/>
    <w:rsid w:val="002D71F4"/>
    <w:rsid w:val="002E5443"/>
    <w:rsid w:val="002F571A"/>
    <w:rsid w:val="0032196C"/>
    <w:rsid w:val="003670E1"/>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07DE2"/>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EF4D3A"/>
    <w:rsid w:val="01F3521E"/>
    <w:rsid w:val="02B62F84"/>
    <w:rsid w:val="03077B2E"/>
    <w:rsid w:val="034444D7"/>
    <w:rsid w:val="03B87EA0"/>
    <w:rsid w:val="03E3214F"/>
    <w:rsid w:val="044C50BA"/>
    <w:rsid w:val="052D453D"/>
    <w:rsid w:val="05680260"/>
    <w:rsid w:val="05BC6D49"/>
    <w:rsid w:val="06151DB3"/>
    <w:rsid w:val="06194FF1"/>
    <w:rsid w:val="06A2550B"/>
    <w:rsid w:val="06F80EE2"/>
    <w:rsid w:val="07001CCA"/>
    <w:rsid w:val="075678DB"/>
    <w:rsid w:val="079D7CC7"/>
    <w:rsid w:val="08047996"/>
    <w:rsid w:val="08051BCA"/>
    <w:rsid w:val="086C12F4"/>
    <w:rsid w:val="08BA052C"/>
    <w:rsid w:val="08CA347A"/>
    <w:rsid w:val="08DB07BA"/>
    <w:rsid w:val="09273DEE"/>
    <w:rsid w:val="0969353F"/>
    <w:rsid w:val="098305D0"/>
    <w:rsid w:val="098A0877"/>
    <w:rsid w:val="0A5C4B69"/>
    <w:rsid w:val="0A86124A"/>
    <w:rsid w:val="0A8E0D2C"/>
    <w:rsid w:val="0AB54CC0"/>
    <w:rsid w:val="0B9335CE"/>
    <w:rsid w:val="0BD05579"/>
    <w:rsid w:val="0BFD70B9"/>
    <w:rsid w:val="0C7927C4"/>
    <w:rsid w:val="0C9B098C"/>
    <w:rsid w:val="0D673E11"/>
    <w:rsid w:val="0D780808"/>
    <w:rsid w:val="0DDA54E4"/>
    <w:rsid w:val="0E084ABF"/>
    <w:rsid w:val="0E3A5F83"/>
    <w:rsid w:val="0E584A6E"/>
    <w:rsid w:val="0E74421A"/>
    <w:rsid w:val="0E7579B5"/>
    <w:rsid w:val="0E814859"/>
    <w:rsid w:val="0EA46639"/>
    <w:rsid w:val="0EC6180C"/>
    <w:rsid w:val="0EF71620"/>
    <w:rsid w:val="0F497FB6"/>
    <w:rsid w:val="0F4D239F"/>
    <w:rsid w:val="0F836721"/>
    <w:rsid w:val="0FA25D96"/>
    <w:rsid w:val="105D2602"/>
    <w:rsid w:val="107B59E5"/>
    <w:rsid w:val="10EC0126"/>
    <w:rsid w:val="10F70B9A"/>
    <w:rsid w:val="110A19D7"/>
    <w:rsid w:val="111445C7"/>
    <w:rsid w:val="114278C6"/>
    <w:rsid w:val="1158083A"/>
    <w:rsid w:val="11635C16"/>
    <w:rsid w:val="11643A4B"/>
    <w:rsid w:val="11ED0F98"/>
    <w:rsid w:val="11F03528"/>
    <w:rsid w:val="12166DD5"/>
    <w:rsid w:val="12B27DB8"/>
    <w:rsid w:val="12BF7043"/>
    <w:rsid w:val="12C921C4"/>
    <w:rsid w:val="12F52ECF"/>
    <w:rsid w:val="13576BDC"/>
    <w:rsid w:val="13871C70"/>
    <w:rsid w:val="13A71CB4"/>
    <w:rsid w:val="13AF1D43"/>
    <w:rsid w:val="13CE1647"/>
    <w:rsid w:val="13DA0C25"/>
    <w:rsid w:val="13FD55AB"/>
    <w:rsid w:val="14200702"/>
    <w:rsid w:val="14907817"/>
    <w:rsid w:val="15012F98"/>
    <w:rsid w:val="15575360"/>
    <w:rsid w:val="163A6CEE"/>
    <w:rsid w:val="16D400D0"/>
    <w:rsid w:val="173708E3"/>
    <w:rsid w:val="174C19C7"/>
    <w:rsid w:val="179A6B1A"/>
    <w:rsid w:val="17C374FC"/>
    <w:rsid w:val="189079DC"/>
    <w:rsid w:val="189B0D0B"/>
    <w:rsid w:val="18AF03BF"/>
    <w:rsid w:val="18B43F7C"/>
    <w:rsid w:val="194A1770"/>
    <w:rsid w:val="19762E91"/>
    <w:rsid w:val="199A4C98"/>
    <w:rsid w:val="19B906A4"/>
    <w:rsid w:val="19FB026E"/>
    <w:rsid w:val="1A7C0256"/>
    <w:rsid w:val="1B6F15B6"/>
    <w:rsid w:val="1BAA2EDC"/>
    <w:rsid w:val="1C341F75"/>
    <w:rsid w:val="1C4903EA"/>
    <w:rsid w:val="1C5C0973"/>
    <w:rsid w:val="1CA55E64"/>
    <w:rsid w:val="1D014A01"/>
    <w:rsid w:val="1D022362"/>
    <w:rsid w:val="1D1B04B0"/>
    <w:rsid w:val="1D6534C4"/>
    <w:rsid w:val="1D870AD8"/>
    <w:rsid w:val="1DBD6767"/>
    <w:rsid w:val="1DC52125"/>
    <w:rsid w:val="1DD26311"/>
    <w:rsid w:val="1E374ACB"/>
    <w:rsid w:val="1E5E27E3"/>
    <w:rsid w:val="1EA33588"/>
    <w:rsid w:val="1EB57761"/>
    <w:rsid w:val="1ECF0A66"/>
    <w:rsid w:val="1EF06C73"/>
    <w:rsid w:val="1EF67CA4"/>
    <w:rsid w:val="1F020D3A"/>
    <w:rsid w:val="1F2C5189"/>
    <w:rsid w:val="1F4B0B02"/>
    <w:rsid w:val="1FBB35CD"/>
    <w:rsid w:val="1FCD26AF"/>
    <w:rsid w:val="20642787"/>
    <w:rsid w:val="21556F04"/>
    <w:rsid w:val="21DC7E7B"/>
    <w:rsid w:val="22403BD3"/>
    <w:rsid w:val="233203B1"/>
    <w:rsid w:val="23DA37D9"/>
    <w:rsid w:val="24A6173D"/>
    <w:rsid w:val="24B92327"/>
    <w:rsid w:val="24C14514"/>
    <w:rsid w:val="24EB1483"/>
    <w:rsid w:val="2533755C"/>
    <w:rsid w:val="25412EFD"/>
    <w:rsid w:val="25791755"/>
    <w:rsid w:val="263623FD"/>
    <w:rsid w:val="26396DF4"/>
    <w:rsid w:val="27167136"/>
    <w:rsid w:val="2750358E"/>
    <w:rsid w:val="27B23302"/>
    <w:rsid w:val="29310A5F"/>
    <w:rsid w:val="29C37A35"/>
    <w:rsid w:val="2A076083"/>
    <w:rsid w:val="2A73162E"/>
    <w:rsid w:val="2A751F0B"/>
    <w:rsid w:val="2AB7222C"/>
    <w:rsid w:val="2B167953"/>
    <w:rsid w:val="2B200583"/>
    <w:rsid w:val="2B220436"/>
    <w:rsid w:val="2B8209DE"/>
    <w:rsid w:val="2BBE356C"/>
    <w:rsid w:val="2C266208"/>
    <w:rsid w:val="2C4371ED"/>
    <w:rsid w:val="2C4C1A9B"/>
    <w:rsid w:val="2C6762A3"/>
    <w:rsid w:val="2CC3021C"/>
    <w:rsid w:val="2CFB04FC"/>
    <w:rsid w:val="2DD46DEB"/>
    <w:rsid w:val="2DF36530"/>
    <w:rsid w:val="2EBF7B3E"/>
    <w:rsid w:val="2EDE1934"/>
    <w:rsid w:val="2FCA4B37"/>
    <w:rsid w:val="2FD62413"/>
    <w:rsid w:val="2FE029D7"/>
    <w:rsid w:val="2FF06E00"/>
    <w:rsid w:val="30562E26"/>
    <w:rsid w:val="30586FEC"/>
    <w:rsid w:val="30AA2E9E"/>
    <w:rsid w:val="30EC7046"/>
    <w:rsid w:val="311811A7"/>
    <w:rsid w:val="313960B6"/>
    <w:rsid w:val="315F0B22"/>
    <w:rsid w:val="319D022C"/>
    <w:rsid w:val="31C90022"/>
    <w:rsid w:val="31D84415"/>
    <w:rsid w:val="32285F6F"/>
    <w:rsid w:val="32770556"/>
    <w:rsid w:val="329C0913"/>
    <w:rsid w:val="32AA0460"/>
    <w:rsid w:val="3337290D"/>
    <w:rsid w:val="3355097A"/>
    <w:rsid w:val="33E31118"/>
    <w:rsid w:val="33EF7674"/>
    <w:rsid w:val="342D7BC6"/>
    <w:rsid w:val="344274A8"/>
    <w:rsid w:val="34475F39"/>
    <w:rsid w:val="352930DB"/>
    <w:rsid w:val="35573069"/>
    <w:rsid w:val="355F6038"/>
    <w:rsid w:val="35634283"/>
    <w:rsid w:val="358C217E"/>
    <w:rsid w:val="358E5275"/>
    <w:rsid w:val="35937598"/>
    <w:rsid w:val="36C9128A"/>
    <w:rsid w:val="372E3953"/>
    <w:rsid w:val="37841E99"/>
    <w:rsid w:val="37BF1123"/>
    <w:rsid w:val="37FE505C"/>
    <w:rsid w:val="383C3F15"/>
    <w:rsid w:val="38BE4696"/>
    <w:rsid w:val="38D236E3"/>
    <w:rsid w:val="392F1855"/>
    <w:rsid w:val="3939115E"/>
    <w:rsid w:val="39B82A39"/>
    <w:rsid w:val="39C42CA8"/>
    <w:rsid w:val="39DC4FD6"/>
    <w:rsid w:val="39F03D7A"/>
    <w:rsid w:val="39F33306"/>
    <w:rsid w:val="3A2C1C67"/>
    <w:rsid w:val="3AA33CA2"/>
    <w:rsid w:val="3AD76EC4"/>
    <w:rsid w:val="3B1705E5"/>
    <w:rsid w:val="3B18334B"/>
    <w:rsid w:val="3B36794F"/>
    <w:rsid w:val="3C566AD6"/>
    <w:rsid w:val="3C6A5B02"/>
    <w:rsid w:val="3D2757A1"/>
    <w:rsid w:val="3D2952E1"/>
    <w:rsid w:val="3D3D4FC4"/>
    <w:rsid w:val="3D826CD8"/>
    <w:rsid w:val="3DA95A0B"/>
    <w:rsid w:val="3DDF3AB1"/>
    <w:rsid w:val="3DDF7F5B"/>
    <w:rsid w:val="3E1D0952"/>
    <w:rsid w:val="3E42660A"/>
    <w:rsid w:val="3E7555B1"/>
    <w:rsid w:val="3E787ED9"/>
    <w:rsid w:val="3EEC37F3"/>
    <w:rsid w:val="3F032E93"/>
    <w:rsid w:val="3F0527E5"/>
    <w:rsid w:val="3F4814B0"/>
    <w:rsid w:val="3F5E5D98"/>
    <w:rsid w:val="3F694D83"/>
    <w:rsid w:val="3F885DCC"/>
    <w:rsid w:val="3FC74819"/>
    <w:rsid w:val="3FCD675E"/>
    <w:rsid w:val="3FD3A322"/>
    <w:rsid w:val="3FD86860"/>
    <w:rsid w:val="4004000C"/>
    <w:rsid w:val="40D54604"/>
    <w:rsid w:val="411B6CE5"/>
    <w:rsid w:val="412070D7"/>
    <w:rsid w:val="41314E40"/>
    <w:rsid w:val="41AC79C9"/>
    <w:rsid w:val="41E0734B"/>
    <w:rsid w:val="42365806"/>
    <w:rsid w:val="42623A16"/>
    <w:rsid w:val="426554D0"/>
    <w:rsid w:val="426C1EA8"/>
    <w:rsid w:val="42736402"/>
    <w:rsid w:val="42E86A87"/>
    <w:rsid w:val="43307B09"/>
    <w:rsid w:val="43470647"/>
    <w:rsid w:val="43550D8C"/>
    <w:rsid w:val="438D0E97"/>
    <w:rsid w:val="43BB152F"/>
    <w:rsid w:val="442D6083"/>
    <w:rsid w:val="44494994"/>
    <w:rsid w:val="44521AC0"/>
    <w:rsid w:val="448E5958"/>
    <w:rsid w:val="44C37687"/>
    <w:rsid w:val="45CB699A"/>
    <w:rsid w:val="465B470D"/>
    <w:rsid w:val="469D6AD4"/>
    <w:rsid w:val="471E6C84"/>
    <w:rsid w:val="4748792B"/>
    <w:rsid w:val="475D719D"/>
    <w:rsid w:val="47674801"/>
    <w:rsid w:val="48225EF7"/>
    <w:rsid w:val="4836796D"/>
    <w:rsid w:val="488F422B"/>
    <w:rsid w:val="48E36915"/>
    <w:rsid w:val="495C4A24"/>
    <w:rsid w:val="497135DF"/>
    <w:rsid w:val="49AF6076"/>
    <w:rsid w:val="49E72F0E"/>
    <w:rsid w:val="4A1605D9"/>
    <w:rsid w:val="4A263DF2"/>
    <w:rsid w:val="4A6F6675"/>
    <w:rsid w:val="4ABF0746"/>
    <w:rsid w:val="4B0502DF"/>
    <w:rsid w:val="4B135857"/>
    <w:rsid w:val="4B7951CB"/>
    <w:rsid w:val="4B7C315C"/>
    <w:rsid w:val="4C282A7E"/>
    <w:rsid w:val="4CCF773C"/>
    <w:rsid w:val="4D33096E"/>
    <w:rsid w:val="4DAC4ACA"/>
    <w:rsid w:val="4DBE01D2"/>
    <w:rsid w:val="4E8D4858"/>
    <w:rsid w:val="4EC7785C"/>
    <w:rsid w:val="4EC92552"/>
    <w:rsid w:val="4EFC6D10"/>
    <w:rsid w:val="4F0C6BA3"/>
    <w:rsid w:val="4F10477D"/>
    <w:rsid w:val="4F186D58"/>
    <w:rsid w:val="4F3D4D92"/>
    <w:rsid w:val="4FEA65B7"/>
    <w:rsid w:val="4FFBAFA1"/>
    <w:rsid w:val="5042146E"/>
    <w:rsid w:val="50A40AF7"/>
    <w:rsid w:val="50AA5FF4"/>
    <w:rsid w:val="50F06B6E"/>
    <w:rsid w:val="517A1F24"/>
    <w:rsid w:val="52234D33"/>
    <w:rsid w:val="52261ABA"/>
    <w:rsid w:val="522F6E0C"/>
    <w:rsid w:val="52463BA1"/>
    <w:rsid w:val="527756FF"/>
    <w:rsid w:val="5298794F"/>
    <w:rsid w:val="52F163D4"/>
    <w:rsid w:val="531A2DB4"/>
    <w:rsid w:val="535C48FE"/>
    <w:rsid w:val="539B22B9"/>
    <w:rsid w:val="53B75308"/>
    <w:rsid w:val="53C0244D"/>
    <w:rsid w:val="53DD4D4E"/>
    <w:rsid w:val="53E578CE"/>
    <w:rsid w:val="541330F0"/>
    <w:rsid w:val="54272666"/>
    <w:rsid w:val="543B029D"/>
    <w:rsid w:val="544C3364"/>
    <w:rsid w:val="54861779"/>
    <w:rsid w:val="552256E1"/>
    <w:rsid w:val="554E5773"/>
    <w:rsid w:val="555A3CBC"/>
    <w:rsid w:val="556436D5"/>
    <w:rsid w:val="5582012B"/>
    <w:rsid w:val="558E4E05"/>
    <w:rsid w:val="55BE2E85"/>
    <w:rsid w:val="55D82B6C"/>
    <w:rsid w:val="561D52C4"/>
    <w:rsid w:val="5651697D"/>
    <w:rsid w:val="56530F5D"/>
    <w:rsid w:val="56692AE5"/>
    <w:rsid w:val="567700D3"/>
    <w:rsid w:val="56FF7E9E"/>
    <w:rsid w:val="57644C8A"/>
    <w:rsid w:val="577028B7"/>
    <w:rsid w:val="578867FC"/>
    <w:rsid w:val="583D70FF"/>
    <w:rsid w:val="5842572D"/>
    <w:rsid w:val="594019E8"/>
    <w:rsid w:val="5A3B59D6"/>
    <w:rsid w:val="5AD134D8"/>
    <w:rsid w:val="5B6503B1"/>
    <w:rsid w:val="5C0F7EC4"/>
    <w:rsid w:val="5C263CE4"/>
    <w:rsid w:val="5C5D2777"/>
    <w:rsid w:val="5C996CB4"/>
    <w:rsid w:val="5CF66BF3"/>
    <w:rsid w:val="5CF93E5C"/>
    <w:rsid w:val="5D0D3427"/>
    <w:rsid w:val="5D290C69"/>
    <w:rsid w:val="5F2D4A41"/>
    <w:rsid w:val="5F8E65F1"/>
    <w:rsid w:val="602B4A28"/>
    <w:rsid w:val="60C74F6C"/>
    <w:rsid w:val="610246C3"/>
    <w:rsid w:val="61025A59"/>
    <w:rsid w:val="613D5BBC"/>
    <w:rsid w:val="61536C39"/>
    <w:rsid w:val="61E64F4A"/>
    <w:rsid w:val="623B0E77"/>
    <w:rsid w:val="623E0993"/>
    <w:rsid w:val="62476F57"/>
    <w:rsid w:val="62944DD7"/>
    <w:rsid w:val="6319381F"/>
    <w:rsid w:val="63236436"/>
    <w:rsid w:val="63C25DC5"/>
    <w:rsid w:val="63C62057"/>
    <w:rsid w:val="63F91C7F"/>
    <w:rsid w:val="644976E1"/>
    <w:rsid w:val="64571EF5"/>
    <w:rsid w:val="64CB0157"/>
    <w:rsid w:val="64FB113D"/>
    <w:rsid w:val="65036946"/>
    <w:rsid w:val="654A25FE"/>
    <w:rsid w:val="656152C6"/>
    <w:rsid w:val="6587477F"/>
    <w:rsid w:val="658C3A08"/>
    <w:rsid w:val="65C031CA"/>
    <w:rsid w:val="65C96E73"/>
    <w:rsid w:val="65CE6852"/>
    <w:rsid w:val="65EA2E00"/>
    <w:rsid w:val="66267C04"/>
    <w:rsid w:val="663F505A"/>
    <w:rsid w:val="664B60D8"/>
    <w:rsid w:val="666C4258"/>
    <w:rsid w:val="66967186"/>
    <w:rsid w:val="66EE5541"/>
    <w:rsid w:val="67924660"/>
    <w:rsid w:val="68161135"/>
    <w:rsid w:val="683200C2"/>
    <w:rsid w:val="683B6B32"/>
    <w:rsid w:val="68407834"/>
    <w:rsid w:val="6883293E"/>
    <w:rsid w:val="688412AD"/>
    <w:rsid w:val="68E95DFE"/>
    <w:rsid w:val="68EB1B71"/>
    <w:rsid w:val="69475C96"/>
    <w:rsid w:val="697438F8"/>
    <w:rsid w:val="69B130C7"/>
    <w:rsid w:val="6AAD2300"/>
    <w:rsid w:val="6B0823EB"/>
    <w:rsid w:val="6B474EF5"/>
    <w:rsid w:val="6BBF53FD"/>
    <w:rsid w:val="6C560CAE"/>
    <w:rsid w:val="6C576495"/>
    <w:rsid w:val="6C5C411C"/>
    <w:rsid w:val="6D903FF5"/>
    <w:rsid w:val="6DA33F71"/>
    <w:rsid w:val="6DA955B8"/>
    <w:rsid w:val="6DE346AB"/>
    <w:rsid w:val="6DE5391A"/>
    <w:rsid w:val="6EAD0302"/>
    <w:rsid w:val="6EFD1324"/>
    <w:rsid w:val="6F0B205D"/>
    <w:rsid w:val="6F5A53AC"/>
    <w:rsid w:val="6FAC003D"/>
    <w:rsid w:val="6FE55E12"/>
    <w:rsid w:val="6FFB2E76"/>
    <w:rsid w:val="700C37E3"/>
    <w:rsid w:val="70802F07"/>
    <w:rsid w:val="708F6F7F"/>
    <w:rsid w:val="70D94BD3"/>
    <w:rsid w:val="71520131"/>
    <w:rsid w:val="71B92D46"/>
    <w:rsid w:val="71C34D91"/>
    <w:rsid w:val="72DB435C"/>
    <w:rsid w:val="72E2613A"/>
    <w:rsid w:val="72F771F4"/>
    <w:rsid w:val="734150D5"/>
    <w:rsid w:val="736650B0"/>
    <w:rsid w:val="73934AD2"/>
    <w:rsid w:val="750837F0"/>
    <w:rsid w:val="754758CF"/>
    <w:rsid w:val="761275E6"/>
    <w:rsid w:val="764F62AB"/>
    <w:rsid w:val="765C45EC"/>
    <w:rsid w:val="7660307B"/>
    <w:rsid w:val="768A7619"/>
    <w:rsid w:val="76AA36E6"/>
    <w:rsid w:val="772E1EBA"/>
    <w:rsid w:val="77303AE2"/>
    <w:rsid w:val="77EB79F7"/>
    <w:rsid w:val="77FFEED2"/>
    <w:rsid w:val="794C0388"/>
    <w:rsid w:val="796D60A4"/>
    <w:rsid w:val="797661D7"/>
    <w:rsid w:val="79A031D5"/>
    <w:rsid w:val="79BB5D0A"/>
    <w:rsid w:val="7A1525F7"/>
    <w:rsid w:val="7AAF3E26"/>
    <w:rsid w:val="7B0D4112"/>
    <w:rsid w:val="7B420052"/>
    <w:rsid w:val="7B861484"/>
    <w:rsid w:val="7BD06A28"/>
    <w:rsid w:val="7BD47824"/>
    <w:rsid w:val="7C1F31D2"/>
    <w:rsid w:val="7C3A7C0B"/>
    <w:rsid w:val="7C5248E4"/>
    <w:rsid w:val="7C566698"/>
    <w:rsid w:val="7C5866A3"/>
    <w:rsid w:val="7C894009"/>
    <w:rsid w:val="7CBE2F89"/>
    <w:rsid w:val="7D1F0E43"/>
    <w:rsid w:val="7D7406BB"/>
    <w:rsid w:val="7DBF7459"/>
    <w:rsid w:val="7DD12E88"/>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6733</Words>
  <Characters>15687</Characters>
  <Lines>186</Lines>
  <Paragraphs>52</Paragraphs>
  <TotalTime>3</TotalTime>
  <ScaleCrop>false</ScaleCrop>
  <LinksUpToDate>false</LinksUpToDate>
  <CharactersWithSpaces>15806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2025-06-26T23:40:00Z</dcterms:created>
  <dc:creator>Administrator</dc:creator>
  <cp:lastModifiedBy>Administrator</cp:lastModifiedBy>
  <cp:lastPrinted>2025-10-14T22:25:00Z</cp:lastPrinted>
  <dcterms:modified xsi:type="dcterms:W3CDTF">2025-10-15T04:30:15Z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59486712F2DA1DF67D0FEF680C56155E_43</vt:lpwstr>
  </property>
  <property fmtid="{D5CDD505-2E9C-101B-9397-08002B2CF9AE}" pid="4" name="KSOTemplateDocerSaveRecord">
    <vt:lpwstr>eyJoZGlkIjoiMDUwMjYyMTAwZTM5NTcxOGVhNzI3YWZjMDRhMjZkZDEifQ==</vt:lpwstr>
  </property>
</Properties>
</file>