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重庆市长寿区民政局本级</w:t>
      </w:r>
    </w:p>
    <w:p>
      <w:pPr>
        <w:pStyle w:val="6"/>
        <w:keepNext w:val="0"/>
        <w:keepLines w:val="0"/>
        <w:pageBreakBefore w:val="0"/>
        <w:widowControl/>
        <w:shd w:val="clear"/>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t>2024年度决算公开说明</w:t>
      </w:r>
    </w:p>
    <w:p>
      <w:pPr>
        <w:pStyle w:val="6"/>
        <w:keepNext w:val="0"/>
        <w:keepLines w:val="0"/>
        <w:pageBreakBefore w:val="0"/>
        <w:widowControl/>
        <w:shd w:val="clear"/>
        <w:kinsoku/>
        <w:wordWrap/>
        <w:overflowPunct/>
        <w:topLinePunct w:val="0"/>
        <w:autoSpaceDN/>
        <w:bidi w:val="0"/>
        <w:adjustRightInd/>
        <w:spacing w:before="0" w:beforeAutospacing="0" w:after="0" w:afterAutospacing="0" w:line="594" w:lineRule="exact"/>
        <w:jc w:val="center"/>
        <w:textAlignment w:val="auto"/>
        <w:rPr>
          <w:rFonts w:hint="default" w:ascii="Times New Roman" w:hAnsi="Times New Roman" w:eastAsia="方正小标宋_GBK" w:cs="Times New Roman"/>
          <w:color w:val="auto"/>
          <w:sz w:val="44"/>
          <w:szCs w:val="44"/>
          <w:shd w:val="clear" w:color="auto" w:fill="FFFFFF"/>
        </w:rPr>
      </w:pP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color w:val="auto"/>
          <w:sz w:val="32"/>
          <w:szCs w:val="32"/>
          <w:shd w:val="clear" w:color="auto" w:fill="FFFFFF"/>
        </w:rPr>
      </w:pPr>
      <w:r>
        <w:rPr>
          <w:rStyle w:val="10"/>
          <w:rFonts w:hint="default" w:ascii="Times New Roman" w:hAnsi="Times New Roman" w:eastAsia="黑体" w:cs="Times New Roman"/>
          <w:b w:val="0"/>
          <w:bCs/>
          <w:color w:val="auto"/>
          <w:sz w:val="32"/>
          <w:szCs w:val="32"/>
          <w:shd w:val="clear" w:color="auto" w:fill="FFFFFF"/>
        </w:rPr>
        <w:t>一、</w:t>
      </w:r>
      <w:r>
        <w:rPr>
          <w:rStyle w:val="10"/>
          <w:rFonts w:hint="default" w:ascii="Times New Roman" w:hAnsi="Times New Roman" w:eastAsia="黑体" w:cs="Times New Roman"/>
          <w:b w:val="0"/>
          <w:bCs/>
          <w:color w:val="auto"/>
          <w:sz w:val="32"/>
          <w:szCs w:val="32"/>
          <w:shd w:val="clear" w:color="auto" w:fill="FFFFFF"/>
          <w:lang w:eastAsia="zh-CN"/>
        </w:rPr>
        <w:t>单位</w:t>
      </w:r>
      <w:r>
        <w:rPr>
          <w:rStyle w:val="10"/>
          <w:rFonts w:hint="default" w:ascii="Times New Roman" w:hAnsi="Times New Roman" w:eastAsia="黑体" w:cs="Times New Roman"/>
          <w:b w:val="0"/>
          <w:bCs/>
          <w:color w:val="auto"/>
          <w:sz w:val="32"/>
          <w:szCs w:val="32"/>
          <w:shd w:val="clear" w:color="auto" w:fill="FFFFFF"/>
        </w:rPr>
        <w:t>基本情况</w:t>
      </w:r>
    </w:p>
    <w:p>
      <w:pPr>
        <w:pStyle w:val="6"/>
        <w:keepNext w:val="0"/>
        <w:keepLines w:val="0"/>
        <w:pageBreakBefore w:val="0"/>
        <w:shd w:val="clear"/>
        <w:kinsoku/>
        <w:overflowPunct/>
        <w:topLinePunct w:val="0"/>
        <w:autoSpaceDN/>
        <w:bidi w:val="0"/>
        <w:adjustRightInd/>
        <w:spacing w:beforeAutospacing="0" w:afterAutospacing="0" w:line="594" w:lineRule="exact"/>
        <w:ind w:firstLine="420"/>
        <w:textAlignment w:val="auto"/>
        <w:rPr>
          <w:rStyle w:val="10"/>
          <w:rFonts w:hint="default" w:ascii="Times New Roman" w:hAnsi="Times New Roman" w:eastAsia="楷体" w:cs="Times New Roman"/>
          <w:color w:val="auto"/>
          <w:sz w:val="32"/>
          <w:szCs w:val="32"/>
          <w:shd w:val="clear" w:color="auto" w:fill="FFFFFF"/>
        </w:rPr>
      </w:pPr>
      <w:r>
        <w:rPr>
          <w:rStyle w:val="10"/>
          <w:rFonts w:hint="default" w:ascii="Times New Roman" w:hAnsi="Times New Roman" w:eastAsia="楷体" w:cs="Times New Roman"/>
          <w:color w:val="auto"/>
          <w:sz w:val="32"/>
          <w:szCs w:val="32"/>
          <w:shd w:val="clear" w:color="auto" w:fill="FFFFFF"/>
        </w:rPr>
        <w:t>（一）职能职责</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重庆市长寿区民政局为区政府组成部门。主要职责：贯彻执行民政工作法律、法规和方针政策，拟定民政事业发展规划，并组织实施和监督检查。负责全区区划地名工作，承担行政区划设立、命名、变更和政府驻地迁移的审核报批工作；承办区内重要自然地理实体的命名、更名审核报批工作；承担全区道路地名标志的设置和管理；承担行政区域边界线争议的调查和调处。拟定社会工作和志愿服务政策，组织推进社会工作人才队伍建设和志愿者队伍建设。按照管理权限对社会组织进行登记和日常监督管理。负责社会组织党建工作，对行业特征不明显、不能纳入相关行业社会组织综合党委的全区性社会组织（含脱钩和直接登记）党建工作进行兜底管理。按规定审核社会组织会长（理事长）、副会长（副理事长）、秘书长等负责人人选。牵头区民政局执法监督、民政领域“放管服”和行政审批制度改革等工作，承担行业标准化工作、规范性文件的合法性审查和行政复议、行政应诉等工作。推进婚俗和殡葬改革，拟定婚姻、殡葬、生活无着流浪乞讨人员救助管理政策，指导区</w:t>
      </w:r>
      <w:r>
        <w:rPr>
          <w:rFonts w:hint="default" w:ascii="Times New Roman" w:hAnsi="Times New Roman" w:eastAsia="方正仿宋_GBK" w:cs="Times New Roman"/>
          <w:color w:val="auto"/>
          <w:sz w:val="32"/>
          <w:szCs w:val="32"/>
          <w:shd w:val="clear" w:color="auto" w:fill="FFFFFF"/>
          <w:lang w:eastAsia="zh-CN"/>
        </w:rPr>
        <w:t>民政局</w:t>
      </w:r>
      <w:r>
        <w:rPr>
          <w:rFonts w:hint="default" w:ascii="Times New Roman" w:hAnsi="Times New Roman" w:eastAsia="方正仿宋_GBK" w:cs="Times New Roman"/>
          <w:color w:val="auto"/>
          <w:sz w:val="32"/>
          <w:szCs w:val="32"/>
          <w:shd w:val="clear" w:color="auto" w:fill="FFFFFF"/>
        </w:rPr>
        <w:t>婚姻登记处、区救助管理站、区殡葬管理所、区殡仪馆和公墓管理、殡仪服务管理、开展家庭暴力受害人临时庇护救助等工作。拟定儿童福利、孤弃儿童保障、儿童收养、儿童救助保护政策、标准，健全农村留守儿童关爱服务体系和困境儿童保障制度，指导儿童福利、收养登记、救助保护机构管理工作。负责贫困残疾人和重度残疾人补贴。负责全区养老服务机构和殡葬服务行业安全管理工作。拟定城乡居民最低生活保障、特困人员救助供养、临时救助等社会救助政策和标准，承办市财政困难群众救助补助资金分配和监管工作，指导区低保管理中心工作。承担老年人福利工作，拟定老年人福利补贴制度和养老服务体系建设规划、政策、标准，推进农村留守老年人关爱服务工作，指导养老服务、老年人福利、特困人员救助供养机构管理工作，负责老年人高龄津贴、经济困难的高龄失能老年人补贴和特困人员供养工作。</w:t>
      </w:r>
    </w:p>
    <w:p>
      <w:pPr>
        <w:pStyle w:val="6"/>
        <w:keepNext w:val="0"/>
        <w:keepLines w:val="0"/>
        <w:pageBreakBefore w:val="0"/>
        <w:numPr>
          <w:ilvl w:val="0"/>
          <w:numId w:val="1"/>
        </w:numPr>
        <w:shd w:val="clear"/>
        <w:kinsoku/>
        <w:overflowPunct/>
        <w:topLinePunct w:val="0"/>
        <w:autoSpaceDN/>
        <w:bidi w:val="0"/>
        <w:adjustRightInd/>
        <w:spacing w:beforeAutospacing="0" w:afterAutospacing="0" w:line="594" w:lineRule="exact"/>
        <w:ind w:firstLine="420"/>
        <w:textAlignment w:val="auto"/>
        <w:rPr>
          <w:rStyle w:val="10"/>
          <w:rFonts w:hint="default" w:ascii="Times New Roman" w:hAnsi="Times New Roman" w:eastAsia="楷体" w:cs="Times New Roman"/>
          <w:color w:val="auto"/>
          <w:sz w:val="32"/>
          <w:szCs w:val="32"/>
          <w:shd w:val="clear" w:color="auto" w:fill="FFFFFF"/>
        </w:rPr>
      </w:pPr>
      <w:r>
        <w:rPr>
          <w:rStyle w:val="10"/>
          <w:rFonts w:hint="default" w:ascii="Times New Roman" w:hAnsi="Times New Roman" w:eastAsia="楷体" w:cs="Times New Roman"/>
          <w:color w:val="auto"/>
          <w:sz w:val="32"/>
          <w:szCs w:val="32"/>
          <w:shd w:val="clear" w:color="auto" w:fill="FFFFFF"/>
        </w:rPr>
        <w:t>机构设置</w:t>
      </w:r>
    </w:p>
    <w:p>
      <w:pPr>
        <w:pStyle w:val="6"/>
        <w:keepNext w:val="0"/>
        <w:keepLines w:val="0"/>
        <w:pageBreakBefore w:val="0"/>
        <w:numPr>
          <w:ilvl w:val="0"/>
          <w:numId w:val="0"/>
        </w:numPr>
        <w:shd w:val="clear"/>
        <w:kinsoku/>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区民政局本级内设6科室：办公室（信访科）、规划财务科（内审科）、区划地名科、社会组织管理科（行政审批科）、社会事务和社会救助科、老龄工作和养老服务科。</w:t>
      </w:r>
    </w:p>
    <w:p>
      <w:pPr>
        <w:pStyle w:val="6"/>
        <w:keepNext w:val="0"/>
        <w:keepLines w:val="0"/>
        <w:pageBreakBefore w:val="0"/>
        <w:numPr>
          <w:ilvl w:val="0"/>
          <w:numId w:val="0"/>
        </w:numPr>
        <w:shd w:val="clear"/>
        <w:kinsoku/>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b w:val="0"/>
          <w:bCs/>
          <w:color w:val="auto"/>
          <w:sz w:val="32"/>
          <w:szCs w:val="32"/>
        </w:rPr>
      </w:pPr>
      <w:r>
        <w:rPr>
          <w:rStyle w:val="10"/>
          <w:rFonts w:hint="default" w:ascii="Times New Roman" w:hAnsi="Times New Roman" w:eastAsia="黑体" w:cs="Times New Roman"/>
          <w:b w:val="0"/>
          <w:bCs/>
          <w:color w:val="auto"/>
          <w:sz w:val="32"/>
          <w:szCs w:val="32"/>
          <w:shd w:val="clear" w:color="auto" w:fill="FFFFFF"/>
        </w:rPr>
        <w:t>二、</w:t>
      </w:r>
      <w:r>
        <w:rPr>
          <w:rStyle w:val="10"/>
          <w:rFonts w:hint="default" w:ascii="Times New Roman" w:hAnsi="Times New Roman" w:eastAsia="黑体" w:cs="Times New Roman"/>
          <w:b w:val="0"/>
          <w:bCs/>
          <w:color w:val="auto"/>
          <w:sz w:val="32"/>
          <w:szCs w:val="32"/>
          <w:shd w:val="clear" w:color="auto" w:fill="FFFFFF"/>
          <w:lang w:eastAsia="zh-CN"/>
        </w:rPr>
        <w:t>单位</w:t>
      </w:r>
      <w:r>
        <w:rPr>
          <w:rStyle w:val="10"/>
          <w:rFonts w:hint="default" w:ascii="Times New Roman" w:hAnsi="Times New Roman" w:eastAsia="黑体" w:cs="Times New Roman"/>
          <w:b w:val="0"/>
          <w:bCs/>
          <w:color w:val="auto"/>
          <w:sz w:val="32"/>
          <w:szCs w:val="32"/>
          <w:shd w:val="clear" w:color="auto" w:fill="FFFFFF"/>
        </w:rPr>
        <w:t>决算</w:t>
      </w:r>
      <w:r>
        <w:rPr>
          <w:rStyle w:val="10"/>
          <w:rFonts w:hint="default" w:ascii="Times New Roman" w:hAnsi="Times New Roman" w:eastAsia="黑体" w:cs="Times New Roman"/>
          <w:b w:val="0"/>
          <w:bCs/>
          <w:color w:val="auto"/>
          <w:sz w:val="32"/>
          <w:szCs w:val="32"/>
          <w:shd w:val="clear" w:color="auto" w:fill="FFFFFF"/>
          <w:lang w:eastAsia="zh-CN"/>
        </w:rPr>
        <w:t>收支</w:t>
      </w:r>
      <w:r>
        <w:rPr>
          <w:rStyle w:val="10"/>
          <w:rFonts w:hint="default" w:ascii="Times New Roman" w:hAnsi="Times New Roman" w:eastAsia="黑体" w:cs="Times New Roman"/>
          <w:b w:val="0"/>
          <w:bCs/>
          <w:color w:val="auto"/>
          <w:sz w:val="32"/>
          <w:szCs w:val="32"/>
          <w:shd w:val="clear" w:color="auto" w:fill="FFFFFF"/>
        </w:rPr>
        <w:t>情况说明</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（一）收入支出决算总体情况说明。</w:t>
      </w:r>
    </w:p>
    <w:p>
      <w:pPr>
        <w:pStyle w:val="6"/>
        <w:keepNext w:val="0"/>
        <w:keepLines w:val="0"/>
        <w:pageBreakBefore w:val="0"/>
        <w:shd w:val="clear"/>
        <w:kinsoku/>
        <w:overflowPunct/>
        <w:topLinePunct w:val="0"/>
        <w:autoSpaceDN/>
        <w:bidi w:val="0"/>
        <w:adjustRightInd/>
        <w:spacing w:beforeAutospacing="0" w:afterAutospacing="0" w:line="594" w:lineRule="exact"/>
        <w:ind w:firstLine="643" w:firstLineChars="200"/>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度收入总计27719.52万元，支出总计</w:t>
      </w:r>
      <w:r>
        <w:rPr>
          <w:rFonts w:hint="default" w:ascii="Times New Roman" w:hAnsi="Times New Roman" w:eastAsia="方正仿宋_GBK" w:cs="Times New Roman"/>
          <w:color w:val="auto"/>
          <w:sz w:val="32"/>
          <w:szCs w:val="32"/>
        </w:rPr>
        <w:t>27719.52</w:t>
      </w:r>
      <w:r>
        <w:rPr>
          <w:rFonts w:hint="default" w:ascii="Times New Roman" w:hAnsi="Times New Roman" w:eastAsia="方正仿宋_GBK" w:cs="Times New Roman"/>
          <w:color w:val="auto"/>
          <w:sz w:val="32"/>
          <w:szCs w:val="32"/>
          <w:shd w:val="clear" w:color="auto" w:fill="FFFFFF"/>
        </w:rPr>
        <w:t>万元。收、支与2023年度相比，减少39.36万元，下降0.1%，</w:t>
      </w:r>
      <w:r>
        <w:rPr>
          <w:rFonts w:hint="default" w:ascii="Times New Roman" w:hAnsi="Times New Roman" w:eastAsia="方正仿宋_GBK" w:cs="Times New Roman"/>
          <w:color w:val="auto"/>
          <w:sz w:val="32"/>
          <w:szCs w:val="32"/>
          <w:highlight w:val="none"/>
          <w:shd w:val="clear" w:color="auto" w:fill="FFFFFF"/>
          <w:lang w:eastAsia="zh-CN"/>
        </w:rPr>
        <w:t>基本支出</w:t>
      </w:r>
      <w:r>
        <w:rPr>
          <w:rFonts w:hint="default" w:ascii="Times New Roman" w:hAnsi="Times New Roman" w:eastAsia="方正仿宋_GBK" w:cs="Times New Roman"/>
          <w:color w:val="auto"/>
          <w:sz w:val="32"/>
          <w:szCs w:val="32"/>
          <w:shd w:val="clear" w:color="auto" w:fill="FFFFFF"/>
        </w:rPr>
        <w:t>与2023年度相比</w:t>
      </w:r>
      <w:r>
        <w:rPr>
          <w:rFonts w:hint="default" w:ascii="Times New Roman" w:hAnsi="Times New Roman" w:eastAsia="方正仿宋_GBK" w:cs="Times New Roman"/>
          <w:color w:val="auto"/>
          <w:sz w:val="32"/>
          <w:szCs w:val="32"/>
          <w:highlight w:val="none"/>
          <w:shd w:val="clear" w:color="auto" w:fill="FFFFFF"/>
          <w:lang w:eastAsia="zh-CN"/>
        </w:rPr>
        <w:t>减少</w:t>
      </w:r>
      <w:r>
        <w:rPr>
          <w:rFonts w:hint="default" w:ascii="Times New Roman" w:hAnsi="Times New Roman" w:eastAsia="方正仿宋_GBK" w:cs="Times New Roman"/>
          <w:color w:val="auto"/>
          <w:sz w:val="32"/>
          <w:szCs w:val="32"/>
          <w:highlight w:val="none"/>
          <w:shd w:val="clear" w:color="auto" w:fill="FFFFFF"/>
          <w:lang w:val="en-US" w:eastAsia="zh-CN"/>
        </w:rPr>
        <w:t>342.62万元，</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eastAsia="zh-CN"/>
        </w:rPr>
        <w:t>拆分局属单位独立核算；</w:t>
      </w:r>
      <w:r>
        <w:rPr>
          <w:rFonts w:hint="default" w:ascii="Times New Roman" w:hAnsi="Times New Roman" w:eastAsia="方正仿宋_GBK" w:cs="Times New Roman"/>
          <w:color w:val="auto"/>
          <w:sz w:val="32"/>
          <w:szCs w:val="32"/>
          <w:highlight w:val="none"/>
          <w:shd w:val="clear" w:color="auto" w:fill="FFFFFF"/>
          <w:lang w:val="en-US" w:eastAsia="zh-CN"/>
        </w:rPr>
        <w:t>项目支出</w:t>
      </w:r>
      <w:r>
        <w:rPr>
          <w:rFonts w:hint="default" w:ascii="Times New Roman" w:hAnsi="Times New Roman" w:eastAsia="方正仿宋_GBK" w:cs="Times New Roman"/>
          <w:color w:val="auto"/>
          <w:sz w:val="32"/>
          <w:szCs w:val="32"/>
          <w:shd w:val="clear" w:color="auto" w:fill="FFFFFF"/>
        </w:rPr>
        <w:t>与2023年度相比</w:t>
      </w:r>
      <w:r>
        <w:rPr>
          <w:rFonts w:hint="default" w:ascii="Times New Roman" w:hAnsi="Times New Roman" w:eastAsia="方正仿宋_GBK" w:cs="Times New Roman"/>
          <w:color w:val="auto"/>
          <w:sz w:val="32"/>
          <w:szCs w:val="32"/>
          <w:highlight w:val="none"/>
          <w:shd w:val="clear" w:color="auto" w:fill="FFFFFF"/>
          <w:lang w:val="en-US" w:eastAsia="zh-CN"/>
        </w:rPr>
        <w:t>增加303.26万元，</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rPr>
        <w:t>困难群众</w:t>
      </w:r>
      <w:r>
        <w:rPr>
          <w:rFonts w:hint="default" w:ascii="Times New Roman" w:hAnsi="Times New Roman" w:eastAsia="方正仿宋_GBK" w:cs="Times New Roman"/>
          <w:color w:val="auto"/>
          <w:sz w:val="32"/>
          <w:szCs w:val="32"/>
          <w:highlight w:val="none"/>
          <w:shd w:val="clear" w:color="auto" w:fill="FFFFFF"/>
          <w:lang w:eastAsia="zh-CN"/>
        </w:rPr>
        <w:t>救助</w:t>
      </w:r>
      <w:r>
        <w:rPr>
          <w:rFonts w:hint="default" w:ascii="Times New Roman" w:hAnsi="Times New Roman" w:eastAsia="方正仿宋_GBK" w:cs="Times New Roman"/>
          <w:color w:val="auto"/>
          <w:sz w:val="32"/>
          <w:szCs w:val="32"/>
          <w:highlight w:val="none"/>
          <w:shd w:val="clear" w:color="auto" w:fill="FFFFFF"/>
        </w:rPr>
        <w:t>调标、养老扶持力度加大</w:t>
      </w:r>
      <w:r>
        <w:rPr>
          <w:rFonts w:hint="default" w:ascii="Times New Roman" w:hAnsi="Times New Roman" w:eastAsia="方正仿宋_GBK" w:cs="Times New Roman"/>
          <w:color w:val="auto"/>
          <w:sz w:val="32"/>
          <w:szCs w:val="32"/>
          <w:highlight w:val="none"/>
          <w:shd w:val="clear" w:color="auto" w:fill="FFFFFF"/>
          <w:lang w:val="en-US" w:eastAsia="zh-CN"/>
        </w:rPr>
        <w:t>。</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度收入合计27719.52万元，与2023年度相比，减少39.36万元，下降0.1%，主要原因是</w:t>
      </w:r>
      <w:r>
        <w:rPr>
          <w:rFonts w:hint="default" w:ascii="Times New Roman" w:hAnsi="Times New Roman" w:eastAsia="方正仿宋_GBK" w:cs="Times New Roman"/>
          <w:color w:val="auto"/>
          <w:sz w:val="32"/>
          <w:szCs w:val="32"/>
          <w:highlight w:val="none"/>
          <w:shd w:val="clear" w:color="auto" w:fill="FFFFFF"/>
          <w:lang w:eastAsia="zh-CN"/>
        </w:rPr>
        <w:t>拆分局属单位（区民政局婚姻登记处、区殡葬管理所、区养老服务指导中心）独立核算</w:t>
      </w:r>
      <w:r>
        <w:rPr>
          <w:rFonts w:hint="default"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27719.52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万元，占0.0%；其他收入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w:t>
      </w:r>
      <w:r>
        <w:rPr>
          <w:rFonts w:hint="default" w:ascii="Times New Roman" w:hAnsi="Times New Roman" w:eastAsia="方正仿宋_GBK" w:cs="Times New Roman"/>
          <w:color w:val="auto"/>
          <w:sz w:val="32"/>
          <w:szCs w:val="32"/>
          <w:highlight w:val="none"/>
          <w:shd w:val="clear" w:color="auto" w:fill="FFFFFF"/>
        </w:rPr>
        <w:t>。此外，使用非财政拨款结余（含专用结余）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度支出合计</w:t>
      </w:r>
      <w:r>
        <w:rPr>
          <w:rFonts w:hint="default" w:ascii="Times New Roman" w:hAnsi="Times New Roman" w:eastAsia="方正仿宋_GBK" w:cs="Times New Roman"/>
          <w:color w:val="auto"/>
          <w:sz w:val="32"/>
          <w:szCs w:val="32"/>
        </w:rPr>
        <w:t>27719.52</w:t>
      </w:r>
      <w:r>
        <w:rPr>
          <w:rFonts w:hint="default" w:ascii="Times New Roman" w:hAnsi="Times New Roman" w:eastAsia="方正仿宋_GBK" w:cs="Times New Roman"/>
          <w:color w:val="auto"/>
          <w:sz w:val="32"/>
          <w:szCs w:val="32"/>
          <w:shd w:val="clear" w:color="auto" w:fill="FFFFFF"/>
        </w:rPr>
        <w:t>万元，与2023年度相比</w:t>
      </w:r>
      <w:r>
        <w:rPr>
          <w:rFonts w:hint="default" w:ascii="Times New Roman" w:hAnsi="Times New Roman" w:eastAsia="方正仿宋_GBK" w:cs="Times New Roman"/>
          <w:color w:val="auto"/>
          <w:sz w:val="32"/>
          <w:szCs w:val="32"/>
          <w:highlight w:val="none"/>
          <w:shd w:val="clear" w:color="auto" w:fill="FFFFFF"/>
        </w:rPr>
        <w:t>，减少39.36万元，下降0.1%，主要原因是</w:t>
      </w:r>
      <w:r>
        <w:rPr>
          <w:rFonts w:hint="default" w:ascii="Times New Roman" w:hAnsi="Times New Roman" w:eastAsia="方正仿宋_GBK" w:cs="Times New Roman"/>
          <w:color w:val="auto"/>
          <w:sz w:val="32"/>
          <w:szCs w:val="32"/>
          <w:highlight w:val="none"/>
          <w:shd w:val="clear" w:color="auto" w:fill="FFFFFF"/>
          <w:lang w:eastAsia="zh-CN"/>
        </w:rPr>
        <w:t>拆分局属单位（区民政局婚姻登记处、区殡葬管理所、区养老服务指导中心）独立核算</w:t>
      </w:r>
      <w:r>
        <w:rPr>
          <w:rFonts w:hint="default"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其中</w:t>
      </w:r>
      <w:r>
        <w:rPr>
          <w:rFonts w:hint="default" w:ascii="Times New Roman" w:hAnsi="Times New Roman" w:eastAsia="方正仿宋_GBK" w:cs="Times New Roman"/>
          <w:color w:val="auto"/>
          <w:sz w:val="32"/>
          <w:szCs w:val="32"/>
          <w:shd w:val="clear" w:color="auto" w:fill="FFFFFF"/>
        </w:rPr>
        <w:t>：基本支出</w:t>
      </w:r>
      <w:r>
        <w:rPr>
          <w:rFonts w:hint="default" w:ascii="Times New Roman" w:hAnsi="Times New Roman" w:eastAsia="方正仿宋_GBK" w:cs="Times New Roman"/>
          <w:color w:val="auto"/>
          <w:sz w:val="32"/>
          <w:szCs w:val="32"/>
        </w:rPr>
        <w:t>474.76</w:t>
      </w:r>
      <w:r>
        <w:rPr>
          <w:rFonts w:hint="default" w:ascii="Times New Roman" w:hAnsi="Times New Roman" w:eastAsia="方正仿宋_GBK" w:cs="Times New Roman"/>
          <w:color w:val="auto"/>
          <w:sz w:val="32"/>
          <w:szCs w:val="32"/>
          <w:shd w:val="clear" w:color="auto" w:fill="FFFFFF"/>
        </w:rPr>
        <w:t>万元，占1.7%；项目支出</w:t>
      </w:r>
      <w:r>
        <w:rPr>
          <w:rFonts w:hint="default" w:ascii="Times New Roman" w:hAnsi="Times New Roman" w:eastAsia="方正仿宋_GBK" w:cs="Times New Roman"/>
          <w:color w:val="auto"/>
          <w:sz w:val="32"/>
          <w:szCs w:val="32"/>
        </w:rPr>
        <w:t>27244.75</w:t>
      </w:r>
      <w:r>
        <w:rPr>
          <w:rFonts w:hint="default" w:ascii="Times New Roman" w:hAnsi="Times New Roman" w:eastAsia="方正仿宋_GBK" w:cs="Times New Roman"/>
          <w:color w:val="auto"/>
          <w:sz w:val="32"/>
          <w:szCs w:val="32"/>
          <w:shd w:val="clear" w:color="auto" w:fill="FFFFFF"/>
        </w:rPr>
        <w:t>万元，占98.3%；经营支出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lang w:eastAsia="zh-CN"/>
        </w:rPr>
      </w:pPr>
      <w:r>
        <w:rPr>
          <w:rStyle w:val="10"/>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度年末结转和结余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万元，与2023年度相比，无增减</w:t>
      </w:r>
      <w:r>
        <w:rPr>
          <w:rFonts w:hint="default" w:ascii="Times New Roman" w:hAnsi="Times New Roman" w:eastAsia="方正仿宋_GBK" w:cs="Times New Roman"/>
          <w:color w:val="auto"/>
          <w:sz w:val="32"/>
          <w:szCs w:val="32"/>
          <w:shd w:val="clear" w:color="auto" w:fill="FFFFFF"/>
          <w:lang w:eastAsia="zh-CN"/>
        </w:rPr>
        <w:t>。</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（二）财政拨款收入支出决算总体情况说明</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度财政拨款收、支总计27719.52万元。与202</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年相比，财政拨款收、支总计各减少39.36万元，下降0.1%。主要原因是</w:t>
      </w:r>
      <w:r>
        <w:rPr>
          <w:rFonts w:hint="default" w:ascii="Times New Roman" w:hAnsi="Times New Roman" w:eastAsia="方正仿宋_GBK" w:cs="Times New Roman"/>
          <w:color w:val="auto"/>
          <w:sz w:val="32"/>
          <w:szCs w:val="32"/>
          <w:highlight w:val="none"/>
          <w:shd w:val="clear" w:color="auto" w:fill="FFFFFF"/>
          <w:lang w:eastAsia="zh-CN"/>
        </w:rPr>
        <w:t>拆分局属单位（区民政局婚姻登记处、区殡葬管理所、区养老服务指导中心）独立核算。</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（三）一般公共预算财政拨款收入支出决算情况说明</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度一般公共预算财政拨款收入</w:t>
      </w:r>
      <w:r>
        <w:rPr>
          <w:rFonts w:hint="default" w:ascii="Times New Roman" w:hAnsi="Times New Roman" w:eastAsia="方正仿宋_GBK" w:cs="Times New Roman"/>
          <w:color w:val="auto"/>
          <w:sz w:val="32"/>
          <w:szCs w:val="32"/>
        </w:rPr>
        <w:t>24755.60</w:t>
      </w:r>
      <w:r>
        <w:rPr>
          <w:rFonts w:hint="default" w:ascii="Times New Roman" w:hAnsi="Times New Roman" w:eastAsia="方正仿宋_GBK" w:cs="Times New Roman"/>
          <w:color w:val="auto"/>
          <w:sz w:val="32"/>
          <w:szCs w:val="32"/>
          <w:shd w:val="clear" w:color="auto" w:fill="FFFFFF"/>
        </w:rPr>
        <w:t>万元，与2023年度相比，减少5.28万元，下降0.0%。主要原因是</w:t>
      </w:r>
      <w:r>
        <w:rPr>
          <w:rFonts w:hint="default" w:ascii="Times New Roman" w:hAnsi="Times New Roman" w:eastAsia="方正仿宋_GBK" w:cs="Times New Roman"/>
          <w:color w:val="auto"/>
          <w:sz w:val="32"/>
          <w:szCs w:val="32"/>
          <w:highlight w:val="none"/>
          <w:shd w:val="clear" w:color="auto" w:fill="FFFFFF"/>
          <w:lang w:eastAsia="zh-CN"/>
        </w:rPr>
        <w:t>拆分局属单位（区民政局婚姻登记处、区殡葬管理所、区养老服务指导中心）独立核算。</w:t>
      </w:r>
      <w:r>
        <w:rPr>
          <w:rFonts w:hint="default" w:ascii="Times New Roman" w:hAnsi="Times New Roman" w:eastAsia="方正仿宋_GBK" w:cs="Times New Roman"/>
          <w:color w:val="auto"/>
          <w:sz w:val="32"/>
          <w:szCs w:val="32"/>
          <w:shd w:val="clear" w:color="auto" w:fill="FFFFFF"/>
        </w:rPr>
        <w:t>较年初预算数增加1697.06万元，增长7.4%。主要原因是</w:t>
      </w:r>
      <w:r>
        <w:rPr>
          <w:rFonts w:hint="default" w:ascii="Times New Roman" w:hAnsi="Times New Roman" w:eastAsia="方正仿宋_GBK" w:cs="Times New Roman"/>
          <w:color w:val="auto"/>
          <w:sz w:val="32"/>
          <w:szCs w:val="32"/>
          <w:highlight w:val="none"/>
          <w:shd w:val="clear" w:color="auto" w:fill="FFFFFF"/>
        </w:rPr>
        <w:t>困难群众</w:t>
      </w:r>
      <w:r>
        <w:rPr>
          <w:rFonts w:hint="default" w:ascii="Times New Roman" w:hAnsi="Times New Roman" w:eastAsia="方正仿宋_GBK" w:cs="Times New Roman"/>
          <w:color w:val="auto"/>
          <w:sz w:val="32"/>
          <w:szCs w:val="32"/>
          <w:highlight w:val="none"/>
          <w:shd w:val="clear" w:color="auto" w:fill="FFFFFF"/>
          <w:lang w:eastAsia="zh-CN"/>
        </w:rPr>
        <w:t>救助</w:t>
      </w:r>
      <w:r>
        <w:rPr>
          <w:rFonts w:hint="default" w:ascii="Times New Roman" w:hAnsi="Times New Roman" w:eastAsia="方正仿宋_GBK" w:cs="Times New Roman"/>
          <w:color w:val="auto"/>
          <w:sz w:val="32"/>
          <w:szCs w:val="32"/>
          <w:highlight w:val="none"/>
          <w:shd w:val="clear" w:color="auto" w:fill="FFFFFF"/>
        </w:rPr>
        <w:t>调标、养老扶持力度加大</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lang w:eastAsia="zh-CN"/>
        </w:rPr>
      </w:pPr>
      <w:r>
        <w:rPr>
          <w:rStyle w:val="10"/>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度一般公共预算财政拨款支出</w:t>
      </w:r>
      <w:r>
        <w:rPr>
          <w:rFonts w:hint="default" w:ascii="Times New Roman" w:hAnsi="Times New Roman" w:eastAsia="方正仿宋_GBK" w:cs="Times New Roman"/>
          <w:color w:val="auto"/>
          <w:sz w:val="32"/>
          <w:szCs w:val="32"/>
        </w:rPr>
        <w:t>24755.60</w:t>
      </w:r>
      <w:r>
        <w:rPr>
          <w:rFonts w:hint="default" w:ascii="Times New Roman" w:hAnsi="Times New Roman" w:eastAsia="方正仿宋_GBK" w:cs="Times New Roman"/>
          <w:color w:val="auto"/>
          <w:sz w:val="32"/>
          <w:szCs w:val="32"/>
          <w:shd w:val="clear" w:color="auto" w:fill="FFFFFF"/>
        </w:rPr>
        <w:t>万元，与2023年度相比，减少5.28万元，下降0.0%。主要原因是</w:t>
      </w:r>
      <w:r>
        <w:rPr>
          <w:rFonts w:hint="default" w:ascii="Times New Roman" w:hAnsi="Times New Roman" w:eastAsia="方正仿宋_GBK" w:cs="Times New Roman"/>
          <w:color w:val="auto"/>
          <w:sz w:val="32"/>
          <w:szCs w:val="32"/>
          <w:highlight w:val="none"/>
          <w:shd w:val="clear" w:color="auto" w:fill="FFFFFF"/>
          <w:lang w:eastAsia="zh-CN"/>
        </w:rPr>
        <w:t>拆分局属单位（区民政局婚姻登记处、区殡葬管理所、区养老服务指导中心）独立核算。</w:t>
      </w:r>
      <w:r>
        <w:rPr>
          <w:rFonts w:hint="default" w:ascii="Times New Roman" w:hAnsi="Times New Roman" w:eastAsia="方正仿宋_GBK" w:cs="Times New Roman"/>
          <w:color w:val="auto"/>
          <w:sz w:val="32"/>
          <w:szCs w:val="32"/>
          <w:shd w:val="clear" w:color="auto" w:fill="FFFFFF"/>
        </w:rPr>
        <w:t>较年初预算数增加1697.06万元，增长7.4%。主要原因是</w:t>
      </w:r>
      <w:r>
        <w:rPr>
          <w:rFonts w:hint="default" w:ascii="Times New Roman" w:hAnsi="Times New Roman" w:eastAsia="方正仿宋_GBK" w:cs="Times New Roman"/>
          <w:color w:val="auto"/>
          <w:sz w:val="32"/>
          <w:szCs w:val="32"/>
          <w:highlight w:val="none"/>
          <w:shd w:val="clear" w:color="auto" w:fill="FFFFFF"/>
        </w:rPr>
        <w:t>困难群众</w:t>
      </w:r>
      <w:r>
        <w:rPr>
          <w:rFonts w:hint="default" w:ascii="Times New Roman" w:hAnsi="Times New Roman" w:eastAsia="方正仿宋_GBK" w:cs="Times New Roman"/>
          <w:color w:val="auto"/>
          <w:sz w:val="32"/>
          <w:szCs w:val="32"/>
          <w:highlight w:val="none"/>
          <w:shd w:val="clear" w:color="auto" w:fill="FFFFFF"/>
          <w:lang w:eastAsia="zh-CN"/>
        </w:rPr>
        <w:t>救助</w:t>
      </w:r>
      <w:r>
        <w:rPr>
          <w:rFonts w:hint="default" w:ascii="Times New Roman" w:hAnsi="Times New Roman" w:eastAsia="方正仿宋_GBK" w:cs="Times New Roman"/>
          <w:color w:val="auto"/>
          <w:sz w:val="32"/>
          <w:szCs w:val="32"/>
          <w:highlight w:val="none"/>
          <w:shd w:val="clear" w:color="auto" w:fill="FFFFFF"/>
        </w:rPr>
        <w:t>调标、养老扶持力度加大</w:t>
      </w:r>
      <w:r>
        <w:rPr>
          <w:rFonts w:hint="default" w:ascii="Times New Roman" w:hAnsi="Times New Roman" w:eastAsia="方正仿宋_GBK" w:cs="Times New Roman"/>
          <w:color w:val="auto"/>
          <w:sz w:val="32"/>
          <w:szCs w:val="32"/>
          <w:highlight w:val="none"/>
          <w:shd w:val="clear" w:color="auto" w:fill="FFFFFF"/>
          <w:lang w:eastAsia="zh-CN"/>
        </w:rPr>
        <w:t>。</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lang w:eastAsia="zh-CN"/>
        </w:rPr>
      </w:pPr>
      <w:r>
        <w:rPr>
          <w:rStyle w:val="10"/>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度年末一般公共预算财政拨款结转和结余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万元，与2023年度相比，无增减</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highlight w:val="cyan"/>
          <w:shd w:val="clear" w:color="auto" w:fill="FFFFFF"/>
        </w:rPr>
      </w:pPr>
      <w:r>
        <w:rPr>
          <w:rStyle w:val="10"/>
          <w:rFonts w:hint="default" w:ascii="Times New Roman" w:hAnsi="Times New Roman" w:eastAsia="方正仿宋_GBK" w:cs="Times New Roman"/>
          <w:color w:val="auto"/>
          <w:sz w:val="32"/>
          <w:szCs w:val="32"/>
          <w:shd w:val="clear" w:color="auto" w:fill="FFFFFF"/>
        </w:rPr>
        <w:t>4.比较情况。</w:t>
      </w:r>
      <w:r>
        <w:rPr>
          <w:rFonts w:hint="default" w:ascii="Times New Roman" w:hAnsi="Times New Roman" w:eastAsia="方正仿宋_GBK" w:cs="Times New Roman"/>
          <w:color w:val="auto"/>
          <w:sz w:val="32"/>
          <w:szCs w:val="32"/>
          <w:shd w:val="clear" w:color="auto" w:fill="FFFFFF"/>
        </w:rPr>
        <w:t>本单位</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度一般公共预算财政拨款支出主要用于以下几个方面：</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）教育支出</w:t>
      </w:r>
      <w:r>
        <w:rPr>
          <w:rFonts w:hint="default" w:ascii="Times New Roman" w:hAnsi="Times New Roman" w:eastAsia="方正仿宋_GBK" w:cs="Times New Roman"/>
          <w:color w:val="auto"/>
          <w:sz w:val="32"/>
          <w:szCs w:val="32"/>
        </w:rPr>
        <w:t>1.55</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0.0%</w:t>
      </w:r>
      <w:r>
        <w:rPr>
          <w:rFonts w:hint="default" w:ascii="Times New Roman" w:hAnsi="Times New Roman" w:eastAsia="方正仿宋_GBK" w:cs="Times New Roman"/>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）社会</w:t>
      </w:r>
      <w:r>
        <w:rPr>
          <w:rFonts w:hint="default" w:ascii="Times New Roman" w:hAnsi="Times New Roman" w:eastAsia="方正仿宋_GBK" w:cs="Times New Roman"/>
          <w:color w:val="auto"/>
          <w:sz w:val="32"/>
          <w:szCs w:val="32"/>
          <w:highlight w:val="none"/>
          <w:shd w:val="clear" w:color="auto" w:fill="FFFFFF"/>
        </w:rPr>
        <w:t>保障</w:t>
      </w:r>
      <w:r>
        <w:rPr>
          <w:rFonts w:hint="default" w:ascii="Times New Roman" w:hAnsi="Times New Roman" w:eastAsia="方正仿宋_GBK" w:cs="Times New Roman"/>
          <w:color w:val="auto"/>
          <w:sz w:val="32"/>
          <w:szCs w:val="32"/>
          <w:highlight w:val="none"/>
          <w:shd w:val="clear" w:color="auto" w:fill="FFFFFF"/>
          <w:lang w:eastAsia="zh-CN"/>
        </w:rPr>
        <w:t>和</w:t>
      </w:r>
      <w:r>
        <w:rPr>
          <w:rFonts w:hint="default" w:ascii="Times New Roman" w:hAnsi="Times New Roman" w:eastAsia="方正仿宋_GBK" w:cs="Times New Roman"/>
          <w:color w:val="auto"/>
          <w:sz w:val="32"/>
          <w:szCs w:val="32"/>
          <w:highlight w:val="none"/>
          <w:shd w:val="clear" w:color="auto" w:fill="FFFFFF"/>
        </w:rPr>
        <w:t>就业支</w:t>
      </w:r>
      <w:r>
        <w:rPr>
          <w:rFonts w:hint="default" w:ascii="Times New Roman" w:hAnsi="Times New Roman" w:eastAsia="方正仿宋_GBK" w:cs="Times New Roman"/>
          <w:color w:val="auto"/>
          <w:sz w:val="32"/>
          <w:szCs w:val="32"/>
          <w:shd w:val="clear" w:color="auto" w:fill="FFFFFF"/>
        </w:rPr>
        <w:t>出</w:t>
      </w:r>
      <w:r>
        <w:rPr>
          <w:rFonts w:hint="default" w:ascii="Times New Roman" w:hAnsi="Times New Roman" w:eastAsia="方正仿宋_GBK" w:cs="Times New Roman"/>
          <w:color w:val="auto"/>
          <w:sz w:val="32"/>
          <w:szCs w:val="32"/>
        </w:rPr>
        <w:t>24645.65</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99.6%</w:t>
      </w:r>
      <w:r>
        <w:rPr>
          <w:rFonts w:hint="default" w:ascii="Times New Roman" w:hAnsi="Times New Roman" w:eastAsia="方正仿宋_GBK" w:cs="Times New Roman"/>
          <w:color w:val="auto"/>
          <w:sz w:val="32"/>
          <w:szCs w:val="32"/>
          <w:shd w:val="clear" w:color="auto" w:fill="FFFFFF"/>
        </w:rPr>
        <w:t>，较年初预算数增加1695.20万元，增长7.4%，主要原因是</w:t>
      </w:r>
      <w:r>
        <w:rPr>
          <w:rFonts w:hint="default" w:ascii="Times New Roman" w:hAnsi="Times New Roman" w:eastAsia="方正仿宋_GBK" w:cs="Times New Roman"/>
          <w:color w:val="auto"/>
          <w:sz w:val="32"/>
          <w:szCs w:val="32"/>
          <w:highlight w:val="none"/>
          <w:shd w:val="clear" w:color="auto" w:fill="FFFFFF"/>
        </w:rPr>
        <w:t>困难群众</w:t>
      </w:r>
      <w:r>
        <w:rPr>
          <w:rFonts w:hint="default" w:ascii="Times New Roman" w:hAnsi="Times New Roman" w:eastAsia="方正仿宋_GBK" w:cs="Times New Roman"/>
          <w:color w:val="auto"/>
          <w:sz w:val="32"/>
          <w:szCs w:val="32"/>
          <w:highlight w:val="none"/>
          <w:shd w:val="clear" w:color="auto" w:fill="FFFFFF"/>
          <w:lang w:eastAsia="zh-CN"/>
        </w:rPr>
        <w:t>救助</w:t>
      </w:r>
      <w:r>
        <w:rPr>
          <w:rFonts w:hint="default" w:ascii="Times New Roman" w:hAnsi="Times New Roman" w:eastAsia="方正仿宋_GBK" w:cs="Times New Roman"/>
          <w:color w:val="auto"/>
          <w:sz w:val="32"/>
          <w:szCs w:val="32"/>
          <w:highlight w:val="none"/>
          <w:shd w:val="clear" w:color="auto" w:fill="FFFFFF"/>
        </w:rPr>
        <w:t>调标、养老扶持力度加大</w:t>
      </w:r>
      <w:r>
        <w:rPr>
          <w:rFonts w:hint="default" w:ascii="Times New Roman" w:hAnsi="Times New Roman" w:eastAsia="方正仿宋_GBK" w:cs="Times New Roman"/>
          <w:color w:val="auto"/>
          <w:sz w:val="32"/>
          <w:szCs w:val="32"/>
          <w:highlight w:val="none"/>
          <w:shd w:val="clear" w:color="auto" w:fill="FFFFFF"/>
          <w:lang w:eastAsia="zh-CN"/>
        </w:rPr>
        <w:t>。</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25.69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0.1%</w:t>
      </w:r>
      <w:r>
        <w:rPr>
          <w:rFonts w:hint="default" w:ascii="Times New Roman" w:hAnsi="Times New Roman" w:eastAsia="方正仿宋_GBK" w:cs="Times New Roman"/>
          <w:color w:val="auto"/>
          <w:sz w:val="32"/>
          <w:szCs w:val="32"/>
          <w:shd w:val="clear" w:color="auto" w:fill="FFFFFF"/>
        </w:rPr>
        <w:t>，较年初预算数增加1.48万元，增长6.1%，主要原因</w:t>
      </w:r>
      <w:bookmarkStart w:id="0" w:name="_GoBack"/>
      <w:bookmarkEnd w:id="0"/>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新招录人员。</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）农林水支出</w:t>
      </w:r>
      <w:r>
        <w:rPr>
          <w:rFonts w:hint="default" w:ascii="Times New Roman" w:hAnsi="Times New Roman" w:eastAsia="方正仿宋_GBK" w:cs="Times New Roman"/>
          <w:color w:val="auto"/>
          <w:sz w:val="32"/>
          <w:szCs w:val="32"/>
        </w:rPr>
        <w:t>57.88</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0.2%</w:t>
      </w:r>
      <w:r>
        <w:rPr>
          <w:rFonts w:hint="default" w:ascii="Times New Roman" w:hAnsi="Times New Roman" w:eastAsia="方正仿宋_GBK" w:cs="Times New Roman"/>
          <w:color w:val="auto"/>
          <w:sz w:val="32"/>
          <w:szCs w:val="32"/>
          <w:shd w:val="clear" w:color="auto" w:fill="FFFFFF"/>
        </w:rPr>
        <w:t>，较年初预算数减少1.61万元，下降2.7%</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eastAsia="zh-CN"/>
        </w:rPr>
        <w:t>村干部人员调整</w:t>
      </w:r>
      <w:r>
        <w:rPr>
          <w:rFonts w:hint="default" w:ascii="Times New Roman" w:hAnsi="Times New Roman" w:eastAsia="方正仿宋_GBK" w:cs="Times New Roman"/>
          <w:color w:val="auto"/>
          <w:sz w:val="32"/>
          <w:szCs w:val="32"/>
          <w:highlight w:val="none"/>
          <w:shd w:val="clear" w:color="auto" w:fill="FFFFFF"/>
        </w:rPr>
        <w:t>。</w:t>
      </w:r>
    </w:p>
    <w:p>
      <w:pPr>
        <w:keepNext w:val="0"/>
        <w:keepLines w:val="0"/>
        <w:pageBreakBefore w:val="0"/>
        <w:shd w:val="clear"/>
        <w:kinsoku/>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住房保障支出24.84</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0.1%</w:t>
      </w:r>
      <w:r>
        <w:rPr>
          <w:rFonts w:hint="default" w:ascii="Times New Roman" w:hAnsi="Times New Roman" w:eastAsia="方正仿宋_GBK" w:cs="Times New Roman"/>
          <w:color w:val="auto"/>
          <w:sz w:val="32"/>
          <w:szCs w:val="32"/>
          <w:shd w:val="clear" w:color="auto" w:fill="FFFFFF"/>
        </w:rPr>
        <w:t>，较年初预算数增加2.00万元，增长8.8%，主要原因是</w:t>
      </w:r>
      <w:r>
        <w:rPr>
          <w:rFonts w:hint="default" w:ascii="Times New Roman" w:hAnsi="Times New Roman" w:eastAsia="方正仿宋_GBK" w:cs="Times New Roman"/>
          <w:color w:val="auto"/>
          <w:sz w:val="32"/>
          <w:szCs w:val="32"/>
          <w:shd w:val="clear" w:color="auto" w:fill="FFFFFF"/>
          <w:lang w:eastAsia="zh-CN"/>
        </w:rPr>
        <w:t>新招录人员</w:t>
      </w:r>
      <w:r>
        <w:rPr>
          <w:rFonts w:hint="default" w:ascii="Times New Roman" w:hAnsi="Times New Roman" w:eastAsia="方正仿宋_GBK" w:cs="Times New Roman"/>
          <w:color w:val="auto"/>
          <w:sz w:val="32"/>
          <w:szCs w:val="32"/>
          <w:shd w:val="clear" w:color="auto" w:fill="FFFFFF"/>
        </w:rPr>
        <w:t>。</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（四）一般公共预算财政拨款基本支出决算情况说明</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w:t>
      </w:r>
      <w:r>
        <w:rPr>
          <w:rFonts w:hint="default" w:ascii="Times New Roman" w:hAnsi="Times New Roman" w:eastAsia="方正仿宋_GBK" w:cs="Times New Roman"/>
          <w:color w:val="auto"/>
          <w:sz w:val="32"/>
          <w:szCs w:val="32"/>
          <w:shd w:val="clear" w:color="auto" w:fill="FFFFFF"/>
          <w:lang w:eastAsia="zh-CN"/>
        </w:rPr>
        <w:t>预算</w:t>
      </w:r>
      <w:r>
        <w:rPr>
          <w:rFonts w:hint="default" w:ascii="Times New Roman" w:hAnsi="Times New Roman" w:eastAsia="方正仿宋_GBK" w:cs="Times New Roman"/>
          <w:color w:val="auto"/>
          <w:sz w:val="32"/>
          <w:szCs w:val="32"/>
          <w:shd w:val="clear" w:color="auto" w:fill="FFFFFF"/>
        </w:rPr>
        <w:t>财政拨款基本支出</w:t>
      </w:r>
      <w:r>
        <w:rPr>
          <w:rFonts w:hint="default" w:ascii="Times New Roman" w:hAnsi="Times New Roman" w:eastAsia="方正仿宋_GBK" w:cs="Times New Roman"/>
          <w:color w:val="auto"/>
          <w:sz w:val="32"/>
          <w:szCs w:val="32"/>
        </w:rPr>
        <w:t>474.76</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417.55</w:t>
      </w:r>
      <w:r>
        <w:rPr>
          <w:rFonts w:hint="default" w:ascii="Times New Roman" w:hAnsi="Times New Roman" w:eastAsia="方正仿宋_GBK" w:cs="Times New Roman"/>
          <w:color w:val="auto"/>
          <w:sz w:val="32"/>
          <w:szCs w:val="32"/>
          <w:shd w:val="clear" w:color="auto" w:fill="FFFFFF"/>
        </w:rPr>
        <w:t>万元，与2023年度相比，减少299.70万元，下降41.8%，主要原因是</w:t>
      </w:r>
      <w:r>
        <w:rPr>
          <w:rFonts w:hint="default" w:ascii="Times New Roman" w:hAnsi="Times New Roman" w:eastAsia="方正仿宋_GBK" w:cs="Times New Roman"/>
          <w:color w:val="auto"/>
          <w:sz w:val="32"/>
          <w:szCs w:val="32"/>
          <w:highlight w:val="none"/>
          <w:shd w:val="clear" w:color="auto" w:fill="FFFFFF"/>
          <w:lang w:eastAsia="zh-CN"/>
        </w:rPr>
        <w:t>拆分局属单位（区民政局婚姻登记处、区殡葬管理所、区养老服务指导中心）独立核算</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rPr>
        <w:t>基本工资、规范性津补贴、社保、住房公积金</w:t>
      </w:r>
      <w:r>
        <w:rPr>
          <w:rFonts w:hint="default" w:ascii="Times New Roman" w:hAnsi="Times New Roman" w:eastAsia="方正仿宋_GBK" w:cs="Times New Roman"/>
          <w:color w:val="auto"/>
          <w:sz w:val="32"/>
          <w:szCs w:val="32"/>
          <w:shd w:val="clear" w:color="auto" w:fill="FFFFFF"/>
          <w:lang w:eastAsia="zh-CN"/>
        </w:rPr>
        <w:t>等。</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57.21</w:t>
      </w:r>
      <w:r>
        <w:rPr>
          <w:rFonts w:hint="default" w:ascii="Times New Roman" w:hAnsi="Times New Roman" w:eastAsia="方正仿宋_GBK" w:cs="Times New Roman"/>
          <w:color w:val="auto"/>
          <w:sz w:val="32"/>
          <w:szCs w:val="32"/>
          <w:shd w:val="clear" w:color="auto" w:fill="FFFFFF"/>
        </w:rPr>
        <w:t>万元，与2023年度相比，减少42.91万元，下降42.9%，主要原因是</w:t>
      </w:r>
      <w:r>
        <w:rPr>
          <w:rFonts w:hint="default" w:ascii="Times New Roman" w:hAnsi="Times New Roman" w:eastAsia="方正仿宋_GBK" w:cs="Times New Roman"/>
          <w:color w:val="auto"/>
          <w:sz w:val="32"/>
          <w:szCs w:val="32"/>
          <w:highlight w:val="none"/>
          <w:shd w:val="clear" w:color="auto" w:fill="FFFFFF"/>
          <w:lang w:eastAsia="zh-CN"/>
        </w:rPr>
        <w:t>局属单位（区民政局婚姻登记处、区殡葬管理所、区养老服务指导中心）独立核算</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eastAsia="zh-CN"/>
        </w:rPr>
        <w:t>办公费、水电费、差旅费、培训费、公务接待费、公务用车运行维护费等。</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（五）政府性基金预算收支决算情况说明</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度政府性基金预算财政拨款年初结转结余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万元，年末结转结余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万元。本年收入</w:t>
      </w:r>
      <w:r>
        <w:rPr>
          <w:rFonts w:hint="default" w:ascii="Times New Roman" w:hAnsi="Times New Roman" w:eastAsia="方正仿宋_GBK" w:cs="Times New Roman"/>
          <w:color w:val="auto"/>
          <w:sz w:val="32"/>
          <w:szCs w:val="32"/>
        </w:rPr>
        <w:t>2963.92</w:t>
      </w:r>
      <w:r>
        <w:rPr>
          <w:rFonts w:hint="default" w:ascii="Times New Roman" w:hAnsi="Times New Roman" w:eastAsia="方正仿宋_GBK" w:cs="Times New Roman"/>
          <w:color w:val="auto"/>
          <w:sz w:val="32"/>
          <w:szCs w:val="32"/>
          <w:shd w:val="clear" w:color="auto" w:fill="FFFFFF"/>
        </w:rPr>
        <w:t>万元，与2023年度相比，减少34.08万元，下降1.1%</w:t>
      </w:r>
      <w:r>
        <w:rPr>
          <w:rFonts w:hint="default" w:ascii="Times New Roman" w:hAnsi="Times New Roman" w:eastAsia="方正仿宋_GBK" w:cs="Times New Roman"/>
          <w:color w:val="auto"/>
          <w:sz w:val="32"/>
          <w:szCs w:val="32"/>
          <w:highlight w:val="none"/>
          <w:shd w:val="clear" w:color="auto" w:fill="FFFFFF"/>
        </w:rPr>
        <w:t>，主要原因是长寿区第一养护院建设即将完工，建设资金需求逐步减少</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本年支出</w:t>
      </w:r>
      <w:r>
        <w:rPr>
          <w:rFonts w:hint="default" w:ascii="Times New Roman" w:hAnsi="Times New Roman" w:eastAsia="方正仿宋_GBK" w:cs="Times New Roman"/>
          <w:color w:val="auto"/>
          <w:sz w:val="32"/>
          <w:szCs w:val="32"/>
          <w:highlight w:val="none"/>
        </w:rPr>
        <w:t>2963.92</w:t>
      </w:r>
      <w:r>
        <w:rPr>
          <w:rFonts w:hint="default" w:ascii="Times New Roman" w:hAnsi="Times New Roman" w:eastAsia="方正仿宋_GBK" w:cs="Times New Roman"/>
          <w:color w:val="auto"/>
          <w:sz w:val="32"/>
          <w:szCs w:val="32"/>
          <w:highlight w:val="none"/>
          <w:shd w:val="clear" w:color="auto" w:fill="FFFFFF"/>
        </w:rPr>
        <w:t>万元，与2023年度相比，减少34.08万元，下降1.1%，主要原因是长寿区第一养护院建设即将完工，建设资金需求逐步减少</w:t>
      </w:r>
      <w:r>
        <w:rPr>
          <w:rFonts w:hint="default" w:ascii="Times New Roman" w:hAnsi="Times New Roman" w:eastAsia="方正仿宋_GBK" w:cs="Times New Roman"/>
          <w:color w:val="auto"/>
          <w:sz w:val="32"/>
          <w:szCs w:val="32"/>
          <w:highlight w:val="none"/>
          <w:shd w:val="clear" w:color="auto" w:fill="FFFFFF"/>
          <w:lang w:eastAsia="zh-CN"/>
        </w:rPr>
        <w:t>。</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（六）国有资本经营预算财政拨款支出决算情况说明</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度无国有资本经营预算财政拨款支出。</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color w:val="auto"/>
          <w:sz w:val="32"/>
          <w:szCs w:val="32"/>
          <w:shd w:val="clear" w:color="auto" w:fill="FFFFFF"/>
        </w:rPr>
      </w:pPr>
      <w:r>
        <w:rPr>
          <w:rStyle w:val="10"/>
          <w:rFonts w:hint="default" w:ascii="Times New Roman" w:hAnsi="Times New Roman" w:eastAsia="黑体" w:cs="Times New Roman"/>
          <w:b w:val="0"/>
          <w:bCs/>
          <w:color w:val="auto"/>
          <w:sz w:val="32"/>
          <w:szCs w:val="32"/>
          <w:shd w:val="clear" w:color="auto" w:fill="FFFFFF"/>
        </w:rPr>
        <w:t>三、</w:t>
      </w:r>
      <w:r>
        <w:rPr>
          <w:rStyle w:val="10"/>
          <w:rFonts w:hint="default" w:ascii="Times New Roman" w:hAnsi="Times New Roman" w:eastAsia="黑体" w:cs="Times New Roman"/>
          <w:b w:val="0"/>
          <w:bCs/>
          <w:color w:val="auto"/>
          <w:sz w:val="32"/>
          <w:szCs w:val="32"/>
          <w:shd w:val="clear" w:color="auto" w:fill="FFFFFF"/>
          <w:lang w:eastAsia="zh-CN"/>
        </w:rPr>
        <w:t>财政拨款</w:t>
      </w:r>
      <w:r>
        <w:rPr>
          <w:rStyle w:val="10"/>
          <w:rFonts w:hint="default" w:ascii="Times New Roman" w:hAnsi="Times New Roman" w:eastAsia="黑体" w:cs="Times New Roman"/>
          <w:b w:val="0"/>
          <w:bCs/>
          <w:color w:val="auto"/>
          <w:sz w:val="32"/>
          <w:szCs w:val="32"/>
          <w:shd w:val="clear" w:color="auto" w:fill="FFFFFF"/>
        </w:rPr>
        <w:t>“三公”经费情况说明</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（一）“三公”经费支出总体情况说明</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度“三公”经费支出共计</w:t>
      </w:r>
      <w:r>
        <w:rPr>
          <w:rFonts w:hint="default" w:ascii="Times New Roman" w:hAnsi="Times New Roman" w:eastAsia="方正仿宋_GBK" w:cs="Times New Roman"/>
          <w:color w:val="auto"/>
          <w:sz w:val="32"/>
          <w:szCs w:val="32"/>
        </w:rPr>
        <w:t>9.07</w:t>
      </w:r>
      <w:r>
        <w:rPr>
          <w:rFonts w:hint="default" w:ascii="Times New Roman" w:hAnsi="Times New Roman" w:eastAsia="方正仿宋_GBK" w:cs="Times New Roman"/>
          <w:color w:val="auto"/>
          <w:sz w:val="32"/>
          <w:szCs w:val="32"/>
          <w:shd w:val="clear" w:color="auto" w:fill="FFFFFF"/>
        </w:rPr>
        <w:t>万元，较年初预算数无增减，主要原因是严格执行相关规定，控制三公经费</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较上年支出数减少0.80万元，下降8.1%，主要原因是公务用车运行维护费</w:t>
      </w:r>
      <w:r>
        <w:rPr>
          <w:rFonts w:hint="default" w:ascii="Times New Roman" w:hAnsi="Times New Roman" w:eastAsia="方正仿宋_GBK" w:cs="Times New Roman"/>
          <w:color w:val="auto"/>
          <w:sz w:val="32"/>
          <w:szCs w:val="32"/>
          <w:shd w:val="clear" w:color="auto" w:fill="FFFFFF"/>
          <w:lang w:eastAsia="zh-CN"/>
        </w:rPr>
        <w:t>及公务接待费与</w:t>
      </w:r>
      <w:r>
        <w:rPr>
          <w:rFonts w:hint="default" w:ascii="Times New Roman" w:hAnsi="Times New Roman" w:eastAsia="方正仿宋_GBK" w:cs="Times New Roman"/>
          <w:color w:val="auto"/>
          <w:sz w:val="32"/>
          <w:szCs w:val="32"/>
          <w:shd w:val="clear" w:color="auto" w:fill="FFFFFF"/>
          <w:lang w:val="en-US" w:eastAsia="zh-CN"/>
        </w:rPr>
        <w:t>2023年度相比</w:t>
      </w:r>
      <w:r>
        <w:rPr>
          <w:rFonts w:hint="default" w:ascii="Times New Roman" w:hAnsi="Times New Roman" w:eastAsia="方正仿宋_GBK" w:cs="Times New Roman"/>
          <w:color w:val="auto"/>
          <w:sz w:val="32"/>
          <w:szCs w:val="32"/>
          <w:shd w:val="clear" w:color="auto" w:fill="FFFFFF"/>
          <w:lang w:eastAsia="zh-CN"/>
        </w:rPr>
        <w:t>有所下降</w:t>
      </w:r>
      <w:r>
        <w:rPr>
          <w:rFonts w:hint="default" w:ascii="Times New Roman" w:hAnsi="Times New Roman" w:eastAsia="方正仿宋_GBK" w:cs="Times New Roman"/>
          <w:color w:val="auto"/>
          <w:sz w:val="32"/>
          <w:szCs w:val="32"/>
          <w:shd w:val="clear" w:color="auto" w:fill="FFFFFF"/>
        </w:rPr>
        <w:t>。</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（二）“三公”经费分项支出情况</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度本单位因公出国（境）费用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费用支出较年初预算数无增减，较上年支出数无增减，主要原因是</w:t>
      </w:r>
      <w:r>
        <w:rPr>
          <w:rFonts w:hint="default" w:ascii="Times New Roman" w:hAnsi="Times New Roman" w:eastAsia="方正仿宋_GBK" w:cs="Times New Roman"/>
          <w:color w:val="auto"/>
          <w:sz w:val="32"/>
          <w:szCs w:val="32"/>
          <w:shd w:val="clear" w:color="auto" w:fill="FFFFFF"/>
          <w:lang w:eastAsia="zh-CN"/>
        </w:rPr>
        <w:t>本单位无因公</w:t>
      </w:r>
      <w:r>
        <w:rPr>
          <w:rFonts w:hint="default" w:ascii="Times New Roman" w:hAnsi="Times New Roman" w:eastAsia="方正仿宋_GBK" w:cs="Times New Roman"/>
          <w:color w:val="auto"/>
          <w:sz w:val="32"/>
          <w:szCs w:val="32"/>
          <w:shd w:val="clear" w:color="auto" w:fill="FFFFFF"/>
        </w:rPr>
        <w:t>出国（境）。</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shd w:val="clear" w:color="auto" w:fill="FFFFFF"/>
        </w:rPr>
        <w:t>公务</w:t>
      </w:r>
      <w:r>
        <w:rPr>
          <w:rFonts w:hint="default" w:ascii="Times New Roman" w:hAnsi="Times New Roman" w:eastAsia="方正仿宋_GBK" w:cs="Times New Roman"/>
          <w:color w:val="auto"/>
          <w:sz w:val="32"/>
          <w:szCs w:val="32"/>
          <w:highlight w:val="none"/>
          <w:shd w:val="clear" w:color="auto" w:fill="FFFFFF"/>
          <w:lang w:eastAsia="zh-CN"/>
        </w:rPr>
        <w:t>用</w:t>
      </w:r>
      <w:r>
        <w:rPr>
          <w:rFonts w:hint="default" w:ascii="Times New Roman" w:hAnsi="Times New Roman" w:eastAsia="方正仿宋_GBK" w:cs="Times New Roman"/>
          <w:color w:val="auto"/>
          <w:sz w:val="32"/>
          <w:szCs w:val="32"/>
          <w:highlight w:val="none"/>
          <w:shd w:val="clear" w:color="auto" w:fill="FFFFFF"/>
        </w:rPr>
        <w:t>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万元，费用支出较年初预算数无增减，较上年支出数无增减，主要原因是</w:t>
      </w:r>
      <w:r>
        <w:rPr>
          <w:rFonts w:hint="default" w:ascii="Times New Roman" w:hAnsi="Times New Roman" w:eastAsia="方正仿宋_GBK" w:cs="Times New Roman"/>
          <w:color w:val="auto"/>
          <w:sz w:val="32"/>
          <w:szCs w:val="32"/>
          <w:shd w:val="clear" w:color="auto" w:fill="FFFFFF"/>
          <w:lang w:eastAsia="zh-CN"/>
        </w:rPr>
        <w:t>未新购置车辆</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w:t>
      </w:r>
      <w:r>
        <w:rPr>
          <w:rFonts w:hint="default" w:ascii="Times New Roman" w:hAnsi="Times New Roman" w:eastAsia="方正仿宋_GBK" w:cs="Times New Roman"/>
          <w:color w:val="auto"/>
          <w:sz w:val="32"/>
          <w:szCs w:val="32"/>
          <w:highlight w:val="none"/>
          <w:shd w:val="clear" w:color="auto" w:fill="FFFFFF"/>
        </w:rPr>
        <w:t>务</w:t>
      </w:r>
      <w:r>
        <w:rPr>
          <w:rFonts w:hint="default" w:ascii="Times New Roman" w:hAnsi="Times New Roman" w:eastAsia="方正仿宋_GBK" w:cs="Times New Roman"/>
          <w:color w:val="auto"/>
          <w:sz w:val="32"/>
          <w:szCs w:val="32"/>
          <w:highlight w:val="none"/>
          <w:shd w:val="clear" w:color="auto" w:fill="FFFFFF"/>
          <w:lang w:eastAsia="zh-CN"/>
        </w:rPr>
        <w:t>用</w:t>
      </w:r>
      <w:r>
        <w:rPr>
          <w:rFonts w:hint="default" w:ascii="Times New Roman" w:hAnsi="Times New Roman" w:eastAsia="方正仿宋_GBK" w:cs="Times New Roman"/>
          <w:color w:val="auto"/>
          <w:sz w:val="32"/>
          <w:szCs w:val="32"/>
          <w:highlight w:val="none"/>
          <w:shd w:val="clear" w:color="auto" w:fill="FFFFFF"/>
        </w:rPr>
        <w:t>车运</w:t>
      </w:r>
      <w:r>
        <w:rPr>
          <w:rFonts w:hint="default" w:ascii="Times New Roman" w:hAnsi="Times New Roman" w:eastAsia="方正仿宋_GBK" w:cs="Times New Roman"/>
          <w:color w:val="auto"/>
          <w:sz w:val="32"/>
          <w:szCs w:val="32"/>
          <w:shd w:val="clear" w:color="auto" w:fill="FFFFFF"/>
        </w:rPr>
        <w:t>行维护费</w:t>
      </w:r>
      <w:r>
        <w:rPr>
          <w:rFonts w:hint="default" w:ascii="Times New Roman" w:hAnsi="Times New Roman" w:eastAsia="方正仿宋_GBK" w:cs="Times New Roman"/>
          <w:color w:val="auto"/>
          <w:sz w:val="32"/>
          <w:szCs w:val="32"/>
        </w:rPr>
        <w:t>7.28</w:t>
      </w:r>
      <w:r>
        <w:rPr>
          <w:rFonts w:hint="default" w:ascii="Times New Roman" w:hAnsi="Times New Roman" w:eastAsia="方正仿宋_GBK" w:cs="Times New Roman"/>
          <w:color w:val="auto"/>
          <w:sz w:val="32"/>
          <w:szCs w:val="32"/>
          <w:shd w:val="clear" w:color="auto" w:fill="FFFFFF"/>
        </w:rPr>
        <w:t>万元，主要用于公务用</w:t>
      </w:r>
      <w:r>
        <w:rPr>
          <w:rFonts w:hint="default" w:ascii="Times New Roman" w:hAnsi="Times New Roman" w:eastAsia="方正仿宋_GBK" w:cs="Times New Roman"/>
          <w:color w:val="auto"/>
          <w:sz w:val="32"/>
          <w:szCs w:val="32"/>
          <w:shd w:val="clear" w:color="auto" w:fill="FFFFFF"/>
          <w:lang w:eastAsia="zh-CN"/>
        </w:rPr>
        <w:t>车</w:t>
      </w:r>
      <w:r>
        <w:rPr>
          <w:rFonts w:hint="default" w:ascii="Times New Roman" w:hAnsi="Times New Roman" w:eastAsia="方正仿宋_GBK" w:cs="Times New Roman"/>
          <w:color w:val="auto"/>
          <w:sz w:val="32"/>
          <w:szCs w:val="32"/>
          <w:shd w:val="clear" w:color="auto" w:fill="FFFFFF"/>
        </w:rPr>
        <w:t>维修费、燃油费、过路过桥费、洗车费等。费用支出较年初预算数无增减</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较上年支出数减少0.35万元，下降4.6%，主要原因是</w:t>
      </w:r>
      <w:r>
        <w:rPr>
          <w:rFonts w:hint="default" w:ascii="Times New Roman" w:hAnsi="Times New Roman" w:eastAsia="方正仿宋_GBK" w:cs="Times New Roman"/>
          <w:color w:val="auto"/>
          <w:sz w:val="32"/>
          <w:szCs w:val="32"/>
          <w:shd w:val="clear" w:color="auto" w:fill="FFFFFF"/>
          <w:lang w:eastAsia="zh-CN"/>
        </w:rPr>
        <w:t>培训减少</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N/>
        <w:bidi w:val="0"/>
        <w:adjustRightInd/>
        <w:spacing w:before="0" w:beforeAutospacing="0" w:after="0" w:afterAutospacing="0" w:line="594" w:lineRule="exact"/>
        <w:ind w:left="0" w:right="0" w:firstLine="42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shd w:val="clear" w:color="auto" w:fill="FFFFFF"/>
        </w:rPr>
        <w:t>公务接待费</w:t>
      </w:r>
      <w:r>
        <w:rPr>
          <w:rFonts w:hint="default" w:ascii="Times New Roman" w:hAnsi="Times New Roman" w:eastAsia="方正仿宋_GBK" w:cs="Times New Roman"/>
          <w:color w:val="auto"/>
          <w:sz w:val="32"/>
          <w:szCs w:val="32"/>
        </w:rPr>
        <w:t>1.79</w:t>
      </w:r>
      <w:r>
        <w:rPr>
          <w:rFonts w:hint="default" w:ascii="Times New Roman" w:hAnsi="Times New Roman" w:eastAsia="方正仿宋_GBK" w:cs="Times New Roman"/>
          <w:color w:val="auto"/>
          <w:sz w:val="32"/>
          <w:szCs w:val="32"/>
          <w:shd w:val="clear" w:color="auto" w:fill="FFFFFF"/>
        </w:rPr>
        <w:t>万元，主要用于接待国内其他区县到我单位学习调研民政工作，接受相关部门检查指导工作发生的接待支出。</w:t>
      </w:r>
      <w:r>
        <w:rPr>
          <w:rFonts w:hint="default" w:ascii="Times New Roman" w:hAnsi="Times New Roman" w:eastAsia="方正仿宋_GBK" w:cs="Times New Roman"/>
          <w:color w:val="auto"/>
          <w:sz w:val="32"/>
          <w:szCs w:val="32"/>
          <w:highlight w:val="none"/>
          <w:shd w:val="clear" w:color="auto" w:fill="FFFFFF"/>
        </w:rPr>
        <w:t>费用支出较年初预算</w:t>
      </w:r>
      <w:r>
        <w:rPr>
          <w:rFonts w:hint="default" w:ascii="Times New Roman" w:hAnsi="Times New Roman" w:eastAsia="方正仿宋_GBK" w:cs="Times New Roman"/>
          <w:color w:val="auto"/>
          <w:sz w:val="32"/>
          <w:szCs w:val="32"/>
          <w:shd w:val="clear" w:color="auto" w:fill="FFFFFF"/>
        </w:rPr>
        <w:t>数无增减，主要原因是严格控制公务接待数量、规模及档次</w:t>
      </w:r>
      <w:r>
        <w:rPr>
          <w:rFonts w:hint="default" w:ascii="Times New Roman" w:hAnsi="Times New Roman" w:eastAsia="方正仿宋_GBK" w:cs="Times New Roman"/>
          <w:color w:val="auto"/>
          <w:sz w:val="32"/>
          <w:szCs w:val="32"/>
          <w:highlight w:val="none"/>
          <w:shd w:val="clear" w:color="auto" w:fill="FFFFFF"/>
        </w:rPr>
        <w:t>。较上年支出数减少0.45万元，下降20.1%，主要原因是本年度公务接待人次</w:t>
      </w:r>
      <w:r>
        <w:rPr>
          <w:rFonts w:hint="default" w:ascii="Times New Roman" w:hAnsi="Times New Roman" w:eastAsia="方正仿宋_GBK" w:cs="Times New Roman"/>
          <w:color w:val="auto"/>
          <w:sz w:val="32"/>
          <w:szCs w:val="32"/>
          <w:highlight w:val="none"/>
          <w:shd w:val="clear" w:color="auto" w:fill="FFFFFF"/>
          <w:lang w:eastAsia="zh-CN"/>
        </w:rPr>
        <w:t>减少</w:t>
      </w:r>
      <w:r>
        <w:rPr>
          <w:rFonts w:hint="default" w:ascii="Times New Roman" w:hAnsi="Times New Roman" w:eastAsia="方正仿宋_GBK" w:cs="Times New Roman"/>
          <w:color w:val="auto"/>
          <w:sz w:val="32"/>
          <w:szCs w:val="32"/>
          <w:highlight w:val="none"/>
          <w:shd w:val="clear" w:color="auto" w:fill="FFFFFF"/>
        </w:rPr>
        <w:t>。</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（三）“三公”经费实物量情况</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xml:space="preserve">  </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度本单位因公出国（境）共计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w:t>
      </w:r>
      <w:r>
        <w:rPr>
          <w:rFonts w:hint="default" w:ascii="Times New Roman" w:hAnsi="Times New Roman" w:eastAsia="方正仿宋_GBK" w:cs="Times New Roman"/>
          <w:color w:val="auto"/>
          <w:sz w:val="32"/>
          <w:szCs w:val="32"/>
          <w:highlight w:val="none"/>
          <w:shd w:val="clear" w:color="auto" w:fill="FFFFFF"/>
        </w:rPr>
        <w:t>，公务</w:t>
      </w:r>
      <w:r>
        <w:rPr>
          <w:rFonts w:hint="default" w:ascii="Times New Roman" w:hAnsi="Times New Roman" w:eastAsia="方正仿宋_GBK" w:cs="Times New Roman"/>
          <w:color w:val="auto"/>
          <w:sz w:val="32"/>
          <w:szCs w:val="32"/>
          <w:highlight w:val="none"/>
          <w:shd w:val="clear" w:color="auto" w:fill="FFFFFF"/>
          <w:lang w:eastAsia="zh-CN"/>
        </w:rPr>
        <w:t>用</w:t>
      </w:r>
      <w:r>
        <w:rPr>
          <w:rFonts w:hint="default" w:ascii="Times New Roman" w:hAnsi="Times New Roman" w:eastAsia="方正仿宋_GBK" w:cs="Times New Roman"/>
          <w:color w:val="auto"/>
          <w:sz w:val="32"/>
          <w:szCs w:val="32"/>
          <w:highlight w:val="none"/>
          <w:shd w:val="clear" w:color="auto" w:fill="FFFFFF"/>
        </w:rPr>
        <w:t>车</w:t>
      </w:r>
      <w:r>
        <w:rPr>
          <w:rFonts w:hint="default" w:ascii="Times New Roman" w:hAnsi="Times New Roman" w:eastAsia="方正仿宋_GBK" w:cs="Times New Roman"/>
          <w:color w:val="auto"/>
          <w:sz w:val="32"/>
          <w:szCs w:val="32"/>
          <w:shd w:val="clear" w:color="auto" w:fill="FFFFFF"/>
        </w:rPr>
        <w:t>保有量为</w:t>
      </w: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36</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258</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本单位人均接待费</w:t>
      </w:r>
      <w:r>
        <w:rPr>
          <w:rFonts w:hint="default" w:ascii="Times New Roman" w:hAnsi="Times New Roman" w:eastAsia="方正仿宋_GBK" w:cs="Times New Roman"/>
          <w:color w:val="auto"/>
          <w:sz w:val="32"/>
          <w:szCs w:val="32"/>
        </w:rPr>
        <w:t>69.35</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3.64</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color w:val="auto"/>
          <w:sz w:val="32"/>
          <w:szCs w:val="32"/>
          <w:shd w:val="clear" w:color="auto" w:fill="FFFFFF"/>
        </w:rPr>
      </w:pPr>
      <w:r>
        <w:rPr>
          <w:rStyle w:val="10"/>
          <w:rFonts w:hint="default" w:ascii="Times New Roman" w:hAnsi="Times New Roman" w:eastAsia="黑体" w:cs="Times New Roman"/>
          <w:b w:val="0"/>
          <w:bCs/>
          <w:color w:val="auto"/>
          <w:sz w:val="32"/>
          <w:szCs w:val="32"/>
          <w:shd w:val="clear" w:color="auto" w:fill="FFFFFF"/>
        </w:rPr>
        <w:t>四、其他需要说明的事项</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 xml:space="preserve"> （一）财政拨款会议费和培训费情况说明</w:t>
      </w:r>
    </w:p>
    <w:p>
      <w:pPr>
        <w:pStyle w:val="6"/>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本年度会议费支出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万元，与2023年度相比，无增减。本年度培训费支出</w:t>
      </w:r>
      <w:r>
        <w:rPr>
          <w:rFonts w:hint="default" w:ascii="Times New Roman" w:hAnsi="Times New Roman" w:eastAsia="方正仿宋_GBK" w:cs="Times New Roman"/>
          <w:color w:val="auto"/>
          <w:sz w:val="32"/>
          <w:szCs w:val="32"/>
        </w:rPr>
        <w:t>2.08</w:t>
      </w:r>
      <w:r>
        <w:rPr>
          <w:rFonts w:hint="default" w:ascii="Times New Roman" w:hAnsi="Times New Roman" w:eastAsia="方正仿宋_GBK" w:cs="Times New Roman"/>
          <w:color w:val="auto"/>
          <w:sz w:val="32"/>
          <w:szCs w:val="32"/>
          <w:shd w:val="clear" w:color="auto" w:fill="FFFFFF"/>
        </w:rPr>
        <w:t>万元，与2023年度相比，减少1.58万元，下降43.2%，主要原因是</w:t>
      </w:r>
      <w:r>
        <w:rPr>
          <w:rFonts w:hint="default" w:ascii="Times New Roman" w:hAnsi="Times New Roman" w:eastAsia="方正仿宋_GBK" w:cs="Times New Roman"/>
          <w:color w:val="auto"/>
          <w:sz w:val="32"/>
          <w:szCs w:val="32"/>
          <w:shd w:val="clear" w:color="auto" w:fill="FFFFFF"/>
          <w:lang w:eastAsia="zh-CN"/>
        </w:rPr>
        <w:t>培训减少</w:t>
      </w:r>
      <w:r>
        <w:rPr>
          <w:rFonts w:hint="default" w:ascii="Times New Roman" w:hAnsi="Times New Roman" w:eastAsia="方正仿宋_GBK" w:cs="Times New Roman"/>
          <w:color w:val="auto"/>
          <w:sz w:val="32"/>
          <w:szCs w:val="32"/>
          <w:shd w:val="clear" w:color="auto" w:fill="FFFFFF"/>
        </w:rPr>
        <w:t>。</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（二）机关运行经费情况说明</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度本单位机关运行经费支出</w:t>
      </w:r>
      <w:r>
        <w:rPr>
          <w:rFonts w:hint="default" w:ascii="Times New Roman" w:hAnsi="Times New Roman" w:eastAsia="方正仿宋_GBK" w:cs="Times New Roman"/>
          <w:color w:val="auto"/>
          <w:sz w:val="32"/>
          <w:szCs w:val="32"/>
        </w:rPr>
        <w:t>57.21</w:t>
      </w:r>
      <w:r>
        <w:rPr>
          <w:rFonts w:hint="default" w:ascii="Times New Roman" w:hAnsi="Times New Roman" w:eastAsia="方正仿宋_GBK" w:cs="Times New Roman"/>
          <w:color w:val="auto"/>
          <w:sz w:val="32"/>
          <w:szCs w:val="32"/>
          <w:shd w:val="clear" w:color="auto" w:fill="FFFFFF"/>
        </w:rPr>
        <w:t>万元，机关运行经费主要用于办公费、印刷费、邮电费、差旅费、会议费、福利费、维护费、水电费及公务用车运行维护费等保障单位运行的各项</w:t>
      </w:r>
      <w:r>
        <w:rPr>
          <w:rFonts w:hint="eastAsia" w:ascii="Times New Roman" w:hAnsi="Times New Roman" w:eastAsia="方正仿宋_GBK" w:cs="Times New Roman"/>
          <w:color w:val="auto"/>
          <w:sz w:val="32"/>
          <w:szCs w:val="32"/>
          <w:shd w:val="clear" w:color="auto" w:fill="FFFFFF"/>
          <w:lang w:eastAsia="zh-CN"/>
        </w:rPr>
        <w:t>开支</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机关运行经费较上年支出数减少42.91万元，下降42.9%，主要原因是</w:t>
      </w:r>
      <w:r>
        <w:rPr>
          <w:rFonts w:hint="eastAsia" w:ascii="Times New Roman" w:hAnsi="Times New Roman" w:eastAsia="方正仿宋_GBK" w:cs="Times New Roman"/>
          <w:color w:val="auto"/>
          <w:sz w:val="32"/>
          <w:szCs w:val="32"/>
          <w:shd w:val="clear" w:color="auto" w:fill="FFFFFF"/>
          <w:lang w:eastAsia="zh-CN"/>
        </w:rPr>
        <w:t>拆分</w:t>
      </w:r>
      <w:r>
        <w:rPr>
          <w:rFonts w:hint="default" w:ascii="Times New Roman" w:hAnsi="Times New Roman" w:eastAsia="方正仿宋_GBK" w:cs="Times New Roman"/>
          <w:color w:val="auto"/>
          <w:sz w:val="32"/>
          <w:szCs w:val="32"/>
          <w:highlight w:val="none"/>
          <w:shd w:val="clear" w:color="auto" w:fill="FFFFFF"/>
          <w:lang w:eastAsia="zh-CN"/>
        </w:rPr>
        <w:t>局属单位（区民政局婚姻登记处、区殡葬管理所、区养老服务指导中心）独立核算</w:t>
      </w:r>
      <w:r>
        <w:rPr>
          <w:rFonts w:hint="default" w:ascii="Times New Roman" w:hAnsi="Times New Roman" w:eastAsia="方正仿宋_GBK" w:cs="Times New Roman"/>
          <w:color w:val="auto"/>
          <w:sz w:val="32"/>
          <w:szCs w:val="32"/>
          <w:shd w:val="clear" w:color="auto" w:fill="FFFFFF"/>
          <w:lang w:eastAsia="zh-CN"/>
        </w:rPr>
        <w:t>。</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（三）国有资产占用情况说明</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12月31日，本单位共有车辆</w:t>
      </w: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（四）政府采购支出情况说明</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度本单位政府采购支出总额</w:t>
      </w:r>
      <w:r>
        <w:rPr>
          <w:rFonts w:hint="default" w:ascii="Times New Roman" w:hAnsi="Times New Roman" w:eastAsia="方正仿宋_GBK" w:cs="Times New Roman"/>
          <w:color w:val="auto"/>
          <w:sz w:val="32"/>
          <w:szCs w:val="32"/>
        </w:rPr>
        <w:t>13.22</w:t>
      </w:r>
      <w:r>
        <w:rPr>
          <w:rFonts w:hint="default" w:ascii="Times New Roman" w:hAnsi="Times New Roman" w:eastAsia="方正仿宋_GBK" w:cs="Times New Roman"/>
          <w:color w:val="auto"/>
          <w:sz w:val="32"/>
          <w:szCs w:val="32"/>
          <w:shd w:val="clear" w:color="auto" w:fill="FFFFFF"/>
        </w:rPr>
        <w:t>万元，其中：政府采购货物支出</w:t>
      </w:r>
      <w:r>
        <w:rPr>
          <w:rFonts w:hint="default" w:ascii="Times New Roman" w:hAnsi="Times New Roman" w:eastAsia="方正仿宋_GBK" w:cs="Times New Roman"/>
          <w:color w:val="auto"/>
          <w:sz w:val="32"/>
          <w:szCs w:val="32"/>
        </w:rPr>
        <w:t>13.22</w:t>
      </w:r>
      <w:r>
        <w:rPr>
          <w:rFonts w:hint="default" w:ascii="Times New Roman" w:hAnsi="Times New Roman" w:eastAsia="方正仿宋_GBK" w:cs="Times New Roman"/>
          <w:color w:val="auto"/>
          <w:sz w:val="32"/>
          <w:szCs w:val="32"/>
          <w:shd w:val="clear" w:color="auto" w:fill="FFFFFF"/>
        </w:rPr>
        <w:t>万元、政府采购工程支出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万元、政府采购服务支出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万元。授予中小企业合同金额</w:t>
      </w:r>
      <w:r>
        <w:rPr>
          <w:rFonts w:hint="default" w:ascii="Times New Roman" w:hAnsi="Times New Roman" w:eastAsia="方正仿宋_GBK" w:cs="Times New Roman"/>
          <w:color w:val="auto"/>
          <w:sz w:val="32"/>
          <w:szCs w:val="32"/>
        </w:rPr>
        <w:t>13.22万</w:t>
      </w:r>
      <w:r>
        <w:rPr>
          <w:rFonts w:hint="default" w:ascii="Times New Roman" w:hAnsi="Times New Roman" w:eastAsia="方正仿宋_GBK" w:cs="Times New Roman"/>
          <w:color w:val="auto"/>
          <w:sz w:val="32"/>
          <w:szCs w:val="32"/>
          <w:shd w:val="clear" w:color="auto" w:fill="FFFFFF"/>
        </w:rPr>
        <w:t>元，占政府采购支出总额的</w:t>
      </w:r>
      <w:r>
        <w:rPr>
          <w:rFonts w:hint="default" w:ascii="Times New Roman" w:hAnsi="Times New Roman" w:eastAsia="方正仿宋_GBK" w:cs="Times New Roman"/>
          <w:color w:val="auto"/>
          <w:sz w:val="32"/>
          <w:szCs w:val="32"/>
        </w:rPr>
        <w:t>100.0%</w:t>
      </w:r>
      <w:r>
        <w:rPr>
          <w:rFonts w:hint="default" w:ascii="Times New Roman" w:hAnsi="Times New Roman" w:eastAsia="方正仿宋_GBK" w:cs="Times New Roman"/>
          <w:color w:val="auto"/>
          <w:sz w:val="32"/>
          <w:szCs w:val="32"/>
          <w:shd w:val="clear" w:color="auto" w:fill="FFFFFF"/>
        </w:rPr>
        <w:t>，其中：授予小微企业合同金额</w:t>
      </w:r>
      <w:r>
        <w:rPr>
          <w:rFonts w:hint="default" w:ascii="Times New Roman" w:hAnsi="Times New Roman" w:eastAsia="方正仿宋_GBK" w:cs="Times New Roman"/>
          <w:color w:val="auto"/>
          <w:sz w:val="32"/>
          <w:szCs w:val="32"/>
        </w:rPr>
        <w:t>13.22</w:t>
      </w:r>
      <w:r>
        <w:rPr>
          <w:rFonts w:hint="default" w:ascii="Times New Roman" w:hAnsi="Times New Roman" w:eastAsia="方正仿宋_GBK" w:cs="Times New Roman"/>
          <w:color w:val="auto"/>
          <w:sz w:val="32"/>
          <w:szCs w:val="32"/>
          <w:shd w:val="clear" w:color="auto" w:fill="FFFFFF"/>
        </w:rPr>
        <w:t>万元，占政府采购支出总额的</w:t>
      </w:r>
      <w:r>
        <w:rPr>
          <w:rFonts w:hint="default" w:ascii="Times New Roman" w:hAnsi="Times New Roman" w:eastAsia="方正仿宋_GBK" w:cs="Times New Roman"/>
          <w:color w:val="auto"/>
          <w:sz w:val="32"/>
          <w:szCs w:val="32"/>
        </w:rPr>
        <w:t>100.0</w:t>
      </w:r>
      <w:r>
        <w:rPr>
          <w:rFonts w:hint="default" w:ascii="Times New Roman" w:hAnsi="Times New Roman" w:eastAsia="方正仿宋_GBK" w:cs="Times New Roman"/>
          <w:color w:val="auto"/>
          <w:sz w:val="32"/>
          <w:szCs w:val="32"/>
          <w:shd w:val="clear" w:color="auto" w:fill="FFFFFF"/>
        </w:rPr>
        <w:t xml:space="preserve"> %。主要用于</w:t>
      </w:r>
      <w:r>
        <w:rPr>
          <w:rFonts w:hint="default" w:ascii="Times New Roman" w:hAnsi="Times New Roman" w:eastAsia="方正仿宋_GBK" w:cs="Times New Roman"/>
          <w:color w:val="auto"/>
          <w:sz w:val="32"/>
          <w:szCs w:val="32"/>
          <w:shd w:val="clear" w:color="auto" w:fill="FFFFFF"/>
          <w:lang w:eastAsia="zh-CN"/>
        </w:rPr>
        <w:t>办公室</w:t>
      </w:r>
      <w:r>
        <w:rPr>
          <w:rFonts w:hint="default" w:ascii="Times New Roman" w:hAnsi="Times New Roman" w:eastAsia="方正仿宋_GBK" w:cs="Times New Roman"/>
          <w:color w:val="auto"/>
          <w:sz w:val="32"/>
          <w:szCs w:val="32"/>
          <w:shd w:val="clear" w:color="auto" w:fill="FFFFFF"/>
        </w:rPr>
        <w:t>采购</w:t>
      </w:r>
      <w:r>
        <w:rPr>
          <w:rFonts w:hint="default" w:ascii="Times New Roman" w:hAnsi="Times New Roman" w:eastAsia="方正仿宋_GBK" w:cs="Times New Roman"/>
          <w:color w:val="auto"/>
          <w:sz w:val="32"/>
          <w:szCs w:val="32"/>
          <w:shd w:val="clear" w:color="auto" w:fill="FFFFFF"/>
          <w:lang w:eastAsia="zh-CN"/>
        </w:rPr>
        <w:t>（复印打印）综合一体机</w:t>
      </w:r>
      <w:r>
        <w:rPr>
          <w:rFonts w:hint="default" w:ascii="Times New Roman" w:hAnsi="Times New Roman" w:eastAsia="方正仿宋_GBK" w:cs="Times New Roman"/>
          <w:color w:val="auto"/>
          <w:sz w:val="32"/>
          <w:szCs w:val="32"/>
          <w:shd w:val="clear" w:color="auto" w:fill="FFFFFF"/>
        </w:rPr>
        <w:t>。</w:t>
      </w:r>
    </w:p>
    <w:p>
      <w:pPr>
        <w:pStyle w:val="16"/>
        <w:keepNext w:val="0"/>
        <w:keepLines w:val="0"/>
        <w:pageBreakBefore w:val="0"/>
        <w:shd w:val="clear"/>
        <w:tabs>
          <w:tab w:val="center" w:pos="4153"/>
          <w:tab w:val="left" w:pos="7275"/>
        </w:tabs>
        <w:kinsoku/>
        <w:wordWrap/>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五、预算绩效管理情况说明</w:t>
      </w:r>
    </w:p>
    <w:p>
      <w:pPr>
        <w:pStyle w:val="6"/>
        <w:keepNext w:val="0"/>
        <w:keepLines w:val="0"/>
        <w:pageBreakBefore w:val="0"/>
        <w:widowControl w:val="0"/>
        <w:suppressLineNumbers w:val="0"/>
        <w:shd w:val="clear"/>
        <w:kinsoku/>
        <w:wordWrap/>
        <w:overflowPunct/>
        <w:topLinePunct w:val="0"/>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楷体_GBK" w:cs="Times New Roman"/>
          <w:b w:val="0"/>
          <w:color w:val="auto"/>
          <w:kern w:val="2"/>
          <w:sz w:val="32"/>
          <w:szCs w:val="32"/>
          <w:highlight w:val="none"/>
          <w:shd w:val="clear" w:color="auto" w:fill="FFFFFF"/>
        </w:rPr>
      </w:pPr>
      <w:r>
        <w:rPr>
          <w:rFonts w:hint="default" w:ascii="Times New Roman" w:hAnsi="Times New Roman" w:eastAsia="方正楷体_GBK" w:cs="Times New Roman"/>
          <w:b w:val="0"/>
          <w:color w:val="auto"/>
          <w:kern w:val="2"/>
          <w:sz w:val="32"/>
          <w:szCs w:val="32"/>
          <w:highlight w:val="none"/>
          <w:shd w:val="clear" w:color="auto" w:fill="FFFFFF"/>
          <w:lang w:val="en-US" w:eastAsia="zh-CN" w:bidi="ar"/>
        </w:rPr>
        <w:t>（一）预算绩效管理工作开展情况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N/>
        <w:bidi w:val="0"/>
        <w:adjustRightInd/>
        <w:spacing w:before="0" w:beforeAutospacing="0" w:after="0" w:afterAutospacing="0" w:line="594" w:lineRule="exact"/>
        <w:ind w:left="0" w:right="0" w:firstLine="420"/>
        <w:jc w:val="both"/>
        <w:textAlignment w:val="auto"/>
        <w:rPr>
          <w:rFonts w:hint="default" w:ascii="Times New Roman" w:hAnsi="Times New Roman" w:eastAsia="方正仿宋_GBK" w:cs="Times New Roman"/>
          <w:color w:val="auto"/>
          <w:kern w:val="0"/>
          <w:sz w:val="32"/>
          <w:szCs w:val="32"/>
          <w:highlight w:val="none"/>
          <w:shd w:val="clear" w:fill="FFFFFF"/>
          <w:lang w:val="en-US" w:eastAsia="zh-CN" w:bidi="ar-SA"/>
        </w:rPr>
      </w:pPr>
      <w:r>
        <w:rPr>
          <w:rFonts w:hint="default" w:ascii="Times New Roman" w:hAnsi="Times New Roman" w:eastAsia="方正仿宋_GBK" w:cs="Times New Roman"/>
          <w:color w:val="auto"/>
          <w:kern w:val="0"/>
          <w:sz w:val="32"/>
          <w:szCs w:val="32"/>
          <w:highlight w:val="none"/>
          <w:shd w:val="clear" w:fill="FFFFFF"/>
          <w:lang w:val="en-US" w:eastAsia="zh-CN" w:bidi="ar-SA"/>
        </w:rPr>
        <w:t>根据预算绩效管理要求，我局对本级32个项目开展了绩效自评，涉及财政拨款项目支出资金27244.75万元。</w:t>
      </w:r>
    </w:p>
    <w:p>
      <w:pPr>
        <w:pStyle w:val="6"/>
        <w:keepNext w:val="0"/>
        <w:keepLines w:val="0"/>
        <w:pageBreakBefore w:val="0"/>
        <w:widowControl/>
        <w:suppressLineNumbers w:val="0"/>
        <w:shd w:val="clear"/>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楷体_GBK" w:cs="Times New Roman"/>
          <w:b w:val="0"/>
          <w:color w:val="auto"/>
          <w:kern w:val="2"/>
          <w:sz w:val="32"/>
          <w:szCs w:val="32"/>
          <w:highlight w:val="none"/>
          <w:shd w:val="clear" w:color="auto" w:fill="FFFFFF"/>
          <w:lang w:val="en-US" w:eastAsia="zh-CN" w:bidi="ar"/>
        </w:rPr>
        <w:t>（二）</w:t>
      </w:r>
      <w:r>
        <w:rPr>
          <w:rFonts w:hint="default" w:ascii="Times New Roman" w:hAnsi="Times New Roman" w:eastAsia="方正楷体_GBK" w:cs="Times New Roman"/>
          <w:color w:val="auto"/>
          <w:kern w:val="0"/>
          <w:sz w:val="32"/>
          <w:szCs w:val="32"/>
          <w:highlight w:val="none"/>
          <w:lang w:val="en-US" w:eastAsia="zh-CN" w:bidi="ar"/>
        </w:rPr>
        <w:t>绩效自评结果</w:t>
      </w:r>
    </w:p>
    <w:p>
      <w:pPr>
        <w:pStyle w:val="6"/>
        <w:keepNext w:val="0"/>
        <w:keepLines w:val="0"/>
        <w:pageBreakBefore w:val="0"/>
        <w:widowControl/>
        <w:suppressLineNumbers w:val="0"/>
        <w:shd w:val="clear"/>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auto"/>
          <w:kern w:val="2"/>
          <w:sz w:val="32"/>
          <w:szCs w:val="32"/>
          <w:highlight w:val="none"/>
          <w:shd w:val="clear" w:color="auto" w:fill="FFFFFF"/>
        </w:rPr>
      </w:pPr>
      <w:r>
        <w:rPr>
          <w:rFonts w:hint="default" w:ascii="Times New Roman" w:hAnsi="Times New Roman" w:eastAsia="方正仿宋_GBK" w:cs="Times New Roman"/>
          <w:color w:val="auto"/>
          <w:kern w:val="0"/>
          <w:sz w:val="32"/>
          <w:szCs w:val="32"/>
          <w:highlight w:val="none"/>
          <w:lang w:val="en-US" w:eastAsia="zh-CN" w:bidi="ar"/>
        </w:rPr>
        <w:t>绩效自评结果详见附件2024年度绩效自评公开表（《部门整体绩效自评表》、《项目绩效自评结果汇总表》、《项目支出绩效自评表》）。</w:t>
      </w:r>
    </w:p>
    <w:p>
      <w:pPr>
        <w:pStyle w:val="6"/>
        <w:keepNext w:val="0"/>
        <w:keepLines w:val="0"/>
        <w:pageBreakBefore w:val="0"/>
        <w:widowControl w:val="0"/>
        <w:suppressLineNumbers w:val="0"/>
        <w:shd w:val="clear"/>
        <w:kinsoku/>
        <w:wordWrap/>
        <w:overflowPunct/>
        <w:topLinePunct w:val="0"/>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楷体_GBK" w:cs="Times New Roman"/>
          <w:b w:val="0"/>
          <w:color w:val="auto"/>
          <w:kern w:val="2"/>
          <w:sz w:val="32"/>
          <w:szCs w:val="32"/>
          <w:highlight w:val="none"/>
          <w:shd w:val="clear" w:color="auto" w:fill="FFFFFF"/>
        </w:rPr>
      </w:pPr>
      <w:r>
        <w:rPr>
          <w:rFonts w:hint="default" w:ascii="Times New Roman" w:hAnsi="Times New Roman" w:eastAsia="方正楷体_GBK" w:cs="Times New Roman"/>
          <w:b w:val="0"/>
          <w:color w:val="auto"/>
          <w:kern w:val="2"/>
          <w:sz w:val="32"/>
          <w:szCs w:val="32"/>
          <w:highlight w:val="none"/>
          <w:shd w:val="clear" w:color="auto" w:fill="FFFFFF"/>
          <w:lang w:val="en-US" w:eastAsia="zh-CN" w:bidi="ar"/>
        </w:rPr>
        <w:t>（三）财政绩效评价情况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N/>
        <w:bidi w:val="0"/>
        <w:adjustRightInd/>
        <w:spacing w:before="0" w:beforeAutospacing="0" w:after="0" w:afterAutospacing="0" w:line="594" w:lineRule="exact"/>
        <w:ind w:left="0" w:right="0" w:firstLine="420"/>
        <w:jc w:val="both"/>
        <w:textAlignment w:val="auto"/>
        <w:rPr>
          <w:rFonts w:hint="default" w:ascii="Times New Roman" w:hAnsi="Times New Roman" w:eastAsia="方正仿宋_GBK" w:cs="Times New Roman"/>
          <w:color w:val="auto"/>
          <w:kern w:val="0"/>
          <w:sz w:val="32"/>
          <w:szCs w:val="32"/>
          <w:highlight w:val="none"/>
          <w:shd w:val="clear" w:fill="FFFFFF"/>
          <w:lang w:val="en-US" w:eastAsia="zh-CN" w:bidi="ar-SA"/>
        </w:rPr>
      </w:pPr>
      <w:r>
        <w:rPr>
          <w:rFonts w:hint="default" w:ascii="Times New Roman" w:hAnsi="Times New Roman" w:eastAsia="方正仿宋_GBK" w:cs="Times New Roman"/>
          <w:color w:val="auto"/>
          <w:kern w:val="0"/>
          <w:sz w:val="32"/>
          <w:szCs w:val="32"/>
          <w:highlight w:val="none"/>
          <w:shd w:val="clear" w:fill="FFFFFF"/>
          <w:lang w:val="en-US" w:eastAsia="zh-CN" w:bidi="ar-SA"/>
        </w:rPr>
        <w:t>本年度区财政局未委托第三方对我单位开展绩效评价。</w:t>
      </w:r>
    </w:p>
    <w:p>
      <w:pPr>
        <w:pStyle w:val="12"/>
        <w:keepNext w:val="0"/>
        <w:keepLines w:val="0"/>
        <w:pageBreakBefore w:val="0"/>
        <w:widowControl/>
        <w:shd w:val="clear"/>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黑体" w:cs="Times New Roman"/>
          <w:b w:val="0"/>
          <w:bCs/>
          <w:color w:val="auto"/>
          <w:sz w:val="32"/>
          <w:szCs w:val="32"/>
          <w:shd w:val="clear" w:color="auto" w:fill="FFFFFF"/>
          <w:lang w:val="en-US" w:eastAsia="zh-CN" w:bidi="ar-SA"/>
        </w:rPr>
        <w:t>六、专业名词解释</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（一）财政拨款收入：</w:t>
      </w:r>
      <w:r>
        <w:rPr>
          <w:rFonts w:hint="default" w:ascii="Times New Roman" w:hAnsi="Times New Roman" w:eastAsia="方正仿宋_GBK" w:cs="Times New Roman"/>
          <w:color w:val="auto"/>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（二）事业收入：</w:t>
      </w:r>
      <w:r>
        <w:rPr>
          <w:rFonts w:hint="default" w:ascii="Times New Roman" w:hAnsi="Times New Roman" w:eastAsia="方正仿宋_GBK" w:cs="Times New Roman"/>
          <w:color w:val="auto"/>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（三）经营收入：</w:t>
      </w:r>
      <w:r>
        <w:rPr>
          <w:rFonts w:hint="default" w:ascii="Times New Roman" w:hAnsi="Times New Roman" w:eastAsia="方正仿宋_GBK" w:cs="Times New Roman"/>
          <w:color w:val="auto"/>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（四）其他收入：</w:t>
      </w:r>
      <w:r>
        <w:rPr>
          <w:rFonts w:hint="default" w:ascii="Times New Roman" w:hAnsi="Times New Roman" w:eastAsia="方正仿宋_GBK" w:cs="Times New Roman"/>
          <w:color w:val="auto"/>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（五）使用非财政拨款结余：</w:t>
      </w:r>
      <w:r>
        <w:rPr>
          <w:rFonts w:hint="default" w:ascii="Times New Roman" w:hAnsi="Times New Roman" w:eastAsia="方正仿宋_GBK" w:cs="Times New Roman"/>
          <w:color w:val="auto"/>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（六）年初结转和结余：</w:t>
      </w:r>
      <w:r>
        <w:rPr>
          <w:rFonts w:hint="default" w:ascii="Times New Roman" w:hAnsi="Times New Roman" w:eastAsia="方正仿宋_GBK" w:cs="Times New Roman"/>
          <w:color w:val="auto"/>
          <w:kern w:val="0"/>
          <w:sz w:val="32"/>
          <w:szCs w:val="32"/>
          <w:shd w:val="clear" w:fill="FFFFFF"/>
        </w:rPr>
        <w:t>指单位上年结转本年使用的基本支出结转、项目支出结转和结余、经营结余。</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（七）结余分配：</w:t>
      </w:r>
      <w:r>
        <w:rPr>
          <w:rFonts w:hint="default" w:ascii="Times New Roman" w:hAnsi="Times New Roman" w:eastAsia="方正仿宋_GBK" w:cs="Times New Roman"/>
          <w:color w:val="auto"/>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（八）年末结转和结余：</w:t>
      </w:r>
      <w:r>
        <w:rPr>
          <w:rFonts w:hint="default" w:ascii="Times New Roman" w:hAnsi="Times New Roman" w:eastAsia="方正仿宋_GBK" w:cs="Times New Roman"/>
          <w:color w:val="auto"/>
          <w:kern w:val="0"/>
          <w:sz w:val="32"/>
          <w:szCs w:val="32"/>
          <w:shd w:val="clear" w:fill="FFFFFF"/>
        </w:rPr>
        <w:t>指单位结转下年的基本支出结转、项目支出结转和结余、经营结余。</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（九）基本支出：</w:t>
      </w:r>
      <w:r>
        <w:rPr>
          <w:rFonts w:hint="default" w:ascii="Times New Roman" w:hAnsi="Times New Roman" w:eastAsia="方正仿宋_GBK" w:cs="Times New Roman"/>
          <w:color w:val="auto"/>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（十）项目支出：</w:t>
      </w:r>
      <w:r>
        <w:rPr>
          <w:rFonts w:hint="default" w:ascii="Times New Roman" w:hAnsi="Times New Roman" w:eastAsia="方正仿宋_GBK" w:cs="Times New Roman"/>
          <w:color w:val="auto"/>
          <w:kern w:val="0"/>
          <w:sz w:val="32"/>
          <w:szCs w:val="32"/>
          <w:shd w:val="clear" w:fill="FFFFFF"/>
        </w:rPr>
        <w:t>指在基本支出之外为完成特定行政任务和事业发展目标所发生的支出。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（十一）经营支出：</w:t>
      </w:r>
      <w:r>
        <w:rPr>
          <w:rFonts w:hint="default" w:ascii="Times New Roman" w:hAnsi="Times New Roman" w:eastAsia="方正仿宋_GBK" w:cs="Times New Roman"/>
          <w:color w:val="auto"/>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（十二）“三公”经费：</w:t>
      </w:r>
      <w:r>
        <w:rPr>
          <w:rFonts w:hint="default" w:ascii="Times New Roman" w:hAnsi="Times New Roman" w:eastAsia="方正仿宋_GBK" w:cs="Times New Roman"/>
          <w:color w:val="auto"/>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（十三）机关运行经费：</w:t>
      </w:r>
      <w:r>
        <w:rPr>
          <w:rFonts w:hint="default" w:ascii="Times New Roman" w:hAnsi="Times New Roman" w:eastAsia="方正仿宋_GBK" w:cs="Times New Roman"/>
          <w:color w:val="auto"/>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color w:val="auto"/>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color w:val="auto"/>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color w:val="auto"/>
          <w:kern w:val="0"/>
          <w:sz w:val="32"/>
          <w:szCs w:val="32"/>
          <w:shd w:val="clear" w:fill="FFFFFF"/>
        </w:rPr>
        <w:t>反映用于对个人和家庭的补助支出。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color w:val="auto"/>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黑体" w:cs="Times New Roman"/>
          <w:b w:val="0"/>
          <w:bCs/>
          <w:color w:val="auto"/>
          <w:sz w:val="32"/>
          <w:szCs w:val="32"/>
          <w:shd w:val="clear" w:color="auto" w:fill="FFFFFF"/>
          <w:lang w:val="en-US" w:eastAsia="zh-CN" w:bidi="ar-SA"/>
        </w:rPr>
        <w:t>七、决算公开联系方式及信息反馈渠道</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shd w:val="clear" w:fill="FFFFFF"/>
        </w:rPr>
        <w:t>本单位决算公开信息反馈和联系方式：</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textAlignment w:val="auto"/>
        <w:rPr>
          <w:rFonts w:hint="default" w:ascii="Times New Roman" w:hAnsi="Times New Roman" w:eastAsia="方正仿宋_GBK" w:cs="Times New Roman"/>
          <w:color w:val="auto"/>
          <w:kern w:val="0"/>
          <w:sz w:val="32"/>
          <w:szCs w:val="32"/>
          <w:highlight w:val="none"/>
          <w:shd w:val="clear" w:fill="FFFFFF"/>
          <w:lang w:val="en-US" w:eastAsia="zh-CN"/>
        </w:rPr>
      </w:pPr>
      <w:r>
        <w:rPr>
          <w:rFonts w:hint="default" w:ascii="Times New Roman" w:hAnsi="Times New Roman" w:eastAsia="方正仿宋_GBK" w:cs="Times New Roman"/>
          <w:color w:val="auto"/>
          <w:kern w:val="0"/>
          <w:sz w:val="32"/>
          <w:szCs w:val="32"/>
          <w:shd w:val="clear" w:fill="FFFFFF"/>
        </w:rPr>
        <w:t xml:space="preserve">    </w:t>
      </w:r>
      <w:r>
        <w:rPr>
          <w:rFonts w:hint="default" w:ascii="Times New Roman" w:hAnsi="Times New Roman" w:eastAsia="方正仿宋_GBK" w:cs="Times New Roman"/>
          <w:color w:val="auto"/>
          <w:kern w:val="0"/>
          <w:sz w:val="32"/>
          <w:szCs w:val="32"/>
          <w:highlight w:val="none"/>
          <w:shd w:val="clear" w:fill="FFFFFF"/>
          <w:lang w:eastAsia="zh-CN"/>
        </w:rPr>
        <w:t>孔秀梅</w:t>
      </w:r>
      <w:r>
        <w:rPr>
          <w:rFonts w:hint="default" w:ascii="Times New Roman" w:hAnsi="Times New Roman" w:eastAsia="方正仿宋_GBK" w:cs="Times New Roman"/>
          <w:color w:val="auto"/>
          <w:kern w:val="0"/>
          <w:sz w:val="32"/>
          <w:szCs w:val="32"/>
          <w:highlight w:val="none"/>
          <w:shd w:val="clear" w:fill="FFFFFF"/>
        </w:rPr>
        <w:t xml:space="preserve">  </w:t>
      </w:r>
      <w:r>
        <w:rPr>
          <w:rFonts w:hint="default" w:ascii="Times New Roman" w:hAnsi="Times New Roman" w:eastAsia="方正仿宋_GBK" w:cs="Times New Roman"/>
          <w:color w:val="auto"/>
          <w:kern w:val="0"/>
          <w:sz w:val="32"/>
          <w:szCs w:val="32"/>
          <w:highlight w:val="none"/>
          <w:shd w:val="clear" w:fill="FFFFFF"/>
          <w:lang w:val="en-US" w:eastAsia="zh-CN"/>
        </w:rPr>
        <w:t xml:space="preserve"> </w:t>
      </w:r>
      <w:r>
        <w:rPr>
          <w:rFonts w:hint="default" w:ascii="Times New Roman" w:hAnsi="Times New Roman" w:eastAsia="方正仿宋_GBK" w:cs="Times New Roman"/>
          <w:color w:val="auto"/>
          <w:kern w:val="0"/>
          <w:sz w:val="32"/>
          <w:szCs w:val="32"/>
          <w:highlight w:val="none"/>
          <w:shd w:val="clear" w:fill="FFFFFF"/>
        </w:rPr>
        <w:t>023-402431</w:t>
      </w:r>
      <w:r>
        <w:rPr>
          <w:rFonts w:hint="default" w:ascii="Times New Roman" w:hAnsi="Times New Roman" w:eastAsia="方正仿宋_GBK" w:cs="Times New Roman"/>
          <w:color w:val="auto"/>
          <w:kern w:val="0"/>
          <w:sz w:val="32"/>
          <w:szCs w:val="32"/>
          <w:highlight w:val="none"/>
          <w:shd w:val="clear" w:fill="FFFFFF"/>
          <w:lang w:val="en-US" w:eastAsia="zh-CN"/>
        </w:rPr>
        <w:t>6</w:t>
      </w:r>
      <w:r>
        <w:rPr>
          <w:rFonts w:hint="eastAsia" w:ascii="Times New Roman" w:hAnsi="Times New Roman" w:eastAsia="方正仿宋_GBK" w:cs="Times New Roman"/>
          <w:color w:val="auto"/>
          <w:kern w:val="0"/>
          <w:sz w:val="32"/>
          <w:szCs w:val="32"/>
          <w:highlight w:val="none"/>
          <w:shd w:val="clear" w:fill="FFFFFF"/>
          <w:lang w:val="en-US" w:eastAsia="zh-CN"/>
        </w:rPr>
        <w:t>4</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textAlignment w:val="auto"/>
        <w:rPr>
          <w:rFonts w:hint="default" w:ascii="Times New Roman" w:hAnsi="Times New Roman" w:eastAsia="方正仿宋_GBK" w:cs="Times New Roman"/>
          <w:color w:val="auto"/>
          <w:kern w:val="0"/>
          <w:sz w:val="32"/>
          <w:szCs w:val="32"/>
          <w:highlight w:val="none"/>
          <w:shd w:val="clear" w:fill="FFFFFF"/>
          <w:lang w:val="en-US" w:eastAsia="zh-CN"/>
        </w:rPr>
      </w:pP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textAlignment w:val="auto"/>
        <w:rPr>
          <w:rFonts w:hint="default" w:ascii="Times New Roman" w:hAnsi="Times New Roman" w:eastAsia="方正仿宋_GBK" w:cs="Times New Roman"/>
          <w:color w:val="auto"/>
          <w:kern w:val="0"/>
          <w:sz w:val="32"/>
          <w:szCs w:val="32"/>
          <w:highlight w:val="none"/>
          <w:shd w:val="clear" w:fill="FFFFFF"/>
          <w:lang w:val="en-US" w:eastAsia="zh-CN"/>
        </w:rPr>
      </w:pP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textAlignment w:val="auto"/>
        <w:rPr>
          <w:rFonts w:hint="default" w:ascii="Times New Roman" w:hAnsi="Times New Roman" w:eastAsia="方正仿宋_GBK" w:cs="Times New Roman"/>
          <w:color w:val="auto"/>
          <w:kern w:val="0"/>
          <w:sz w:val="32"/>
          <w:szCs w:val="32"/>
          <w:highlight w:val="none"/>
          <w:shd w:val="clear" w:fill="FFFFFF"/>
          <w:lang w:val="en-US" w:eastAsia="zh-CN"/>
        </w:rPr>
      </w:pPr>
    </w:p>
    <w:p>
      <w:pPr>
        <w:shd w:val="clear"/>
        <w:rPr>
          <w:rFonts w:hint="default" w:ascii="Times New Roman" w:hAnsi="Times New Roman" w:cs="Times New Roman"/>
          <w:color w:val="auto"/>
          <w:sz w:val="18"/>
          <w:szCs w:val="18"/>
        </w:rPr>
      </w:pPr>
    </w:p>
    <w:sectPr>
      <w:headerReference r:id="rId3" w:type="default"/>
      <w:footerReference r:id="rId4" w:type="default"/>
      <w:pgSz w:w="11850" w:h="16783"/>
      <w:pgMar w:top="2098" w:right="1474" w:bottom="1984"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0A993C"/>
    <w:multiLevelType w:val="singleLevel"/>
    <w:tmpl w:val="BA0A993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MmY4ZjI1OWIzYmEzMzg5MWE2ZDNiNmU3YWUzMWI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57E0F"/>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257A71"/>
    <w:rsid w:val="01474EBF"/>
    <w:rsid w:val="01D35813"/>
    <w:rsid w:val="01F3521E"/>
    <w:rsid w:val="02090BDF"/>
    <w:rsid w:val="03B87EA0"/>
    <w:rsid w:val="03E3214F"/>
    <w:rsid w:val="044C50BA"/>
    <w:rsid w:val="05BC6D49"/>
    <w:rsid w:val="05D627A0"/>
    <w:rsid w:val="06194FF1"/>
    <w:rsid w:val="06A2550B"/>
    <w:rsid w:val="06F80EE2"/>
    <w:rsid w:val="07001CCA"/>
    <w:rsid w:val="075678DB"/>
    <w:rsid w:val="077B465F"/>
    <w:rsid w:val="079D7CC7"/>
    <w:rsid w:val="07A129BB"/>
    <w:rsid w:val="08051BCA"/>
    <w:rsid w:val="0847104E"/>
    <w:rsid w:val="085D4644"/>
    <w:rsid w:val="08634223"/>
    <w:rsid w:val="086C12F4"/>
    <w:rsid w:val="08705944"/>
    <w:rsid w:val="08BA052C"/>
    <w:rsid w:val="08DB07BA"/>
    <w:rsid w:val="08DC16AF"/>
    <w:rsid w:val="0969353F"/>
    <w:rsid w:val="098305D0"/>
    <w:rsid w:val="09B1218B"/>
    <w:rsid w:val="0A3317EA"/>
    <w:rsid w:val="0A5C4B69"/>
    <w:rsid w:val="0A86124A"/>
    <w:rsid w:val="0AB54CC0"/>
    <w:rsid w:val="0B5260C6"/>
    <w:rsid w:val="0B9335CE"/>
    <w:rsid w:val="0BAC4AFF"/>
    <w:rsid w:val="0BE155BB"/>
    <w:rsid w:val="0BF2311A"/>
    <w:rsid w:val="0C5A32DA"/>
    <w:rsid w:val="0C7927C4"/>
    <w:rsid w:val="0C802F59"/>
    <w:rsid w:val="0C9B098C"/>
    <w:rsid w:val="0D673E11"/>
    <w:rsid w:val="0DA925F8"/>
    <w:rsid w:val="0DDA54E4"/>
    <w:rsid w:val="0E3A5F83"/>
    <w:rsid w:val="0EDB0544"/>
    <w:rsid w:val="0F836721"/>
    <w:rsid w:val="0FA25D96"/>
    <w:rsid w:val="0FBC5946"/>
    <w:rsid w:val="0FD53BCB"/>
    <w:rsid w:val="107B59E5"/>
    <w:rsid w:val="10CC3887"/>
    <w:rsid w:val="10D44B15"/>
    <w:rsid w:val="10EC0126"/>
    <w:rsid w:val="10F70B9A"/>
    <w:rsid w:val="111445C7"/>
    <w:rsid w:val="113F419F"/>
    <w:rsid w:val="114278C6"/>
    <w:rsid w:val="1158083A"/>
    <w:rsid w:val="11643A4B"/>
    <w:rsid w:val="11ED0F98"/>
    <w:rsid w:val="11F03528"/>
    <w:rsid w:val="129525D7"/>
    <w:rsid w:val="12C921C4"/>
    <w:rsid w:val="13871C70"/>
    <w:rsid w:val="13A71CB4"/>
    <w:rsid w:val="13AF1D43"/>
    <w:rsid w:val="13CE1647"/>
    <w:rsid w:val="13FD55AB"/>
    <w:rsid w:val="14200702"/>
    <w:rsid w:val="14370EA1"/>
    <w:rsid w:val="163A6CEE"/>
    <w:rsid w:val="16497FC7"/>
    <w:rsid w:val="16CB7236"/>
    <w:rsid w:val="16EF15BA"/>
    <w:rsid w:val="173708E3"/>
    <w:rsid w:val="17AE4D46"/>
    <w:rsid w:val="17C374FC"/>
    <w:rsid w:val="182E4AB6"/>
    <w:rsid w:val="189079DC"/>
    <w:rsid w:val="189B0D0B"/>
    <w:rsid w:val="18B43F7C"/>
    <w:rsid w:val="191C433B"/>
    <w:rsid w:val="194A1770"/>
    <w:rsid w:val="196464A1"/>
    <w:rsid w:val="19937BD6"/>
    <w:rsid w:val="19B906A4"/>
    <w:rsid w:val="1A3F04C6"/>
    <w:rsid w:val="1A7B14D9"/>
    <w:rsid w:val="1B524652"/>
    <w:rsid w:val="1B6F15B6"/>
    <w:rsid w:val="1BAA2EDC"/>
    <w:rsid w:val="1C5B09CB"/>
    <w:rsid w:val="1CA55E64"/>
    <w:rsid w:val="1D014A01"/>
    <w:rsid w:val="1D022362"/>
    <w:rsid w:val="1D1B04B0"/>
    <w:rsid w:val="1D952BC4"/>
    <w:rsid w:val="1DA52501"/>
    <w:rsid w:val="1DBD6767"/>
    <w:rsid w:val="1DC52125"/>
    <w:rsid w:val="1DD26311"/>
    <w:rsid w:val="1E374ACB"/>
    <w:rsid w:val="1E822782"/>
    <w:rsid w:val="1E9824FF"/>
    <w:rsid w:val="1ECF0A66"/>
    <w:rsid w:val="1EF67CA4"/>
    <w:rsid w:val="1F020D3A"/>
    <w:rsid w:val="1F2C5189"/>
    <w:rsid w:val="1F3B5158"/>
    <w:rsid w:val="1F4B0B02"/>
    <w:rsid w:val="1F864F3B"/>
    <w:rsid w:val="1FBB35CD"/>
    <w:rsid w:val="1FCD26AF"/>
    <w:rsid w:val="1FCE4C17"/>
    <w:rsid w:val="1FDC45EF"/>
    <w:rsid w:val="203C28E8"/>
    <w:rsid w:val="20642787"/>
    <w:rsid w:val="20B67E37"/>
    <w:rsid w:val="20C90FAC"/>
    <w:rsid w:val="21556F04"/>
    <w:rsid w:val="22403BD3"/>
    <w:rsid w:val="22AD3177"/>
    <w:rsid w:val="22B46678"/>
    <w:rsid w:val="22CE3BA3"/>
    <w:rsid w:val="2303539B"/>
    <w:rsid w:val="235417B6"/>
    <w:rsid w:val="235977ED"/>
    <w:rsid w:val="23B73543"/>
    <w:rsid w:val="23DD57B6"/>
    <w:rsid w:val="24B92327"/>
    <w:rsid w:val="24BD61A8"/>
    <w:rsid w:val="24C14514"/>
    <w:rsid w:val="24CE5E3C"/>
    <w:rsid w:val="24E37FCC"/>
    <w:rsid w:val="252D4D73"/>
    <w:rsid w:val="2533755C"/>
    <w:rsid w:val="25791755"/>
    <w:rsid w:val="257B35F8"/>
    <w:rsid w:val="25B709C6"/>
    <w:rsid w:val="26396DF4"/>
    <w:rsid w:val="26A44ED3"/>
    <w:rsid w:val="26C81285"/>
    <w:rsid w:val="26F75D8B"/>
    <w:rsid w:val="27167136"/>
    <w:rsid w:val="271B442C"/>
    <w:rsid w:val="273F61B3"/>
    <w:rsid w:val="27B23302"/>
    <w:rsid w:val="27FA1CAE"/>
    <w:rsid w:val="2857083D"/>
    <w:rsid w:val="288A2F6C"/>
    <w:rsid w:val="28CE1608"/>
    <w:rsid w:val="28FC6784"/>
    <w:rsid w:val="29310A5F"/>
    <w:rsid w:val="29572418"/>
    <w:rsid w:val="29C37A35"/>
    <w:rsid w:val="2A076083"/>
    <w:rsid w:val="2A38099E"/>
    <w:rsid w:val="2A636187"/>
    <w:rsid w:val="2A73162E"/>
    <w:rsid w:val="2A76270D"/>
    <w:rsid w:val="2AF4773B"/>
    <w:rsid w:val="2B167953"/>
    <w:rsid w:val="2B200583"/>
    <w:rsid w:val="2B2729C0"/>
    <w:rsid w:val="2B8209DE"/>
    <w:rsid w:val="2B821C91"/>
    <w:rsid w:val="2BA41CB7"/>
    <w:rsid w:val="2BF81A22"/>
    <w:rsid w:val="2C58547A"/>
    <w:rsid w:val="2C636760"/>
    <w:rsid w:val="2C6762A3"/>
    <w:rsid w:val="2F825067"/>
    <w:rsid w:val="2FCA4B37"/>
    <w:rsid w:val="2FE029D7"/>
    <w:rsid w:val="2FF06E00"/>
    <w:rsid w:val="30586FEC"/>
    <w:rsid w:val="30A44AFC"/>
    <w:rsid w:val="30BE67FD"/>
    <w:rsid w:val="314A2730"/>
    <w:rsid w:val="31561B58"/>
    <w:rsid w:val="315F0B22"/>
    <w:rsid w:val="31A15828"/>
    <w:rsid w:val="31D84415"/>
    <w:rsid w:val="32285F6F"/>
    <w:rsid w:val="32770556"/>
    <w:rsid w:val="329C0913"/>
    <w:rsid w:val="32AA0460"/>
    <w:rsid w:val="3337290D"/>
    <w:rsid w:val="33506D8E"/>
    <w:rsid w:val="33E31118"/>
    <w:rsid w:val="33EF7674"/>
    <w:rsid w:val="342D7BC6"/>
    <w:rsid w:val="352930DB"/>
    <w:rsid w:val="35573069"/>
    <w:rsid w:val="355F6038"/>
    <w:rsid w:val="356743ED"/>
    <w:rsid w:val="358C217E"/>
    <w:rsid w:val="359F6BE5"/>
    <w:rsid w:val="35A73412"/>
    <w:rsid w:val="35DF69C3"/>
    <w:rsid w:val="36536C28"/>
    <w:rsid w:val="36C9128A"/>
    <w:rsid w:val="375B3E87"/>
    <w:rsid w:val="37841E99"/>
    <w:rsid w:val="37BF1123"/>
    <w:rsid w:val="383C3F15"/>
    <w:rsid w:val="385A4459"/>
    <w:rsid w:val="38BE4696"/>
    <w:rsid w:val="3939115E"/>
    <w:rsid w:val="39B82A39"/>
    <w:rsid w:val="39C42CA8"/>
    <w:rsid w:val="39DC4FD6"/>
    <w:rsid w:val="39F03D7A"/>
    <w:rsid w:val="39F33306"/>
    <w:rsid w:val="3A2C1C67"/>
    <w:rsid w:val="3A4B3FA9"/>
    <w:rsid w:val="3A6A77C9"/>
    <w:rsid w:val="3ADD7F09"/>
    <w:rsid w:val="3B1705E5"/>
    <w:rsid w:val="3B18334B"/>
    <w:rsid w:val="3B36794F"/>
    <w:rsid w:val="3B6F6EE0"/>
    <w:rsid w:val="3BE3292C"/>
    <w:rsid w:val="3C566AD6"/>
    <w:rsid w:val="3C594871"/>
    <w:rsid w:val="3C6A5B02"/>
    <w:rsid w:val="3C712BB3"/>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0BD6BDD"/>
    <w:rsid w:val="40DD19D1"/>
    <w:rsid w:val="411B6CE5"/>
    <w:rsid w:val="412070D7"/>
    <w:rsid w:val="41314E40"/>
    <w:rsid w:val="41873312"/>
    <w:rsid w:val="41DE2072"/>
    <w:rsid w:val="41E0734B"/>
    <w:rsid w:val="421F2083"/>
    <w:rsid w:val="424E0B69"/>
    <w:rsid w:val="42614AD9"/>
    <w:rsid w:val="426C1EA8"/>
    <w:rsid w:val="42736402"/>
    <w:rsid w:val="42E86A87"/>
    <w:rsid w:val="42F87780"/>
    <w:rsid w:val="43307B09"/>
    <w:rsid w:val="439A3EB9"/>
    <w:rsid w:val="439E5DD1"/>
    <w:rsid w:val="43BB152F"/>
    <w:rsid w:val="440450B0"/>
    <w:rsid w:val="44C37687"/>
    <w:rsid w:val="455E20DB"/>
    <w:rsid w:val="45CB699A"/>
    <w:rsid w:val="46423C66"/>
    <w:rsid w:val="465B470D"/>
    <w:rsid w:val="469D6AD4"/>
    <w:rsid w:val="471E6C84"/>
    <w:rsid w:val="4748792B"/>
    <w:rsid w:val="475D719D"/>
    <w:rsid w:val="47674801"/>
    <w:rsid w:val="477F5E45"/>
    <w:rsid w:val="47EA7D7B"/>
    <w:rsid w:val="48225EF7"/>
    <w:rsid w:val="488F422B"/>
    <w:rsid w:val="48C15DC5"/>
    <w:rsid w:val="48E36915"/>
    <w:rsid w:val="48EB6572"/>
    <w:rsid w:val="495C4A24"/>
    <w:rsid w:val="497135DF"/>
    <w:rsid w:val="499B06FF"/>
    <w:rsid w:val="4A263DF2"/>
    <w:rsid w:val="4A2F278B"/>
    <w:rsid w:val="4A6F6675"/>
    <w:rsid w:val="4A8D4E97"/>
    <w:rsid w:val="4B135857"/>
    <w:rsid w:val="4B7951CB"/>
    <w:rsid w:val="4B7C315C"/>
    <w:rsid w:val="4BAD57C1"/>
    <w:rsid w:val="4CC832BB"/>
    <w:rsid w:val="4D1F53CA"/>
    <w:rsid w:val="4D7726A8"/>
    <w:rsid w:val="4D8C06E5"/>
    <w:rsid w:val="4DAC4ACA"/>
    <w:rsid w:val="4DBE01D2"/>
    <w:rsid w:val="4DEE5D41"/>
    <w:rsid w:val="4E6B7147"/>
    <w:rsid w:val="4EFD467F"/>
    <w:rsid w:val="4F0C6BA3"/>
    <w:rsid w:val="4F186D58"/>
    <w:rsid w:val="4F8B492C"/>
    <w:rsid w:val="504B6EAA"/>
    <w:rsid w:val="50AF466F"/>
    <w:rsid w:val="50F06B6E"/>
    <w:rsid w:val="51B866BB"/>
    <w:rsid w:val="51CB108C"/>
    <w:rsid w:val="51D21804"/>
    <w:rsid w:val="51D7733A"/>
    <w:rsid w:val="52234D33"/>
    <w:rsid w:val="522F6E0C"/>
    <w:rsid w:val="52463BA1"/>
    <w:rsid w:val="52F163D4"/>
    <w:rsid w:val="530461B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026303"/>
    <w:rsid w:val="56530F5D"/>
    <w:rsid w:val="567700D3"/>
    <w:rsid w:val="56FF7E9E"/>
    <w:rsid w:val="571E7E87"/>
    <w:rsid w:val="578867FC"/>
    <w:rsid w:val="582632A6"/>
    <w:rsid w:val="5842572D"/>
    <w:rsid w:val="58F35D70"/>
    <w:rsid w:val="5A3B59D6"/>
    <w:rsid w:val="5AD134D8"/>
    <w:rsid w:val="5B74516B"/>
    <w:rsid w:val="5BF41F67"/>
    <w:rsid w:val="5C263CE4"/>
    <w:rsid w:val="5C525B41"/>
    <w:rsid w:val="5C5D2777"/>
    <w:rsid w:val="5C767B4D"/>
    <w:rsid w:val="5CCD52A7"/>
    <w:rsid w:val="5CF66BF3"/>
    <w:rsid w:val="5D290C69"/>
    <w:rsid w:val="5DA80C2C"/>
    <w:rsid w:val="5EEE1C78"/>
    <w:rsid w:val="5F2D4A41"/>
    <w:rsid w:val="5F30510B"/>
    <w:rsid w:val="5F556747"/>
    <w:rsid w:val="60C74F6C"/>
    <w:rsid w:val="61015958"/>
    <w:rsid w:val="61025A59"/>
    <w:rsid w:val="61102B77"/>
    <w:rsid w:val="613D5BBC"/>
    <w:rsid w:val="61536C39"/>
    <w:rsid w:val="61702956"/>
    <w:rsid w:val="625F7FF8"/>
    <w:rsid w:val="626442C0"/>
    <w:rsid w:val="62944DD7"/>
    <w:rsid w:val="6319381F"/>
    <w:rsid w:val="63C25DC5"/>
    <w:rsid w:val="63C62057"/>
    <w:rsid w:val="64571EF5"/>
    <w:rsid w:val="64775344"/>
    <w:rsid w:val="64FB113D"/>
    <w:rsid w:val="656152C6"/>
    <w:rsid w:val="6587477F"/>
    <w:rsid w:val="658C3A08"/>
    <w:rsid w:val="65C031CA"/>
    <w:rsid w:val="65CE6852"/>
    <w:rsid w:val="66267C04"/>
    <w:rsid w:val="663F505A"/>
    <w:rsid w:val="666C2D2F"/>
    <w:rsid w:val="66AF5D7C"/>
    <w:rsid w:val="66DD0ECC"/>
    <w:rsid w:val="66EE5541"/>
    <w:rsid w:val="66F7BC52"/>
    <w:rsid w:val="67924660"/>
    <w:rsid w:val="68407834"/>
    <w:rsid w:val="68631D84"/>
    <w:rsid w:val="6883293E"/>
    <w:rsid w:val="688412AD"/>
    <w:rsid w:val="68B26AEF"/>
    <w:rsid w:val="68E2462E"/>
    <w:rsid w:val="68EB1B71"/>
    <w:rsid w:val="68FC7A84"/>
    <w:rsid w:val="696C0310"/>
    <w:rsid w:val="69B94E22"/>
    <w:rsid w:val="69BE0DE5"/>
    <w:rsid w:val="6A6C7940"/>
    <w:rsid w:val="6A8919DC"/>
    <w:rsid w:val="6A9F1565"/>
    <w:rsid w:val="6AAD2300"/>
    <w:rsid w:val="6B474EF5"/>
    <w:rsid w:val="6BC938E5"/>
    <w:rsid w:val="6C0A5AC5"/>
    <w:rsid w:val="6C2423FB"/>
    <w:rsid w:val="6C560CAE"/>
    <w:rsid w:val="6C576495"/>
    <w:rsid w:val="6C5E27CD"/>
    <w:rsid w:val="6D257830"/>
    <w:rsid w:val="6D903FF5"/>
    <w:rsid w:val="6DA955B8"/>
    <w:rsid w:val="6DE346AB"/>
    <w:rsid w:val="6DE5391A"/>
    <w:rsid w:val="6DFD7478"/>
    <w:rsid w:val="6EFD1324"/>
    <w:rsid w:val="6F115F48"/>
    <w:rsid w:val="6F5A53AC"/>
    <w:rsid w:val="6FAC003D"/>
    <w:rsid w:val="6FBDE2B6"/>
    <w:rsid w:val="6FD926BF"/>
    <w:rsid w:val="6FE55E12"/>
    <w:rsid w:val="6FE73160"/>
    <w:rsid w:val="6FFB2E76"/>
    <w:rsid w:val="705666DF"/>
    <w:rsid w:val="708F6F7F"/>
    <w:rsid w:val="70D94BD3"/>
    <w:rsid w:val="71421B79"/>
    <w:rsid w:val="71574775"/>
    <w:rsid w:val="71C34D91"/>
    <w:rsid w:val="72DB435C"/>
    <w:rsid w:val="72E2613A"/>
    <w:rsid w:val="72F771F4"/>
    <w:rsid w:val="73934AD2"/>
    <w:rsid w:val="73C068D2"/>
    <w:rsid w:val="74060033"/>
    <w:rsid w:val="74357D3F"/>
    <w:rsid w:val="746A0D1D"/>
    <w:rsid w:val="74866DEC"/>
    <w:rsid w:val="750837F0"/>
    <w:rsid w:val="754758CF"/>
    <w:rsid w:val="75595ECD"/>
    <w:rsid w:val="75FA3977"/>
    <w:rsid w:val="762A2439"/>
    <w:rsid w:val="764F62AB"/>
    <w:rsid w:val="765C45EC"/>
    <w:rsid w:val="768A7619"/>
    <w:rsid w:val="76BD23AB"/>
    <w:rsid w:val="772E1EBA"/>
    <w:rsid w:val="781926BC"/>
    <w:rsid w:val="78BD51F1"/>
    <w:rsid w:val="78C541A0"/>
    <w:rsid w:val="796D60A4"/>
    <w:rsid w:val="79A031D5"/>
    <w:rsid w:val="79B47FDF"/>
    <w:rsid w:val="79E569A9"/>
    <w:rsid w:val="7A1525F7"/>
    <w:rsid w:val="7A5D2999"/>
    <w:rsid w:val="7AD57804"/>
    <w:rsid w:val="7B420052"/>
    <w:rsid w:val="7BD06A28"/>
    <w:rsid w:val="7C3A7C0B"/>
    <w:rsid w:val="7C5248E4"/>
    <w:rsid w:val="7C550565"/>
    <w:rsid w:val="7C566698"/>
    <w:rsid w:val="7C5866A3"/>
    <w:rsid w:val="7CDC744D"/>
    <w:rsid w:val="7CE5117D"/>
    <w:rsid w:val="7D7406BB"/>
    <w:rsid w:val="7DBE2CFA"/>
    <w:rsid w:val="7DE94331"/>
    <w:rsid w:val="7E662888"/>
    <w:rsid w:val="7EC14E80"/>
    <w:rsid w:val="7ED46DD2"/>
    <w:rsid w:val="7F446A19"/>
    <w:rsid w:val="7F7452B9"/>
    <w:rsid w:val="9EFF42F2"/>
    <w:rsid w:val="DFE72629"/>
    <w:rsid w:val="E3FD6E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10281</Words>
  <Characters>24537</Characters>
  <Lines>186</Lines>
  <Paragraphs>52</Paragraphs>
  <TotalTime>0</TotalTime>
  <ScaleCrop>false</ScaleCrop>
  <LinksUpToDate>false</LinksUpToDate>
  <CharactersWithSpaces>25433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2024-07-12T18:00:00Z</dcterms:created>
  <dc:creator>Administrator</dc:creator>
  <cp:lastModifiedBy>Administrator</cp:lastModifiedBy>
  <dcterms:modified xsi:type="dcterms:W3CDTF">2025-10-15T04:22:16Z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142B67349EF1ECBE540AEF681DE762F3_43</vt:lpwstr>
  </property>
  <property fmtid="{D5CDD505-2E9C-101B-9397-08002B2CF9AE}" pid="4" name="KSOTemplateDocerSaveRecord">
    <vt:lpwstr>eyJoZGlkIjoiMDUwMjYyMTAwZTM5NTcxOGVhNzI3YWZjMDRhMjZkZDEifQ==</vt:lpwstr>
  </property>
</Properties>
</file>