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重庆市长寿区社会组织党群服务中心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基本情况</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hd w:val="clear" w:color="auto" w:fill="auto"/>
        <w:spacing w:beforeAutospacing="0" w:afterAutospacing="0"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shd w:val="clear" w:color="auto" w:fill="FFFFFF"/>
          <w:lang w:val="en-US" w:eastAsia="zh-CN"/>
        </w:rPr>
        <w:t>本单位为区民政局管理的公益一类事业单位，该中心主要负</w:t>
      </w:r>
      <w:r>
        <w:rPr>
          <w:rFonts w:hint="eastAsia" w:ascii="Times New Roman" w:hAnsi="Times New Roman" w:eastAsia="方正仿宋_GBK" w:cs="Times New Roman"/>
          <w:sz w:val="32"/>
          <w:szCs w:val="32"/>
          <w:lang w:val="en-US" w:eastAsia="zh-CN"/>
        </w:rPr>
        <w:t>责指导区民政局主管社会组织的党建工作；负责社会组织的孵化、培育、提升以及长寿区社会组织孵化基地运营工作。</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本单位</w:t>
      </w:r>
      <w:r>
        <w:rPr>
          <w:rFonts w:hint="eastAsia" w:ascii="Times New Roman" w:hAnsi="Times New Roman" w:eastAsia="方正仿宋_GBK" w:cs="Times New Roman"/>
          <w:color w:val="auto"/>
          <w:sz w:val="32"/>
          <w:szCs w:val="32"/>
          <w:shd w:val="clear" w:color="auto" w:fill="FFFFFF"/>
          <w:lang w:eastAsia="zh-CN"/>
        </w:rPr>
        <w:t>于</w:t>
      </w:r>
      <w:r>
        <w:rPr>
          <w:rFonts w:hint="eastAsia" w:ascii="Times New Roman" w:hAnsi="Times New Roman" w:eastAsia="方正仿宋_GBK" w:cs="Times New Roman"/>
          <w:color w:val="auto"/>
          <w:sz w:val="32"/>
          <w:szCs w:val="32"/>
          <w:shd w:val="clear" w:color="auto" w:fill="FFFFFF"/>
          <w:lang w:val="en-US" w:eastAsia="zh-CN"/>
        </w:rPr>
        <w:t>2023年4月成立，核定编制4人，在编3人。</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决算</w:t>
      </w:r>
      <w:r>
        <w:rPr>
          <w:rStyle w:val="10"/>
          <w:rFonts w:hint="default" w:ascii="Times New Roman" w:hAnsi="Times New Roman" w:eastAsia="黑体" w:cs="Times New Roman"/>
          <w:b w:val="0"/>
          <w:bCs/>
          <w:sz w:val="32"/>
          <w:szCs w:val="32"/>
          <w:shd w:val="clear" w:color="auto" w:fill="FFFFFF"/>
          <w:lang w:eastAsia="zh-CN"/>
        </w:rPr>
        <w:t>收支</w:t>
      </w:r>
      <w:r>
        <w:rPr>
          <w:rStyle w:val="10"/>
          <w:rFonts w:hint="default" w:ascii="Times New Roman" w:hAnsi="Times New Roman" w:eastAsia="黑体" w:cs="Times New Roman"/>
          <w:b w:val="0"/>
          <w:bCs/>
          <w:sz w:val="32"/>
          <w:szCs w:val="32"/>
          <w:shd w:val="clear" w:color="auto" w:fill="FFFFFF"/>
        </w:rPr>
        <w:t>情况说明</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bookmarkStart w:id="0" w:name="_GoBack"/>
      <w:bookmarkEnd w:id="0"/>
    </w:p>
    <w:p>
      <w:pPr>
        <w:pStyle w:val="6"/>
        <w:shd w:val="clear" w:color="auto" w:fill="auto"/>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eastAsia"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val="en-US" w:eastAsia="zh-CN"/>
        </w:rPr>
        <w:t>度收入总计34.12万元，支出总计34.12万元。收、支与2023年度相比，增加34.12万元，增长100.0%，主要原因是2023年在局机关本级进行决算，2024年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eastAsia" w:ascii="Times New Roman" w:hAnsi="Times New Roman" w:eastAsia="方正仿宋_GBK" w:cs="Times New Roman"/>
          <w:sz w:val="32"/>
          <w:szCs w:val="32"/>
          <w:shd w:val="clear" w:color="auto" w:fill="FFFFFF"/>
          <w:lang w:val="en-US" w:eastAsia="zh-CN"/>
        </w:rPr>
        <w:t>2024年度收入合计34.12万元，与2023年度相比，增加34.12万元，增长100.0%，主要原因是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其中：财政拨款收入34.12万元，占100.0%；事业收入0.00万元，占0.0%；经营收入0.00万元，占0.0%；其他收入0.00万元，占0.0%。此外，使用非财政拨款结余（含专用结余）0.00万元，年初结转和结余0.00万元。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eastAsia"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度支出合计34.12万元，与2023年度相比，增加34.12万元，增长100.0%，主要原因是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其中：基本支出34.05万元，占99.8%；项目支出0.07万元，占0.2%；经营支出0.00万元，占0.0%。此外，结余分配0.00万元。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度年末结转和结余0.00万元，与2023年度相比，无增减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lang w:eastAsia="zh-CN"/>
        </w:rPr>
        <w:t>。</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val="en-US" w:eastAsia="zh-CN"/>
        </w:rPr>
        <w:t>度财政拨款收、支总计34.12万元。与202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年相比，财政拨款收、支总计各增加34.12万元，增长100.0%。主要原因是2023年在局机关本级进行决算，2024年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eastAsia"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度一般公共预算财政拨款收入34.12万元，与2023年度相比，增加34.12万元，增长100.0%。主要原因是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较年初预算数无增减。此外，年初财政拨款结转和结余0.00万元。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eastAsia"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度一般公共预算财政拨款支出34.12万元，与2023年度相比，增加34.12万元，增长100.0%。主要原因是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较年初预算数无增减。</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）教育支出0.17万元，占0.5%，较年初预算数无增减</w:t>
      </w:r>
      <w:r>
        <w:rPr>
          <w:rFonts w:hint="eastAsia"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就业支出30.43万元，占89.2%，较年初预算数无增减</w:t>
      </w:r>
      <w:r>
        <w:rPr>
          <w:rFonts w:hint="eastAsia"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）卫生健康支出1.60万元，占4.7%，较年初预算数无增减</w:t>
      </w:r>
      <w:r>
        <w:rPr>
          <w:rFonts w:hint="eastAsia" w:ascii="Times New Roman" w:hAnsi="Times New Roman" w:eastAsia="方正仿宋_GBK" w:cs="Times New Roman"/>
          <w:sz w:val="32"/>
          <w:szCs w:val="32"/>
          <w:shd w:val="clear" w:color="auto" w:fill="FFFFFF"/>
          <w:lang w:eastAsia="zh-CN"/>
        </w:rPr>
        <w:t>。</w:t>
      </w:r>
    </w:p>
    <w:p>
      <w:pPr>
        <w:spacing w:line="594" w:lineRule="exact"/>
        <w:ind w:firstLine="640" w:firstLineChars="200"/>
        <w:rPr>
          <w:rFonts w:hint="eastAsia"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住房保障支出1.92万元，占5.6%，较年初预算数无增减</w:t>
      </w:r>
      <w:r>
        <w:rPr>
          <w:rFonts w:hint="eastAsia" w:ascii="Times New Roman" w:hAnsi="Times New Roman" w:eastAsia="方正仿宋_GBK" w:cs="Times New Roman"/>
          <w:sz w:val="32"/>
          <w:szCs w:val="32"/>
          <w:shd w:val="clear" w:color="auto" w:fill="FFFFFF"/>
          <w:lang w:val="en-US" w:eastAsia="zh-CN" w:bidi="ar-SA"/>
        </w:rPr>
        <w:t>。</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val="en-US" w:eastAsia="zh-CN"/>
        </w:rPr>
        <w:t>度一般公共</w:t>
      </w:r>
      <w:r>
        <w:rPr>
          <w:rFonts w:hint="eastAsia" w:ascii="Times New Roman" w:hAnsi="Times New Roman" w:eastAsia="方正仿宋_GBK" w:cs="Times New Roman"/>
          <w:sz w:val="32"/>
          <w:szCs w:val="32"/>
          <w:shd w:val="clear" w:color="auto" w:fill="FFFFFF"/>
          <w:lang w:val="en-US" w:eastAsia="zh-CN"/>
        </w:rPr>
        <w:t>预算</w:t>
      </w:r>
      <w:r>
        <w:rPr>
          <w:rFonts w:hint="default" w:ascii="Times New Roman" w:hAnsi="Times New Roman" w:eastAsia="方正仿宋_GBK" w:cs="Times New Roman"/>
          <w:sz w:val="32"/>
          <w:szCs w:val="32"/>
          <w:shd w:val="clear" w:color="auto" w:fill="FFFFFF"/>
          <w:lang w:val="en-US" w:eastAsia="zh-CN"/>
        </w:rPr>
        <w:t>财政拨款基本支出34.05</w:t>
      </w:r>
      <w:r>
        <w:rPr>
          <w:rFonts w:hint="default" w:ascii="Times New Roman" w:hAnsi="Times New Roman" w:eastAsia="方正仿宋_GBK" w:cs="Times New Roman"/>
          <w:sz w:val="32"/>
          <w:szCs w:val="32"/>
          <w:shd w:val="clear" w:color="auto" w:fill="FFFFFF"/>
        </w:rPr>
        <w:t>万元。其中：人员经费29.81万元，与2023年度相比，增加29.81万元，增长100.0%，主要原因是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w:t>
      </w:r>
      <w:r>
        <w:rPr>
          <w:rFonts w:hint="default" w:ascii="Times New Roman" w:hAnsi="Times New Roman" w:eastAsia="方正仿宋_GBK" w:cs="Times New Roman"/>
          <w:color w:val="auto"/>
          <w:sz w:val="32"/>
          <w:szCs w:val="32"/>
          <w:shd w:val="clear" w:color="auto" w:fill="FFFFFF"/>
          <w:lang w:eastAsia="zh-CN"/>
        </w:rPr>
        <w:t>社保、住房公积金、</w:t>
      </w:r>
      <w:r>
        <w:rPr>
          <w:rFonts w:hint="default" w:ascii="Times New Roman" w:hAnsi="Times New Roman" w:eastAsia="方正仿宋_GBK" w:cs="Times New Roman"/>
          <w:color w:val="auto"/>
          <w:sz w:val="32"/>
          <w:szCs w:val="32"/>
          <w:shd w:val="clear" w:color="auto" w:fill="FFFFFF"/>
          <w:lang w:val="en-US" w:eastAsia="zh-CN"/>
        </w:rPr>
        <w:t>超额绩效等</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公用经费4.24万元，与2023年度相比，增加4.24万元，增长100.0%，主</w:t>
      </w:r>
      <w:r>
        <w:rPr>
          <w:rFonts w:ascii="方正仿宋_GBK" w:hAnsi="方正仿宋_GBK" w:eastAsia="方正仿宋_GBK" w:cs="方正仿宋_GBK"/>
          <w:sz w:val="32"/>
          <w:szCs w:val="32"/>
          <w:shd w:val="clear" w:color="auto" w:fill="FFFFFF"/>
        </w:rPr>
        <w:t>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办公费、公务接待费</w:t>
      </w:r>
      <w:r>
        <w:rPr>
          <w:rFonts w:hint="default" w:ascii="Times New Roman" w:hAnsi="Times New Roman" w:eastAsia="方正仿宋_GBK" w:cs="Times New Roman"/>
          <w:color w:val="auto"/>
          <w:sz w:val="32"/>
          <w:szCs w:val="32"/>
          <w:shd w:val="clear" w:color="auto" w:fill="FFFFFF"/>
          <w:lang w:eastAsia="zh-CN"/>
        </w:rPr>
        <w:t>、邮电费</w:t>
      </w:r>
      <w:r>
        <w:rPr>
          <w:rFonts w:hint="default" w:ascii="Times New Roman" w:hAnsi="Times New Roman" w:eastAsia="方正仿宋_GBK" w:cs="Times New Roman"/>
          <w:color w:val="auto"/>
          <w:sz w:val="32"/>
          <w:szCs w:val="32"/>
          <w:shd w:val="clear" w:color="auto" w:fill="FFFFFF"/>
          <w:lang w:val="en-US" w:eastAsia="zh-CN"/>
        </w:rPr>
        <w:t>等。</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度政府性基金预算财政拨款年初结转结余0.00万元，年末结转结余0.00万元。本年收入0.00万元，与2023年度相比，无增减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本年支出0.00万元，与2023年度相比，无增减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度国有资本经营预算财政拨款本年支出0.00万元，基本支出0.00万元，项目支出0.00万元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度无国有资本经营预算财政拨款支出。</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三、</w:t>
      </w:r>
      <w:r>
        <w:rPr>
          <w:rStyle w:val="10"/>
          <w:rFonts w:hint="default" w:ascii="Times New Roman" w:hAnsi="Times New Roman" w:eastAsia="黑体" w:cs="Times New Roman"/>
          <w:b w:val="0"/>
          <w:bCs/>
          <w:sz w:val="32"/>
          <w:szCs w:val="32"/>
          <w:shd w:val="clear" w:color="auto" w:fill="FFFFFF"/>
          <w:lang w:eastAsia="zh-CN"/>
        </w:rPr>
        <w:t>财政拨款</w:t>
      </w:r>
      <w:r>
        <w:rPr>
          <w:rStyle w:val="10"/>
          <w:rFonts w:hint="default" w:ascii="Times New Roman" w:hAnsi="Times New Roman" w:eastAsia="黑体" w:cs="Times New Roman"/>
          <w:b w:val="0"/>
          <w:bCs/>
          <w:sz w:val="32"/>
          <w:szCs w:val="32"/>
          <w:shd w:val="clear" w:color="auto" w:fill="FFFFFF"/>
        </w:rPr>
        <w:t>“三公”经费情况说明</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度“三公”经费支出共计0.00万元，较年初预算数无增减，主要原因是</w:t>
      </w:r>
      <w:r>
        <w:rPr>
          <w:rFonts w:hint="default" w:ascii="Times New Roman" w:hAnsi="Times New Roman" w:eastAsia="方正仿宋_GBK" w:cs="Times New Roman"/>
          <w:sz w:val="32"/>
          <w:szCs w:val="32"/>
          <w:shd w:val="clear" w:color="auto" w:fill="FFFFFF"/>
          <w:lang w:val="en-US" w:eastAsia="zh-CN"/>
        </w:rPr>
        <w:t>未产生三公经费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本年度未购置车辆</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highlight w:val="none"/>
          <w:shd w:val="clear" w:color="auto" w:fill="FFFFFF"/>
        </w:rPr>
        <w:t>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w:t>
      </w:r>
      <w:r>
        <w:rPr>
          <w:rFonts w:hint="default" w:ascii="Times New Roman" w:hAnsi="Times New Roman" w:eastAsia="方正仿宋_GBK" w:cs="Times New Roman"/>
          <w:sz w:val="32"/>
          <w:szCs w:val="32"/>
          <w:shd w:val="clear" w:color="auto" w:fill="FFFFFF"/>
        </w:rPr>
        <w:t>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无维护费产生。</w:t>
      </w:r>
      <w:r>
        <w:rPr>
          <w:rFonts w:hint="default" w:ascii="Times New Roman" w:hAnsi="Times New Roman" w:eastAsia="方正仿宋_GBK" w:cs="Times New Roman"/>
          <w:sz w:val="32"/>
          <w:szCs w:val="32"/>
          <w:shd w:val="clear" w:color="auto" w:fill="FFFFFF"/>
        </w:rPr>
        <w:t>费用支出较年初预算数无</w:t>
      </w:r>
      <w:r>
        <w:rPr>
          <w:rFonts w:hint="default" w:ascii="Times New Roman" w:hAnsi="Times New Roman" w:eastAsia="方正仿宋_GBK" w:cs="Times New Roman"/>
          <w:sz w:val="32"/>
          <w:szCs w:val="32"/>
          <w:shd w:val="clear" w:color="auto" w:fill="FFFFFF"/>
          <w:lang w:val="en-US" w:eastAsia="zh-CN"/>
        </w:rPr>
        <w:t>增减变化。</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无公务接待费发生。</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度本单位因公出国（境）共计0个团组，0人；公务用车购置0辆</w:t>
      </w: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w:t>
      </w:r>
      <w:r>
        <w:rPr>
          <w:rFonts w:hint="default" w:ascii="Times New Roman" w:hAnsi="Times New Roman" w:eastAsia="方正仿宋_GBK" w:cs="Times New Roman"/>
          <w:sz w:val="32"/>
          <w:szCs w:val="32"/>
          <w:shd w:val="clear" w:color="auto" w:fill="FFFFFF"/>
        </w:rPr>
        <w:t>保有量为0辆；国内公务接待0批次0人，其中：国内外事接待0批次，0人；国（境）外公务接待0批次，0人。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本单位人均接待费0元，车均购置费0万元，车均维护费0万元。</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四、其他需要说明的事项</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。本年度培训费支出0.</w:t>
      </w:r>
      <w:r>
        <w:rPr>
          <w:rFonts w:hint="eastAsia" w:ascii="Times New Roman" w:hAnsi="Times New Roman" w:eastAsia="方正仿宋_GBK" w:cs="Times New Roman"/>
          <w:sz w:val="32"/>
          <w:szCs w:val="32"/>
          <w:shd w:val="clear" w:color="auto" w:fill="FFFFFF"/>
          <w:lang w:val="en-US" w:eastAsia="zh-CN"/>
        </w:rPr>
        <w:t>17</w:t>
      </w:r>
      <w:r>
        <w:rPr>
          <w:rFonts w:hint="default" w:ascii="Times New Roman" w:hAnsi="Times New Roman" w:eastAsia="方正仿宋_GBK" w:cs="Times New Roman"/>
          <w:sz w:val="32"/>
          <w:szCs w:val="32"/>
          <w:shd w:val="clear" w:color="auto" w:fill="FFFFFF"/>
        </w:rPr>
        <w:t>万元，与2023年度相比，增加0.</w:t>
      </w:r>
      <w:r>
        <w:rPr>
          <w:rFonts w:hint="eastAsia" w:ascii="Times New Roman" w:hAnsi="Times New Roman" w:eastAsia="方正仿宋_GBK" w:cs="Times New Roman"/>
          <w:sz w:val="32"/>
          <w:szCs w:val="32"/>
          <w:shd w:val="clear" w:color="auto" w:fill="FFFFFF"/>
          <w:lang w:val="en-US" w:eastAsia="zh-CN"/>
        </w:rPr>
        <w:t>17</w:t>
      </w:r>
      <w:r>
        <w:rPr>
          <w:rFonts w:hint="default" w:ascii="Times New Roman" w:hAnsi="Times New Roman" w:eastAsia="方正仿宋_GBK" w:cs="Times New Roman"/>
          <w:sz w:val="32"/>
          <w:szCs w:val="32"/>
          <w:shd w:val="clear" w:color="auto" w:fill="FFFFFF"/>
        </w:rPr>
        <w:t>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w:t>
      </w:r>
      <w:r>
        <w:rPr>
          <w:rFonts w:hint="eastAsia" w:ascii="Times New Roman" w:hAnsi="Times New Roman" w:eastAsia="方正仿宋_GBK" w:cs="Times New Roman"/>
          <w:sz w:val="32"/>
          <w:szCs w:val="32"/>
          <w:shd w:val="clear" w:color="auto" w:fill="FFFFFF"/>
          <w:lang w:val="en-US" w:eastAsia="zh-CN"/>
        </w:rPr>
        <w:t>因机构改革，该单位撤销</w:t>
      </w:r>
      <w:r>
        <w:rPr>
          <w:rFonts w:hint="default" w:ascii="Times New Roman" w:hAnsi="Times New Roman" w:eastAsia="方正仿宋_GBK" w:cs="Times New Roman"/>
          <w:sz w:val="32"/>
          <w:szCs w:val="32"/>
          <w:shd w:val="clear" w:color="auto" w:fill="FFFFFF"/>
          <w:lang w:val="en-US" w:eastAsia="zh-CN"/>
        </w:rPr>
        <w:t>。</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度本单位政府采购支出总额0.00万元，其中：政府采购货物支出0.00万元、政府采购工程支出0.00万元、政府采购服务支出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度我单位未发生政府采购事项，无相关经费支出。</w:t>
      </w:r>
    </w:p>
    <w:p>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Style w:val="10"/>
          <w:rFonts w:hint="default" w:ascii="Times New Roman" w:hAnsi="Times New Roman" w:eastAsia="仿宋" w:cs="Times New Roman"/>
          <w:sz w:val="32"/>
          <w:szCs w:val="32"/>
          <w:highlight w:val="none"/>
          <w:shd w:val="clear" w:color="auto" w:fill="FFFFFF"/>
        </w:rPr>
      </w:pPr>
      <w:r>
        <w:rPr>
          <w:rFonts w:hint="default" w:ascii="Times New Roman" w:hAnsi="Times New Roman" w:eastAsia="方正黑体_GBK" w:cs="Times New Roman"/>
          <w:color w:val="000000"/>
          <w:kern w:val="0"/>
          <w:sz w:val="32"/>
          <w:szCs w:val="32"/>
          <w:highlight w:val="none"/>
        </w:rPr>
        <w:t>五、预算绩效管理情况说明</w:t>
      </w:r>
    </w:p>
    <w:p>
      <w:pPr>
        <w:pStyle w:val="11"/>
        <w:autoSpaceDE w:val="0"/>
        <w:spacing w:line="594" w:lineRule="exact"/>
        <w:ind w:firstLine="643"/>
        <w:rPr>
          <w:rFonts w:hint="default" w:ascii="Times New Roman" w:hAnsi="Times New Roman" w:eastAsia="楷体" w:cs="Times New Roman"/>
          <w:b/>
          <w:bCs/>
          <w:kern w:val="0"/>
          <w:sz w:val="32"/>
          <w:szCs w:val="32"/>
          <w:highlight w:val="none"/>
          <w:shd w:val="clear" w:color="auto" w:fill="FFFFFF"/>
        </w:rPr>
      </w:pPr>
      <w:r>
        <w:rPr>
          <w:rFonts w:hint="default" w:ascii="Times New Roman" w:hAnsi="Times New Roman" w:eastAsia="楷体" w:cs="Times New Roman"/>
          <w:b/>
          <w:bCs/>
          <w:kern w:val="0"/>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kern w:val="0"/>
          <w:sz w:val="32"/>
          <w:szCs w:val="32"/>
          <w:highlight w:val="none"/>
          <w:lang w:val="en-US" w:eastAsia="zh-CN" w:bidi="ar"/>
        </w:rPr>
        <w:t>根据预算绩效管理要求，我单位对1个项目开展了绩效自评，涉及财政拨款项目支出资金</w:t>
      </w:r>
      <w:r>
        <w:rPr>
          <w:rFonts w:hint="eastAsia" w:ascii="Times New Roman" w:hAnsi="Times New Roman" w:eastAsia="方正仿宋_GBK" w:cs="Times New Roman"/>
          <w:kern w:val="0"/>
          <w:sz w:val="32"/>
          <w:szCs w:val="32"/>
          <w:highlight w:val="none"/>
          <w:lang w:val="en-US" w:eastAsia="zh-CN" w:bidi="ar"/>
        </w:rPr>
        <w:t>0.07</w:t>
      </w:r>
      <w:r>
        <w:rPr>
          <w:rFonts w:hint="default" w:ascii="Times New Roman" w:hAnsi="Times New Roman" w:eastAsia="方正仿宋_GBK" w:cs="Times New Roman"/>
          <w:kern w:val="0"/>
          <w:sz w:val="32"/>
          <w:szCs w:val="32"/>
          <w:highlight w:val="none"/>
          <w:lang w:val="en-US" w:eastAsia="zh-CN" w:bidi="ar"/>
        </w:rPr>
        <w:t>万元。</w:t>
      </w:r>
    </w:p>
    <w:p>
      <w:pPr>
        <w:pStyle w:val="11"/>
        <w:autoSpaceDE w:val="0"/>
        <w:spacing w:line="594" w:lineRule="exact"/>
        <w:ind w:firstLine="643"/>
        <w:rPr>
          <w:rFonts w:hint="default" w:ascii="Times New Roman" w:hAnsi="Times New Roman" w:eastAsia="楷体" w:cs="Times New Roman"/>
          <w:b/>
          <w:bCs/>
          <w:kern w:val="0"/>
          <w:sz w:val="32"/>
          <w:szCs w:val="32"/>
          <w:highlight w:val="none"/>
          <w:shd w:val="clear" w:color="auto" w:fill="FFFFFF"/>
          <w:lang w:bidi="ar"/>
        </w:rPr>
      </w:pPr>
      <w:r>
        <w:rPr>
          <w:rFonts w:hint="default" w:ascii="Times New Roman" w:hAnsi="Times New Roman" w:eastAsia="楷体" w:cs="Times New Roman"/>
          <w:b/>
          <w:bCs/>
          <w:kern w:val="0"/>
          <w:sz w:val="32"/>
          <w:szCs w:val="32"/>
          <w:highlight w:val="none"/>
          <w:shd w:val="clear" w:color="auto" w:fill="FFFFFF"/>
          <w:lang w:val="en-US" w:eastAsia="zh-CN" w:bidi="ar"/>
        </w:rPr>
        <w:t>（二）绩效自评结果</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kern w:val="2"/>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lang w:val="en-US" w:eastAsia="zh-CN" w:bidi="ar"/>
        </w:rPr>
        <w:t>绩效自评结果详见附件2024年度绩效自评公开表（《项目绩效自评结果汇总表》、《项目支出绩效自评表》）。</w:t>
      </w:r>
    </w:p>
    <w:p>
      <w:pPr>
        <w:pStyle w:val="11"/>
        <w:autoSpaceDE w:val="0"/>
        <w:spacing w:line="594" w:lineRule="exact"/>
        <w:ind w:firstLine="643"/>
        <w:rPr>
          <w:rFonts w:hint="default" w:ascii="Times New Roman" w:hAnsi="Times New Roman" w:eastAsia="楷体" w:cs="Times New Roman"/>
          <w:b/>
          <w:bCs/>
          <w:kern w:val="0"/>
          <w:sz w:val="32"/>
          <w:szCs w:val="32"/>
          <w:highlight w:val="none"/>
          <w:shd w:val="clear" w:color="auto" w:fill="FFFFFF"/>
          <w:lang w:bidi="ar"/>
        </w:rPr>
      </w:pPr>
      <w:r>
        <w:rPr>
          <w:rFonts w:hint="default" w:ascii="Times New Roman" w:hAnsi="Times New Roman" w:eastAsia="楷体" w:cs="Times New Roman"/>
          <w:b/>
          <w:bCs/>
          <w:kern w:val="0"/>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区财政局未委托第三方对我单位开展绩效评价。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bCs/>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0"/>
          <w:rFonts w:hint="default" w:ascii="Times New Roman" w:hAnsi="Times New Roman" w:eastAsia="黑体" w:cs="Times New Roman"/>
          <w:sz w:val="32"/>
          <w:szCs w:val="32"/>
          <w:shd w:val="clear" w:color="auto" w:fill="FFFFFF"/>
          <w:lang w:val="en-US" w:eastAsia="zh-CN" w:bidi="ar-SA"/>
        </w:rPr>
        <w:t xml:space="preserve"> </w:t>
      </w:r>
      <w:r>
        <w:rPr>
          <w:rStyle w:val="10"/>
          <w:rFonts w:hint="default" w:ascii="Times New Roman" w:hAnsi="Times New Roman" w:eastAsia="黑体" w:cs="Times New Roman"/>
          <w:b w:val="0"/>
          <w:bCs/>
          <w:sz w:val="32"/>
          <w:szCs w:val="32"/>
          <w:shd w:val="clear" w:color="auto" w:fill="FFFFFF"/>
          <w:lang w:val="en-US" w:eastAsia="zh-CN" w:bidi="ar-SA"/>
        </w:rPr>
        <w:t>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Cs/>
          <w:kern w:val="0"/>
          <w:sz w:val="32"/>
          <w:szCs w:val="32"/>
        </w:rPr>
      </w:pPr>
      <w:r>
        <w:rPr>
          <w:rStyle w:val="10"/>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本单位决算公开信息反馈和联系方式：023-</w:t>
      </w:r>
      <w:r>
        <w:rPr>
          <w:rFonts w:hint="eastAsia" w:ascii="Times New Roman" w:hAnsi="Times New Roman" w:eastAsia="方正仿宋_GBK" w:cs="Times New Roman"/>
          <w:kern w:val="0"/>
          <w:sz w:val="32"/>
          <w:szCs w:val="32"/>
          <w:shd w:val="clear" w:fill="FFFFFF"/>
          <w:lang w:val="en-US" w:eastAsia="zh-CN"/>
        </w:rPr>
        <w:t>40243164</w:t>
      </w:r>
    </w:p>
    <w:p>
      <w:pPr>
        <w:spacing w:line="594" w:lineRule="exact"/>
        <w:rPr>
          <w:rFonts w:hint="default" w:ascii="Times New Roman" w:hAnsi="Times New Roman"/>
          <w:sz w:val="18"/>
          <w:szCs w:val="18"/>
        </w:rPr>
      </w:pPr>
    </w:p>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DB4D39"/>
    <w:rsid w:val="03B87EA0"/>
    <w:rsid w:val="03E3214F"/>
    <w:rsid w:val="044C50BA"/>
    <w:rsid w:val="05BC6D49"/>
    <w:rsid w:val="06194FF1"/>
    <w:rsid w:val="06A2550B"/>
    <w:rsid w:val="06F80EE2"/>
    <w:rsid w:val="07001CCA"/>
    <w:rsid w:val="07523E42"/>
    <w:rsid w:val="075678DB"/>
    <w:rsid w:val="077B465F"/>
    <w:rsid w:val="079D7CC7"/>
    <w:rsid w:val="08051BCA"/>
    <w:rsid w:val="081B4D16"/>
    <w:rsid w:val="0847104E"/>
    <w:rsid w:val="086C12F4"/>
    <w:rsid w:val="08705944"/>
    <w:rsid w:val="08BA052C"/>
    <w:rsid w:val="08DB07BA"/>
    <w:rsid w:val="0969353F"/>
    <w:rsid w:val="098305D0"/>
    <w:rsid w:val="09B1218B"/>
    <w:rsid w:val="0A3317EA"/>
    <w:rsid w:val="0A5C4B69"/>
    <w:rsid w:val="0A86124A"/>
    <w:rsid w:val="0AB54CC0"/>
    <w:rsid w:val="0ADD16C8"/>
    <w:rsid w:val="0B9335CE"/>
    <w:rsid w:val="0BF2311A"/>
    <w:rsid w:val="0C5A32DA"/>
    <w:rsid w:val="0C6D222C"/>
    <w:rsid w:val="0C7927C4"/>
    <w:rsid w:val="0C9B098C"/>
    <w:rsid w:val="0D673E11"/>
    <w:rsid w:val="0D8F1A4E"/>
    <w:rsid w:val="0DDA54E4"/>
    <w:rsid w:val="0E3A5F83"/>
    <w:rsid w:val="0E5B0D44"/>
    <w:rsid w:val="0F836721"/>
    <w:rsid w:val="0FA25D96"/>
    <w:rsid w:val="10524857"/>
    <w:rsid w:val="107B59E5"/>
    <w:rsid w:val="10A26679"/>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9670F4"/>
    <w:rsid w:val="163A6CEE"/>
    <w:rsid w:val="173708E3"/>
    <w:rsid w:val="17A1375C"/>
    <w:rsid w:val="17C374FC"/>
    <w:rsid w:val="182E4AB6"/>
    <w:rsid w:val="189079DC"/>
    <w:rsid w:val="189B0D0B"/>
    <w:rsid w:val="18B43F7C"/>
    <w:rsid w:val="191C433B"/>
    <w:rsid w:val="194A1770"/>
    <w:rsid w:val="19B906A4"/>
    <w:rsid w:val="1A2B633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7ED61D0"/>
    <w:rsid w:val="281F18CC"/>
    <w:rsid w:val="28521CAE"/>
    <w:rsid w:val="28D37765"/>
    <w:rsid w:val="29100B14"/>
    <w:rsid w:val="29310A5F"/>
    <w:rsid w:val="29C37A35"/>
    <w:rsid w:val="2A076083"/>
    <w:rsid w:val="2A73162E"/>
    <w:rsid w:val="2A76270D"/>
    <w:rsid w:val="2B167953"/>
    <w:rsid w:val="2B200583"/>
    <w:rsid w:val="2B2729C0"/>
    <w:rsid w:val="2B8209DE"/>
    <w:rsid w:val="2B821C91"/>
    <w:rsid w:val="2BF81A22"/>
    <w:rsid w:val="2C636760"/>
    <w:rsid w:val="2C6762A3"/>
    <w:rsid w:val="2CC0018F"/>
    <w:rsid w:val="2E402A7A"/>
    <w:rsid w:val="2FCA4B37"/>
    <w:rsid w:val="2FE029D7"/>
    <w:rsid w:val="2FF06E00"/>
    <w:rsid w:val="30586FEC"/>
    <w:rsid w:val="30BE67FD"/>
    <w:rsid w:val="315F0B22"/>
    <w:rsid w:val="31673D54"/>
    <w:rsid w:val="31A15828"/>
    <w:rsid w:val="31D84415"/>
    <w:rsid w:val="32285F6F"/>
    <w:rsid w:val="32770556"/>
    <w:rsid w:val="329C0913"/>
    <w:rsid w:val="32AA0460"/>
    <w:rsid w:val="3337290D"/>
    <w:rsid w:val="33E31118"/>
    <w:rsid w:val="33EF7674"/>
    <w:rsid w:val="342D7BC6"/>
    <w:rsid w:val="352930DB"/>
    <w:rsid w:val="35573069"/>
    <w:rsid w:val="355F6038"/>
    <w:rsid w:val="358C217E"/>
    <w:rsid w:val="364454FF"/>
    <w:rsid w:val="366731E9"/>
    <w:rsid w:val="36C9128A"/>
    <w:rsid w:val="37841E99"/>
    <w:rsid w:val="37BF1123"/>
    <w:rsid w:val="3832026F"/>
    <w:rsid w:val="383C3F15"/>
    <w:rsid w:val="387A0F38"/>
    <w:rsid w:val="38BE4696"/>
    <w:rsid w:val="3939115E"/>
    <w:rsid w:val="39B82A39"/>
    <w:rsid w:val="39C42CA8"/>
    <w:rsid w:val="39DC4FD6"/>
    <w:rsid w:val="39F03D7A"/>
    <w:rsid w:val="39F33306"/>
    <w:rsid w:val="3A0E42BE"/>
    <w:rsid w:val="3A2C1C67"/>
    <w:rsid w:val="3A6A77C9"/>
    <w:rsid w:val="3ADD7F09"/>
    <w:rsid w:val="3B1705E5"/>
    <w:rsid w:val="3B18334B"/>
    <w:rsid w:val="3B252F49"/>
    <w:rsid w:val="3B36794F"/>
    <w:rsid w:val="3B6F6EE0"/>
    <w:rsid w:val="3BE53517"/>
    <w:rsid w:val="3C566AD6"/>
    <w:rsid w:val="3C594871"/>
    <w:rsid w:val="3C6A5B02"/>
    <w:rsid w:val="3D083B3A"/>
    <w:rsid w:val="3D2757A1"/>
    <w:rsid w:val="3D3D4FC4"/>
    <w:rsid w:val="3D4F7067"/>
    <w:rsid w:val="3D6D2A68"/>
    <w:rsid w:val="3DDA53A3"/>
    <w:rsid w:val="3DDF3AB1"/>
    <w:rsid w:val="3E1D0952"/>
    <w:rsid w:val="3E42660A"/>
    <w:rsid w:val="3E7555B1"/>
    <w:rsid w:val="3E787ED9"/>
    <w:rsid w:val="3EFE5B6B"/>
    <w:rsid w:val="3F032E93"/>
    <w:rsid w:val="3F0527E5"/>
    <w:rsid w:val="3F4C52C6"/>
    <w:rsid w:val="3F694D83"/>
    <w:rsid w:val="3F885DCC"/>
    <w:rsid w:val="3FCD675E"/>
    <w:rsid w:val="4004000C"/>
    <w:rsid w:val="40760DD1"/>
    <w:rsid w:val="40BD5482"/>
    <w:rsid w:val="40CB7E83"/>
    <w:rsid w:val="411B6CE5"/>
    <w:rsid w:val="412070D7"/>
    <w:rsid w:val="41314E40"/>
    <w:rsid w:val="41BF2BBB"/>
    <w:rsid w:val="41E0734B"/>
    <w:rsid w:val="426C1EA8"/>
    <w:rsid w:val="42736402"/>
    <w:rsid w:val="42E86A87"/>
    <w:rsid w:val="43307B09"/>
    <w:rsid w:val="439A3EB9"/>
    <w:rsid w:val="43BB152F"/>
    <w:rsid w:val="443D7C6D"/>
    <w:rsid w:val="444913E8"/>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D21352"/>
    <w:rsid w:val="4A04198A"/>
    <w:rsid w:val="4A263DF2"/>
    <w:rsid w:val="4A2F278B"/>
    <w:rsid w:val="4A6F6675"/>
    <w:rsid w:val="4B135857"/>
    <w:rsid w:val="4B7951CB"/>
    <w:rsid w:val="4B7C315C"/>
    <w:rsid w:val="4BA92A9B"/>
    <w:rsid w:val="4BFB7773"/>
    <w:rsid w:val="4C6870EB"/>
    <w:rsid w:val="4D1F53CA"/>
    <w:rsid w:val="4D5953F8"/>
    <w:rsid w:val="4DAC4ACA"/>
    <w:rsid w:val="4DBE01D2"/>
    <w:rsid w:val="4EFD467F"/>
    <w:rsid w:val="4F0C6BA3"/>
    <w:rsid w:val="4F186D58"/>
    <w:rsid w:val="4FF166B7"/>
    <w:rsid w:val="504B6EAA"/>
    <w:rsid w:val="50F06B6E"/>
    <w:rsid w:val="51D21804"/>
    <w:rsid w:val="52234D33"/>
    <w:rsid w:val="522F6E0C"/>
    <w:rsid w:val="52463BA1"/>
    <w:rsid w:val="52F163D4"/>
    <w:rsid w:val="52F50BF9"/>
    <w:rsid w:val="531A2DB4"/>
    <w:rsid w:val="53C0244D"/>
    <w:rsid w:val="53DD4D4E"/>
    <w:rsid w:val="53E578CE"/>
    <w:rsid w:val="541330F0"/>
    <w:rsid w:val="54272666"/>
    <w:rsid w:val="543B029D"/>
    <w:rsid w:val="545E029B"/>
    <w:rsid w:val="54861779"/>
    <w:rsid w:val="55084A4C"/>
    <w:rsid w:val="552256E1"/>
    <w:rsid w:val="554E5773"/>
    <w:rsid w:val="555829E0"/>
    <w:rsid w:val="555A3CBC"/>
    <w:rsid w:val="5582012B"/>
    <w:rsid w:val="558E4E05"/>
    <w:rsid w:val="55BE2E85"/>
    <w:rsid w:val="56530F5D"/>
    <w:rsid w:val="567700D3"/>
    <w:rsid w:val="56FF7E9E"/>
    <w:rsid w:val="57145CC0"/>
    <w:rsid w:val="578867FC"/>
    <w:rsid w:val="57915F1B"/>
    <w:rsid w:val="582632A6"/>
    <w:rsid w:val="5842572D"/>
    <w:rsid w:val="5A3B59D6"/>
    <w:rsid w:val="5AD134D8"/>
    <w:rsid w:val="5BF41F67"/>
    <w:rsid w:val="5C263CE4"/>
    <w:rsid w:val="5C525B41"/>
    <w:rsid w:val="5C5D2777"/>
    <w:rsid w:val="5CF66BF3"/>
    <w:rsid w:val="5D290C69"/>
    <w:rsid w:val="5DA80C2C"/>
    <w:rsid w:val="5EAF2A8F"/>
    <w:rsid w:val="5F2D4A41"/>
    <w:rsid w:val="5F516DDF"/>
    <w:rsid w:val="5F75EFF6"/>
    <w:rsid w:val="60C74F6C"/>
    <w:rsid w:val="61015958"/>
    <w:rsid w:val="61025A59"/>
    <w:rsid w:val="613D5BBC"/>
    <w:rsid w:val="61536C39"/>
    <w:rsid w:val="62944DD7"/>
    <w:rsid w:val="6319381F"/>
    <w:rsid w:val="63A27635"/>
    <w:rsid w:val="63C25DC5"/>
    <w:rsid w:val="63C62057"/>
    <w:rsid w:val="64571EF5"/>
    <w:rsid w:val="648176E8"/>
    <w:rsid w:val="64FB113D"/>
    <w:rsid w:val="656152C6"/>
    <w:rsid w:val="6587477F"/>
    <w:rsid w:val="658C3A08"/>
    <w:rsid w:val="65C031CA"/>
    <w:rsid w:val="65CE6852"/>
    <w:rsid w:val="66267C04"/>
    <w:rsid w:val="663F505A"/>
    <w:rsid w:val="666C2D2F"/>
    <w:rsid w:val="66AF5D7C"/>
    <w:rsid w:val="66EE5541"/>
    <w:rsid w:val="67924660"/>
    <w:rsid w:val="68403B19"/>
    <w:rsid w:val="68407834"/>
    <w:rsid w:val="6883293E"/>
    <w:rsid w:val="688412AD"/>
    <w:rsid w:val="68EB1B71"/>
    <w:rsid w:val="695D51EA"/>
    <w:rsid w:val="696C0310"/>
    <w:rsid w:val="69BE0DE5"/>
    <w:rsid w:val="69C62ADF"/>
    <w:rsid w:val="6A6C7940"/>
    <w:rsid w:val="6A8919DC"/>
    <w:rsid w:val="6A9F1565"/>
    <w:rsid w:val="6AAD2300"/>
    <w:rsid w:val="6B474EF5"/>
    <w:rsid w:val="6BC938E5"/>
    <w:rsid w:val="6C0A5AC5"/>
    <w:rsid w:val="6C560CAE"/>
    <w:rsid w:val="6C576495"/>
    <w:rsid w:val="6C693830"/>
    <w:rsid w:val="6D511679"/>
    <w:rsid w:val="6D903FF5"/>
    <w:rsid w:val="6DA955B8"/>
    <w:rsid w:val="6DE346AB"/>
    <w:rsid w:val="6DE5391A"/>
    <w:rsid w:val="6ED000F6"/>
    <w:rsid w:val="6EFD1324"/>
    <w:rsid w:val="6F5A53AC"/>
    <w:rsid w:val="6FAC003D"/>
    <w:rsid w:val="6FD926BF"/>
    <w:rsid w:val="6FE55E12"/>
    <w:rsid w:val="6FE73160"/>
    <w:rsid w:val="6FFB2E76"/>
    <w:rsid w:val="708F6F7F"/>
    <w:rsid w:val="70D94BD3"/>
    <w:rsid w:val="71574775"/>
    <w:rsid w:val="71C34D91"/>
    <w:rsid w:val="725F0E08"/>
    <w:rsid w:val="72DB435C"/>
    <w:rsid w:val="72E2613A"/>
    <w:rsid w:val="72F771F4"/>
    <w:rsid w:val="73934AD2"/>
    <w:rsid w:val="74CE5CAC"/>
    <w:rsid w:val="750837F0"/>
    <w:rsid w:val="753C5CEB"/>
    <w:rsid w:val="754758CF"/>
    <w:rsid w:val="75595ECD"/>
    <w:rsid w:val="764F62AB"/>
    <w:rsid w:val="765C45EC"/>
    <w:rsid w:val="768A7619"/>
    <w:rsid w:val="76BD23AB"/>
    <w:rsid w:val="76CE2AF9"/>
    <w:rsid w:val="772E1EBA"/>
    <w:rsid w:val="77AC051A"/>
    <w:rsid w:val="781926BC"/>
    <w:rsid w:val="796D60A4"/>
    <w:rsid w:val="79A031D5"/>
    <w:rsid w:val="79B47FDF"/>
    <w:rsid w:val="79E569A9"/>
    <w:rsid w:val="7A1525F7"/>
    <w:rsid w:val="7AE448ED"/>
    <w:rsid w:val="7B420052"/>
    <w:rsid w:val="7BD06A28"/>
    <w:rsid w:val="7C3A7C0B"/>
    <w:rsid w:val="7C5248E4"/>
    <w:rsid w:val="7C566698"/>
    <w:rsid w:val="7C5866A3"/>
    <w:rsid w:val="7D7406BB"/>
    <w:rsid w:val="7DE94331"/>
    <w:rsid w:val="7F446A19"/>
    <w:rsid w:val="7F7452B9"/>
    <w:rsid w:val="7FB61155"/>
    <w:rsid w:val="F7FDE878"/>
    <w:rsid w:val="FCF6F7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10281</Words>
  <Characters>24537</Characters>
  <Lines>186</Lines>
  <Paragraphs>52</Paragraphs>
  <TotalTime>11</TotalTime>
  <ScaleCrop>false</ScaleCrop>
  <LinksUpToDate>false</LinksUpToDate>
  <CharactersWithSpaces>25433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2025-10-15T03:21:40Z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