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重庆市长寿区养老服务指导中心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基本情况</w:t>
      </w:r>
    </w:p>
    <w:p>
      <w:pPr>
        <w:pStyle w:val="6"/>
        <w:shd w:val="clear" w:color="auto" w:fill="auto"/>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本单位</w:t>
      </w:r>
      <w:r>
        <w:rPr>
          <w:rFonts w:hint="default" w:ascii="Times New Roman" w:hAnsi="Times New Roman" w:eastAsia="方正仿宋_GBK" w:cs="Times New Roman"/>
          <w:sz w:val="32"/>
          <w:szCs w:val="32"/>
        </w:rPr>
        <w:t>职能职责</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开展全区养老服务体系建设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负责养老机构（包括敬老院福利院）业务指导工作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负责社区居家养老服务指导工作等。</w:t>
      </w:r>
    </w:p>
    <w:p>
      <w:pPr>
        <w:pStyle w:val="6"/>
        <w:shd w:val="clear" w:color="auto" w:fill="auto"/>
        <w:spacing w:beforeAutospacing="0" w:afterAutospacing="0" w:line="594" w:lineRule="exact"/>
        <w:ind w:firstLine="643" w:firstLineChars="20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本单位属于公益一类事业单位，核定编制4人，实有4人，无下级预算单位</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决算</w:t>
      </w:r>
      <w:r>
        <w:rPr>
          <w:rStyle w:val="10"/>
          <w:rFonts w:hint="default" w:ascii="Times New Roman" w:hAnsi="Times New Roman" w:eastAsia="黑体" w:cs="Times New Roman"/>
          <w:b w:val="0"/>
          <w:bCs/>
          <w:sz w:val="32"/>
          <w:szCs w:val="32"/>
          <w:shd w:val="clear" w:color="auto" w:fill="FFFFFF"/>
          <w:lang w:eastAsia="zh-CN"/>
        </w:rPr>
        <w:t>收支</w:t>
      </w:r>
      <w:r>
        <w:rPr>
          <w:rStyle w:val="10"/>
          <w:rFonts w:hint="default" w:ascii="Times New Roman" w:hAnsi="Times New Roman" w:eastAsia="黑体" w:cs="Times New Roman"/>
          <w:b w:val="0"/>
          <w:bCs/>
          <w:sz w:val="32"/>
          <w:szCs w:val="32"/>
          <w:shd w:val="clear" w:color="auto" w:fill="FFFFFF"/>
        </w:rPr>
        <w:t>情况说明</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bookmarkStart w:id="0" w:name="_GoBack"/>
      <w:bookmarkEnd w:id="0"/>
    </w:p>
    <w:p>
      <w:pPr>
        <w:pStyle w:val="6"/>
        <w:shd w:val="clear" w:color="auto" w:fill="auto"/>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度收入总计152.30万元，支出总计</w:t>
      </w:r>
      <w:r>
        <w:rPr>
          <w:rFonts w:hint="default" w:ascii="Times New Roman" w:hAnsi="Times New Roman" w:eastAsia="方正仿宋_GBK" w:cs="Times New Roman"/>
          <w:sz w:val="32"/>
          <w:szCs w:val="32"/>
        </w:rPr>
        <w:t>152.30</w:t>
      </w:r>
      <w:r>
        <w:rPr>
          <w:rFonts w:hint="default" w:ascii="Times New Roman" w:hAnsi="Times New Roman" w:eastAsia="方正仿宋_GBK" w:cs="Times New Roman"/>
          <w:sz w:val="32"/>
          <w:szCs w:val="32"/>
          <w:shd w:val="clear" w:color="auto" w:fill="FFFFFF"/>
        </w:rPr>
        <w:t>万元。收、支与2023年度相比，增加152.30万元，增长100.0%，主要原因是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度收入合计152.30万元，与2023年度相比，增加152.30万元，增长100.0%，主要原因是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152.30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w:t>
      </w:r>
      <w:r>
        <w:rPr>
          <w:rFonts w:hint="default" w:ascii="Times New Roman" w:hAnsi="Times New Roman" w:eastAsia="方正仿宋_GBK" w:cs="Times New Roman"/>
          <w:sz w:val="32"/>
          <w:szCs w:val="32"/>
          <w:highlight w:val="none"/>
          <w:shd w:val="clear" w:color="auto" w:fill="FFFFFF"/>
        </w:rPr>
        <w:t>。此外，使用非财政拨款结余（含专用结余）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152.30</w:t>
      </w:r>
      <w:r>
        <w:rPr>
          <w:rFonts w:hint="default" w:ascii="Times New Roman" w:hAnsi="Times New Roman" w:eastAsia="方正仿宋_GBK" w:cs="Times New Roman"/>
          <w:sz w:val="32"/>
          <w:szCs w:val="32"/>
          <w:shd w:val="clear" w:color="auto" w:fill="FFFFFF"/>
        </w:rPr>
        <w:t>万元，与2023年度相比，增加152.30万元，增长100.0%，主要原因是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74.88</w:t>
      </w:r>
      <w:r>
        <w:rPr>
          <w:rFonts w:hint="default" w:ascii="Times New Roman" w:hAnsi="Times New Roman" w:eastAsia="方正仿宋_GBK" w:cs="Times New Roman"/>
          <w:sz w:val="32"/>
          <w:szCs w:val="32"/>
          <w:shd w:val="clear" w:color="auto" w:fill="FFFFFF"/>
        </w:rPr>
        <w:t>万元，占49.2%；项目支出</w:t>
      </w:r>
      <w:r>
        <w:rPr>
          <w:rFonts w:hint="default" w:ascii="Times New Roman" w:hAnsi="Times New Roman" w:eastAsia="方正仿宋_GBK" w:cs="Times New Roman"/>
          <w:sz w:val="32"/>
          <w:szCs w:val="32"/>
        </w:rPr>
        <w:t>77.42</w:t>
      </w:r>
      <w:r>
        <w:rPr>
          <w:rFonts w:hint="default" w:ascii="Times New Roman" w:hAnsi="Times New Roman" w:eastAsia="方正仿宋_GBK" w:cs="Times New Roman"/>
          <w:sz w:val="32"/>
          <w:szCs w:val="32"/>
          <w:shd w:val="clear" w:color="auto" w:fill="FFFFFF"/>
        </w:rPr>
        <w:t>万元，占50.8%；经营支出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lang w:eastAsia="zh-CN"/>
        </w:rPr>
        <w:t>。</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度财政拨款收、支总计152.30万元。与202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152.30</w:t>
      </w:r>
      <w:r>
        <w:rPr>
          <w:rFonts w:hint="default" w:ascii="Times New Roman" w:hAnsi="Times New Roman" w:eastAsia="方正仿宋_GBK" w:cs="Times New Roman"/>
          <w:sz w:val="32"/>
          <w:szCs w:val="32"/>
          <w:shd w:val="clear" w:color="auto" w:fill="FFFFFF"/>
        </w:rPr>
        <w:t>万元，与2023年度相比，增加152.30万元，增长100.0%。主要原因是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较年初预算数减少8.67万元，下降5.4%。主要原因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机构改革人员发生变化。</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152.30</w:t>
      </w:r>
      <w:r>
        <w:rPr>
          <w:rFonts w:hint="default" w:ascii="Times New Roman" w:hAnsi="Times New Roman" w:eastAsia="方正仿宋_GBK" w:cs="Times New Roman"/>
          <w:sz w:val="32"/>
          <w:szCs w:val="32"/>
          <w:shd w:val="clear" w:color="auto" w:fill="FFFFFF"/>
        </w:rPr>
        <w:t>万元，与2023年度相比，增加152.30万元，增长100.0%。主要原因是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较年初预算数减少8.67万元，下降5.4%。主要原因是</w:t>
      </w:r>
      <w:r>
        <w:rPr>
          <w:rFonts w:hint="default" w:ascii="Times New Roman" w:hAnsi="Times New Roman" w:eastAsia="方正仿宋_GBK" w:cs="Times New Roman"/>
          <w:color w:val="auto"/>
          <w:sz w:val="32"/>
          <w:szCs w:val="32"/>
          <w:shd w:val="clear" w:color="auto" w:fill="FFFFFF"/>
          <w:lang w:val="en-US" w:eastAsia="zh-CN"/>
        </w:rPr>
        <w:t>机构改革人员发生变化。</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w:t>
      </w:r>
      <w:r>
        <w:rPr>
          <w:rFonts w:hint="default" w:ascii="Times New Roman" w:hAnsi="Times New Roman" w:eastAsia="方正仿宋_GBK" w:cs="Times New Roman"/>
          <w:sz w:val="32"/>
          <w:szCs w:val="32"/>
          <w:highlight w:val="none"/>
          <w:shd w:val="clear" w:color="auto" w:fill="FFFFFF"/>
        </w:rPr>
        <w:t>保障</w:t>
      </w:r>
      <w:r>
        <w:rPr>
          <w:rFonts w:hint="default" w:ascii="Times New Roman" w:hAnsi="Times New Roman" w:eastAsia="方正仿宋_GBK" w:cs="Times New Roman"/>
          <w:sz w:val="32"/>
          <w:szCs w:val="32"/>
          <w:highlight w:val="none"/>
          <w:shd w:val="clear" w:color="auto" w:fill="FFFFFF"/>
          <w:lang w:eastAsia="zh-CN"/>
        </w:rPr>
        <w:t>和</w:t>
      </w:r>
      <w:r>
        <w:rPr>
          <w:rFonts w:hint="default" w:ascii="Times New Roman" w:hAnsi="Times New Roman" w:eastAsia="方正仿宋_GBK" w:cs="Times New Roman"/>
          <w:sz w:val="32"/>
          <w:szCs w:val="32"/>
          <w:highlight w:val="none"/>
          <w:shd w:val="clear" w:color="auto" w:fill="FFFFFF"/>
        </w:rPr>
        <w:t>就业支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145.36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95.5%</w:t>
      </w:r>
      <w:r>
        <w:rPr>
          <w:rFonts w:hint="default" w:ascii="Times New Roman" w:hAnsi="Times New Roman" w:eastAsia="方正仿宋_GBK" w:cs="Times New Roman"/>
          <w:sz w:val="32"/>
          <w:szCs w:val="32"/>
          <w:shd w:val="clear" w:color="auto" w:fill="FFFFFF"/>
        </w:rPr>
        <w:t>，较年初预算数减少8.45万元，下降5.5%，主要原因是人员变化及项目救助帮扶对象人数减少</w:t>
      </w:r>
      <w:r>
        <w:rPr>
          <w:rFonts w:hint="default" w:ascii="Times New Roman" w:hAnsi="Times New Roman" w:eastAsia="方正仿宋_GBK" w:cs="Times New Roman"/>
          <w:sz w:val="32"/>
          <w:szCs w:val="32"/>
          <w:shd w:val="clear" w:color="auto" w:fill="FFFFFF"/>
          <w:lang w:val="en-US" w:eastAsia="zh-CN"/>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shd w:val="clear" w:color="auto" w:fill="FFFFFF"/>
        </w:rPr>
        <w:t>，较年初预算数增加0.23万元，增长6.7%，主要原因是人员变化导致</w:t>
      </w:r>
      <w:r>
        <w:rPr>
          <w:rFonts w:hint="default" w:ascii="Times New Roman" w:hAnsi="Times New Roman" w:eastAsia="方正仿宋_GBK" w:cs="Times New Roman"/>
          <w:sz w:val="32"/>
          <w:szCs w:val="32"/>
          <w:shd w:val="clear" w:color="auto" w:fill="FFFFFF"/>
          <w:lang w:val="en-US" w:eastAsia="zh-CN"/>
        </w:rPr>
        <w:t>缴费基数发生变化。</w:t>
      </w:r>
    </w:p>
    <w:p>
      <w:pPr>
        <w:spacing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，较年初预算数减少0.04万元，下降1.2%，主要原因是人员变化导致</w:t>
      </w:r>
      <w:r>
        <w:rPr>
          <w:rFonts w:hint="default" w:ascii="Times New Roman" w:hAnsi="Times New Roman" w:eastAsia="方正仿宋_GBK" w:cs="Times New Roman"/>
          <w:sz w:val="32"/>
          <w:szCs w:val="32"/>
          <w:shd w:val="clear" w:color="auto" w:fill="FFFFFF"/>
          <w:lang w:val="en-US" w:eastAsia="zh-CN"/>
        </w:rPr>
        <w:t>缴费基数发生变化。</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度一般公共预算财政拨款基本支出</w:t>
      </w:r>
      <w:r>
        <w:rPr>
          <w:rFonts w:hint="default" w:ascii="Times New Roman" w:hAnsi="Times New Roman" w:eastAsia="方正仿宋_GBK" w:cs="Times New Roman"/>
          <w:sz w:val="32"/>
          <w:szCs w:val="32"/>
        </w:rPr>
        <w:t>74.88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66.26</w:t>
      </w:r>
      <w:r>
        <w:rPr>
          <w:rFonts w:hint="default" w:ascii="Times New Roman" w:hAnsi="Times New Roman" w:eastAsia="方正仿宋_GBK" w:cs="Times New Roman"/>
          <w:sz w:val="32"/>
          <w:szCs w:val="32"/>
          <w:shd w:val="clear" w:color="auto" w:fill="FFFFFF"/>
        </w:rPr>
        <w:t>万元，与2023年度相比，增加66.26万元，增长100.0%，主要原因是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w:t>
      </w:r>
      <w:r>
        <w:rPr>
          <w:rFonts w:hint="default" w:ascii="Times New Roman" w:hAnsi="Times New Roman" w:eastAsia="方正仿宋_GBK" w:cs="Times New Roman"/>
          <w:color w:val="auto"/>
          <w:sz w:val="32"/>
          <w:szCs w:val="32"/>
          <w:shd w:val="clear" w:color="auto" w:fill="FFFFFF"/>
          <w:lang w:eastAsia="zh-CN"/>
        </w:rPr>
        <w:t>社保、住房公积金、</w:t>
      </w:r>
      <w:r>
        <w:rPr>
          <w:rFonts w:hint="default" w:ascii="Times New Roman" w:hAnsi="Times New Roman" w:eastAsia="方正仿宋_GBK" w:cs="Times New Roman"/>
          <w:color w:val="auto"/>
          <w:sz w:val="32"/>
          <w:szCs w:val="32"/>
          <w:shd w:val="clear" w:color="auto" w:fill="FFFFFF"/>
          <w:lang w:val="en-US" w:eastAsia="zh-CN"/>
        </w:rPr>
        <w:t>超额绩效等。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8.62</w:t>
      </w:r>
      <w:r>
        <w:rPr>
          <w:rFonts w:hint="default" w:ascii="Times New Roman" w:hAnsi="Times New Roman" w:eastAsia="方正仿宋_GBK" w:cs="Times New Roman"/>
          <w:sz w:val="32"/>
          <w:szCs w:val="32"/>
          <w:shd w:val="clear" w:color="auto" w:fill="FFFFFF"/>
        </w:rPr>
        <w:t>万元，与2023年度相比，增加8.62万元，增长100.0%，主要原因是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r>
        <w:rPr>
          <w:rFonts w:hint="default" w:ascii="Times New Roman" w:hAnsi="Times New Roman" w:eastAsia="方正仿宋_GBK" w:cs="Times New Roman"/>
          <w:sz w:val="32"/>
          <w:szCs w:val="32"/>
          <w:shd w:val="clear" w:color="auto" w:fill="FFFFFF"/>
        </w:rPr>
        <w:t>公用</w:t>
      </w:r>
      <w:r>
        <w:rPr>
          <w:rFonts w:hint="default" w:ascii="Times New Roman" w:hAnsi="Times New Roman" w:eastAsia="方正仿宋_GBK" w:cs="Times New Roman"/>
          <w:color w:val="auto"/>
          <w:sz w:val="32"/>
          <w:szCs w:val="32"/>
          <w:shd w:val="clear" w:color="auto" w:fill="FFFFFF"/>
        </w:rPr>
        <w:t>经费用途主要包括</w:t>
      </w:r>
      <w:r>
        <w:rPr>
          <w:rFonts w:hint="default" w:ascii="Times New Roman" w:hAnsi="Times New Roman" w:eastAsia="方正仿宋_GBK" w:cs="Times New Roman"/>
          <w:color w:val="auto"/>
          <w:sz w:val="32"/>
          <w:szCs w:val="32"/>
          <w:shd w:val="clear" w:color="auto" w:fill="FFFFFF"/>
          <w:lang w:val="en-US" w:eastAsia="zh-CN"/>
        </w:rPr>
        <w:t>办公费、公务接待费</w:t>
      </w:r>
      <w:r>
        <w:rPr>
          <w:rFonts w:hint="default" w:ascii="Times New Roman" w:hAnsi="Times New Roman" w:eastAsia="方正仿宋_GBK" w:cs="Times New Roman"/>
          <w:color w:val="auto"/>
          <w:sz w:val="32"/>
          <w:szCs w:val="32"/>
          <w:shd w:val="clear" w:color="auto" w:fill="FFFFFF"/>
          <w:lang w:eastAsia="zh-CN"/>
        </w:rPr>
        <w:t>、邮电费</w:t>
      </w:r>
      <w:r>
        <w:rPr>
          <w:rFonts w:hint="default" w:ascii="Times New Roman" w:hAnsi="Times New Roman" w:eastAsia="方正仿宋_GBK" w:cs="Times New Roman"/>
          <w:color w:val="auto"/>
          <w:sz w:val="32"/>
          <w:szCs w:val="32"/>
          <w:shd w:val="clear" w:color="auto" w:fill="FFFFFF"/>
          <w:lang w:val="en-US" w:eastAsia="zh-CN"/>
        </w:rPr>
        <w:t>等。</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度国有资本经营预算财政拨款本年支出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度无国有资本经营预算财政拨款支出。</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三、</w:t>
      </w:r>
      <w:r>
        <w:rPr>
          <w:rStyle w:val="10"/>
          <w:rFonts w:hint="default" w:ascii="Times New Roman" w:hAnsi="Times New Roman" w:eastAsia="黑体" w:cs="Times New Roman"/>
          <w:b w:val="0"/>
          <w:bCs/>
          <w:sz w:val="32"/>
          <w:szCs w:val="32"/>
          <w:shd w:val="clear" w:color="auto" w:fill="FFFFFF"/>
          <w:lang w:eastAsia="zh-CN"/>
        </w:rPr>
        <w:t>财政拨款</w:t>
      </w:r>
      <w:r>
        <w:rPr>
          <w:rStyle w:val="10"/>
          <w:rFonts w:hint="default" w:ascii="Times New Roman" w:hAnsi="Times New Roman" w:eastAsia="黑体" w:cs="Times New Roman"/>
          <w:b w:val="0"/>
          <w:bCs/>
          <w:sz w:val="32"/>
          <w:szCs w:val="32"/>
          <w:shd w:val="clear" w:color="auto" w:fill="FFFFFF"/>
        </w:rPr>
        <w:t>“三公”经费情况说明</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val="en-US" w:eastAsia="zh-CN"/>
        </w:rPr>
        <w:t>未产生三公经费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本年度未购置车辆</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highlight w:val="none"/>
          <w:shd w:val="clear" w:color="auto" w:fill="FFFFFF"/>
        </w:rPr>
        <w:t>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w:t>
      </w:r>
      <w:r>
        <w:rPr>
          <w:rFonts w:hint="default" w:ascii="Times New Roman" w:hAnsi="Times New Roman" w:eastAsia="方正仿宋_GBK" w:cs="Times New Roman"/>
          <w:sz w:val="32"/>
          <w:szCs w:val="32"/>
          <w:shd w:val="clear" w:color="auto" w:fill="FFFFFF"/>
        </w:rPr>
        <w:t>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无维护费产生。</w:t>
      </w:r>
      <w:r>
        <w:rPr>
          <w:rFonts w:hint="default" w:ascii="Times New Roman" w:hAnsi="Times New Roman" w:eastAsia="方正仿宋_GBK" w:cs="Times New Roman"/>
          <w:sz w:val="32"/>
          <w:szCs w:val="32"/>
          <w:shd w:val="clear" w:color="auto" w:fill="FFFFFF"/>
        </w:rPr>
        <w:t>费用支出较年初预算数无</w:t>
      </w:r>
      <w:r>
        <w:rPr>
          <w:rFonts w:hint="default" w:ascii="Times New Roman" w:hAnsi="Times New Roman" w:eastAsia="方正仿宋_GBK" w:cs="Times New Roman"/>
          <w:sz w:val="32"/>
          <w:szCs w:val="32"/>
          <w:shd w:val="clear" w:color="auto" w:fill="FFFFFF"/>
          <w:lang w:val="en-US" w:eastAsia="zh-CN"/>
        </w:rPr>
        <w:t>增减变化。</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无公务接待费发生。</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变化。</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w:t>
      </w:r>
      <w:r>
        <w:rPr>
          <w:rFonts w:hint="default" w:ascii="Times New Roman" w:hAnsi="Times New Roman" w:eastAsia="方正仿宋_GBK" w:cs="Times New Roman"/>
          <w:sz w:val="32"/>
          <w:szCs w:val="32"/>
          <w:shd w:val="clear" w:color="auto" w:fill="FFFFFF"/>
        </w:rPr>
        <w:t>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四、其他需要说明的事项</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万元，与2023年度相比，增加0.01万元，增长100.0%，主要原因是</w:t>
      </w:r>
      <w:r>
        <w:rPr>
          <w:rFonts w:hint="default" w:ascii="Times New Roman" w:hAnsi="Times New Roman" w:eastAsia="方正仿宋_GBK" w:cs="Times New Roman"/>
          <w:sz w:val="32"/>
          <w:szCs w:val="32"/>
          <w:shd w:val="clear" w:color="auto" w:fill="FFFFFF"/>
          <w:lang w:val="en-US" w:eastAsia="zh-CN"/>
        </w:rPr>
        <w:t>2023年在局机关本级进行决算，2024年按相关规定作为独立法人单位进行决算。</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spacing w:line="594" w:lineRule="exact"/>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度我单位未发生政府采购事项，无相关经费支出。</w:t>
      </w:r>
    </w:p>
    <w:p>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Style w:val="10"/>
          <w:rFonts w:hint="default" w:ascii="Times New Roman" w:hAnsi="Times New Roman" w:eastAsia="仿宋" w:cs="Times New Roman"/>
          <w:sz w:val="32"/>
          <w:szCs w:val="32"/>
          <w:highlight w:val="none"/>
          <w:shd w:val="clear" w:color="auto" w:fill="FFFFFF"/>
        </w:rPr>
      </w:pPr>
      <w:r>
        <w:rPr>
          <w:rFonts w:hint="default" w:ascii="Times New Roman" w:hAnsi="Times New Roman" w:eastAsia="方正黑体_GBK" w:cs="Times New Roman"/>
          <w:color w:val="000000"/>
          <w:kern w:val="0"/>
          <w:sz w:val="32"/>
          <w:szCs w:val="32"/>
          <w:highlight w:val="none"/>
        </w:rPr>
        <w:t>五、预算绩效管理情况说明</w:t>
      </w:r>
    </w:p>
    <w:p>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kern w:val="0"/>
          <w:sz w:val="32"/>
          <w:szCs w:val="32"/>
          <w:highlight w:val="none"/>
          <w:lang w:val="en-US" w:eastAsia="zh-CN" w:bidi="ar"/>
        </w:rPr>
        <w:t>根据预算绩效管理要求，我单位对1个项目开展了绩效自评，涉及财政拨款项目支出资金77.42万元。</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b w:val="0"/>
          <w:kern w:val="2"/>
          <w:sz w:val="32"/>
          <w:szCs w:val="32"/>
          <w:highlight w:val="none"/>
          <w:shd w:val="clear" w:color="auto" w:fill="FFFFFF"/>
          <w:lang w:val="en-US" w:eastAsia="zh-CN" w:bidi="ar"/>
        </w:rPr>
        <w:t>（二）</w:t>
      </w:r>
      <w:r>
        <w:rPr>
          <w:rFonts w:hint="default" w:ascii="Times New Roman" w:hAnsi="Times New Roman" w:eastAsia="方正楷体_GBK" w:cs="Times New Roman"/>
          <w:kern w:val="0"/>
          <w:sz w:val="32"/>
          <w:szCs w:val="32"/>
          <w:highlight w:val="none"/>
          <w:lang w:val="en-US" w:eastAsia="zh-CN" w:bidi="ar"/>
        </w:rPr>
        <w:t>绩效自评结果</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kern w:val="2"/>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lang w:val="en-US" w:eastAsia="zh-CN" w:bidi="ar"/>
        </w:rPr>
        <w:t>绩效自评结果详见附件2024年度绩效自评公开表（《项目绩效自评结果汇总表》、《项目支出绩效自评表》）。</w:t>
      </w:r>
    </w:p>
    <w:p>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区财政局未委托第三方对我单位开展绩效评价。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bCs/>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0"/>
          <w:rFonts w:hint="default" w:ascii="Times New Roman" w:hAnsi="Times New Roman" w:eastAsia="黑体" w:cs="Times New Roman"/>
          <w:sz w:val="32"/>
          <w:szCs w:val="32"/>
          <w:shd w:val="clear" w:color="auto" w:fill="FFFFFF"/>
          <w:lang w:val="en-US" w:eastAsia="zh-CN" w:bidi="ar-SA"/>
        </w:rPr>
        <w:t xml:space="preserve"> </w:t>
      </w:r>
      <w:r>
        <w:rPr>
          <w:rStyle w:val="10"/>
          <w:rFonts w:hint="default" w:ascii="Times New Roman" w:hAnsi="Times New Roman" w:eastAsia="黑体" w:cs="Times New Roman"/>
          <w:b w:val="0"/>
          <w:bCs/>
          <w:sz w:val="32"/>
          <w:szCs w:val="32"/>
          <w:shd w:val="clear" w:color="auto" w:fill="FFFFFF"/>
          <w:lang w:val="en-US" w:eastAsia="zh-CN" w:bidi="ar-SA"/>
        </w:rPr>
        <w:t>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Cs/>
          <w:kern w:val="0"/>
          <w:sz w:val="32"/>
          <w:szCs w:val="32"/>
        </w:rPr>
      </w:pPr>
      <w:r>
        <w:rPr>
          <w:rStyle w:val="10"/>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本单位决算公开信息反馈和联系方式：023-40244078</w:t>
      </w:r>
    </w:p>
    <w:p>
      <w:pPr>
        <w:spacing w:line="594" w:lineRule="exact"/>
        <w:rPr>
          <w:rFonts w:hint="default" w:ascii="Times New Roman" w:hAnsi="Times New Roman"/>
          <w:sz w:val="18"/>
          <w:szCs w:val="18"/>
        </w:rPr>
      </w:pPr>
    </w:p>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DB4D39"/>
    <w:rsid w:val="03B87EA0"/>
    <w:rsid w:val="03E3214F"/>
    <w:rsid w:val="044C50BA"/>
    <w:rsid w:val="05755AB5"/>
    <w:rsid w:val="05BC6D49"/>
    <w:rsid w:val="06194FF1"/>
    <w:rsid w:val="06A2550B"/>
    <w:rsid w:val="06F80EE2"/>
    <w:rsid w:val="07001CCA"/>
    <w:rsid w:val="07523E42"/>
    <w:rsid w:val="075678DB"/>
    <w:rsid w:val="077B465F"/>
    <w:rsid w:val="079D7CC7"/>
    <w:rsid w:val="08051BCA"/>
    <w:rsid w:val="081B4D16"/>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6D222C"/>
    <w:rsid w:val="0C7927C4"/>
    <w:rsid w:val="0C9B098C"/>
    <w:rsid w:val="0D673E11"/>
    <w:rsid w:val="0D8F1A4E"/>
    <w:rsid w:val="0DDA54E4"/>
    <w:rsid w:val="0E3A5F83"/>
    <w:rsid w:val="0E5B0D44"/>
    <w:rsid w:val="0F836721"/>
    <w:rsid w:val="0FA25D96"/>
    <w:rsid w:val="10524857"/>
    <w:rsid w:val="107B59E5"/>
    <w:rsid w:val="10810F58"/>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9670F4"/>
    <w:rsid w:val="163A6CEE"/>
    <w:rsid w:val="173708E3"/>
    <w:rsid w:val="17A1375C"/>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3B21E9A"/>
    <w:rsid w:val="24B92327"/>
    <w:rsid w:val="24C14514"/>
    <w:rsid w:val="24E37FCC"/>
    <w:rsid w:val="252D4D73"/>
    <w:rsid w:val="2533755C"/>
    <w:rsid w:val="25791755"/>
    <w:rsid w:val="26396DF4"/>
    <w:rsid w:val="27167136"/>
    <w:rsid w:val="271B442C"/>
    <w:rsid w:val="27B23302"/>
    <w:rsid w:val="27ED61D0"/>
    <w:rsid w:val="281F18CC"/>
    <w:rsid w:val="28521CAE"/>
    <w:rsid w:val="28D37765"/>
    <w:rsid w:val="29100B14"/>
    <w:rsid w:val="29310A5F"/>
    <w:rsid w:val="29C37A35"/>
    <w:rsid w:val="2A076083"/>
    <w:rsid w:val="2A73162E"/>
    <w:rsid w:val="2A76270D"/>
    <w:rsid w:val="2B167953"/>
    <w:rsid w:val="2B200583"/>
    <w:rsid w:val="2B2729C0"/>
    <w:rsid w:val="2B8209DE"/>
    <w:rsid w:val="2B821C91"/>
    <w:rsid w:val="2BF81A22"/>
    <w:rsid w:val="2C636760"/>
    <w:rsid w:val="2C6762A3"/>
    <w:rsid w:val="2CC0018F"/>
    <w:rsid w:val="2E402A7A"/>
    <w:rsid w:val="2FCA4B37"/>
    <w:rsid w:val="2FE029D7"/>
    <w:rsid w:val="2FF06E00"/>
    <w:rsid w:val="30586FEC"/>
    <w:rsid w:val="30BE67FD"/>
    <w:rsid w:val="315F0B22"/>
    <w:rsid w:val="31673D54"/>
    <w:rsid w:val="31A15828"/>
    <w:rsid w:val="31D84415"/>
    <w:rsid w:val="32285F6F"/>
    <w:rsid w:val="32770556"/>
    <w:rsid w:val="329C0913"/>
    <w:rsid w:val="32AA0460"/>
    <w:rsid w:val="3337290D"/>
    <w:rsid w:val="33E31118"/>
    <w:rsid w:val="33EF7674"/>
    <w:rsid w:val="342D7BC6"/>
    <w:rsid w:val="34B16714"/>
    <w:rsid w:val="352930DB"/>
    <w:rsid w:val="35573069"/>
    <w:rsid w:val="355F6038"/>
    <w:rsid w:val="358C217E"/>
    <w:rsid w:val="364454FF"/>
    <w:rsid w:val="36C9128A"/>
    <w:rsid w:val="37841E99"/>
    <w:rsid w:val="37BF1123"/>
    <w:rsid w:val="3832026F"/>
    <w:rsid w:val="383C3F15"/>
    <w:rsid w:val="387A0F38"/>
    <w:rsid w:val="38BE4696"/>
    <w:rsid w:val="3939115E"/>
    <w:rsid w:val="39B82A39"/>
    <w:rsid w:val="39C42CA8"/>
    <w:rsid w:val="39DC4FD6"/>
    <w:rsid w:val="39F03D7A"/>
    <w:rsid w:val="39F33306"/>
    <w:rsid w:val="3A0E42BE"/>
    <w:rsid w:val="3A2C1C67"/>
    <w:rsid w:val="3A6A77C9"/>
    <w:rsid w:val="3ADD7F09"/>
    <w:rsid w:val="3B1705E5"/>
    <w:rsid w:val="3B18334B"/>
    <w:rsid w:val="3B252F49"/>
    <w:rsid w:val="3B36794F"/>
    <w:rsid w:val="3B6F6EE0"/>
    <w:rsid w:val="3BE53517"/>
    <w:rsid w:val="3C566AD6"/>
    <w:rsid w:val="3C594871"/>
    <w:rsid w:val="3C6A5B02"/>
    <w:rsid w:val="3D083B3A"/>
    <w:rsid w:val="3D2757A1"/>
    <w:rsid w:val="3D3D4FC4"/>
    <w:rsid w:val="3D4F7067"/>
    <w:rsid w:val="3D6D2A68"/>
    <w:rsid w:val="3DDA53A3"/>
    <w:rsid w:val="3DDF3AB1"/>
    <w:rsid w:val="3E1D0952"/>
    <w:rsid w:val="3E42660A"/>
    <w:rsid w:val="3E7555B1"/>
    <w:rsid w:val="3E787ED9"/>
    <w:rsid w:val="3EFE5B6B"/>
    <w:rsid w:val="3F032E93"/>
    <w:rsid w:val="3F0527E5"/>
    <w:rsid w:val="3F4C52C6"/>
    <w:rsid w:val="3F694D83"/>
    <w:rsid w:val="3F885DCC"/>
    <w:rsid w:val="3FCD675E"/>
    <w:rsid w:val="4004000C"/>
    <w:rsid w:val="40760DD1"/>
    <w:rsid w:val="40BD5482"/>
    <w:rsid w:val="411B6CE5"/>
    <w:rsid w:val="412070D7"/>
    <w:rsid w:val="41314E40"/>
    <w:rsid w:val="41BF2BBB"/>
    <w:rsid w:val="41E0734B"/>
    <w:rsid w:val="426C1EA8"/>
    <w:rsid w:val="42736402"/>
    <w:rsid w:val="42E86A87"/>
    <w:rsid w:val="43307B09"/>
    <w:rsid w:val="439A3EB9"/>
    <w:rsid w:val="43BB152F"/>
    <w:rsid w:val="444913E8"/>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A92A9B"/>
    <w:rsid w:val="4BFB7773"/>
    <w:rsid w:val="4C6870EB"/>
    <w:rsid w:val="4D1F53CA"/>
    <w:rsid w:val="4D5953F8"/>
    <w:rsid w:val="4DAC4ACA"/>
    <w:rsid w:val="4DBE01D2"/>
    <w:rsid w:val="4EFD467F"/>
    <w:rsid w:val="4F0C6BA3"/>
    <w:rsid w:val="4F186D58"/>
    <w:rsid w:val="504B6EAA"/>
    <w:rsid w:val="50F06B6E"/>
    <w:rsid w:val="51D21804"/>
    <w:rsid w:val="52234D33"/>
    <w:rsid w:val="522F6E0C"/>
    <w:rsid w:val="52463BA1"/>
    <w:rsid w:val="52F163D4"/>
    <w:rsid w:val="52F50BF9"/>
    <w:rsid w:val="531A2DB4"/>
    <w:rsid w:val="53C0244D"/>
    <w:rsid w:val="53DD4D4E"/>
    <w:rsid w:val="53E578CE"/>
    <w:rsid w:val="541330F0"/>
    <w:rsid w:val="54272666"/>
    <w:rsid w:val="543B029D"/>
    <w:rsid w:val="545E029B"/>
    <w:rsid w:val="54861779"/>
    <w:rsid w:val="55084A4C"/>
    <w:rsid w:val="552256E1"/>
    <w:rsid w:val="554E5773"/>
    <w:rsid w:val="555829E0"/>
    <w:rsid w:val="555A3CBC"/>
    <w:rsid w:val="5582012B"/>
    <w:rsid w:val="558E4E05"/>
    <w:rsid w:val="55BE2E85"/>
    <w:rsid w:val="56530F5D"/>
    <w:rsid w:val="567700D3"/>
    <w:rsid w:val="56FF7E9E"/>
    <w:rsid w:val="57145CC0"/>
    <w:rsid w:val="578867FC"/>
    <w:rsid w:val="57915F1B"/>
    <w:rsid w:val="582632A6"/>
    <w:rsid w:val="5842572D"/>
    <w:rsid w:val="5A3B59D6"/>
    <w:rsid w:val="5AD134D8"/>
    <w:rsid w:val="5BF41F67"/>
    <w:rsid w:val="5C263CE4"/>
    <w:rsid w:val="5C525B41"/>
    <w:rsid w:val="5C5D2777"/>
    <w:rsid w:val="5CF66BF3"/>
    <w:rsid w:val="5D290C69"/>
    <w:rsid w:val="5DA80C2C"/>
    <w:rsid w:val="5EAF2A8F"/>
    <w:rsid w:val="5F2D4A41"/>
    <w:rsid w:val="5F516DDF"/>
    <w:rsid w:val="5F75EFF6"/>
    <w:rsid w:val="60C74F6C"/>
    <w:rsid w:val="61015958"/>
    <w:rsid w:val="61025A59"/>
    <w:rsid w:val="613D5BBC"/>
    <w:rsid w:val="61536C39"/>
    <w:rsid w:val="62944DD7"/>
    <w:rsid w:val="6319381F"/>
    <w:rsid w:val="63A27635"/>
    <w:rsid w:val="63C25DC5"/>
    <w:rsid w:val="63C62057"/>
    <w:rsid w:val="64571EF5"/>
    <w:rsid w:val="648176E8"/>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5D51EA"/>
    <w:rsid w:val="696C0310"/>
    <w:rsid w:val="69BE0DE5"/>
    <w:rsid w:val="69C62ADF"/>
    <w:rsid w:val="6A6C7940"/>
    <w:rsid w:val="6A8919DC"/>
    <w:rsid w:val="6A9F1565"/>
    <w:rsid w:val="6AAD2300"/>
    <w:rsid w:val="6B474EF5"/>
    <w:rsid w:val="6BC938E5"/>
    <w:rsid w:val="6C0A5AC5"/>
    <w:rsid w:val="6C560CAE"/>
    <w:rsid w:val="6C576495"/>
    <w:rsid w:val="6C693830"/>
    <w:rsid w:val="6D903FF5"/>
    <w:rsid w:val="6DA955B8"/>
    <w:rsid w:val="6DE346AB"/>
    <w:rsid w:val="6DE5391A"/>
    <w:rsid w:val="6ED000F6"/>
    <w:rsid w:val="6EFD1324"/>
    <w:rsid w:val="6F5A53AC"/>
    <w:rsid w:val="6FAC003D"/>
    <w:rsid w:val="6FD926BF"/>
    <w:rsid w:val="6FE55E12"/>
    <w:rsid w:val="6FE73160"/>
    <w:rsid w:val="6FFB2E76"/>
    <w:rsid w:val="708F6F7F"/>
    <w:rsid w:val="70D94BD3"/>
    <w:rsid w:val="71574775"/>
    <w:rsid w:val="71C34D91"/>
    <w:rsid w:val="725F0E08"/>
    <w:rsid w:val="72DB435C"/>
    <w:rsid w:val="72E2613A"/>
    <w:rsid w:val="72F771F4"/>
    <w:rsid w:val="73934AD2"/>
    <w:rsid w:val="750837F0"/>
    <w:rsid w:val="754758CF"/>
    <w:rsid w:val="75595ECD"/>
    <w:rsid w:val="764F62AB"/>
    <w:rsid w:val="765C45EC"/>
    <w:rsid w:val="768A7619"/>
    <w:rsid w:val="76BD23AB"/>
    <w:rsid w:val="76CE2AF9"/>
    <w:rsid w:val="772E1EBA"/>
    <w:rsid w:val="77AC051A"/>
    <w:rsid w:val="781926BC"/>
    <w:rsid w:val="796D60A4"/>
    <w:rsid w:val="79A031D5"/>
    <w:rsid w:val="79B47FDF"/>
    <w:rsid w:val="79E569A9"/>
    <w:rsid w:val="7A1525F7"/>
    <w:rsid w:val="7AE448ED"/>
    <w:rsid w:val="7B420052"/>
    <w:rsid w:val="7BD06A28"/>
    <w:rsid w:val="7C3A7C0B"/>
    <w:rsid w:val="7C5248E4"/>
    <w:rsid w:val="7C566698"/>
    <w:rsid w:val="7C5866A3"/>
    <w:rsid w:val="7D7406BB"/>
    <w:rsid w:val="7DE94331"/>
    <w:rsid w:val="7F446A19"/>
    <w:rsid w:val="7F7452B9"/>
    <w:rsid w:val="7FB61155"/>
    <w:rsid w:val="F7FDE878"/>
    <w:rsid w:val="FCF6F7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10281</Words>
  <Characters>24537</Characters>
  <Lines>186</Lines>
  <Paragraphs>52</Paragraphs>
  <TotalTime>20</TotalTime>
  <ScaleCrop>false</ScaleCrop>
  <LinksUpToDate>false</LinksUpToDate>
  <CharactersWithSpaces>25433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2025-10-15T03:16:00Z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