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before="0" w:beforeAutospacing="0" w:after="0" w:afterAutospacing="0"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重庆市长寿区殡葬管理所</w:t>
      </w:r>
    </w:p>
    <w:p>
      <w:pPr>
        <w:pStyle w:val="6"/>
        <w:shd w:val="clear"/>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shd w:val="clear"/>
        <w:spacing w:before="0" w:beforeAutospacing="0" w:after="0" w:afterAutospacing="0" w:line="596" w:lineRule="exact"/>
        <w:ind w:firstLine="640" w:firstLineChars="200"/>
        <w:rPr>
          <w:rStyle w:val="10"/>
          <w:rFonts w:hint="default" w:ascii="Times New Roman" w:hAnsi="Times New Roman" w:eastAsia="黑体" w:cs="Times New Roman"/>
          <w:sz w:val="32"/>
          <w:szCs w:val="32"/>
          <w:shd w:val="clear" w:color="auto" w:fill="FFFFFF"/>
        </w:rPr>
      </w:pP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一、单位基本情况</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17"/>
        <w:keepNext w:val="0"/>
        <w:keepLines w:val="0"/>
        <w:pageBreakBefore w:val="0"/>
        <w:shd w:val="clear"/>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22"/>
        </w:rPr>
        <w:t>重庆市长寿区殡葬管理所系重庆市长寿区民政</w:t>
      </w:r>
      <w:bookmarkStart w:id="0" w:name="_GoBack"/>
      <w:bookmarkEnd w:id="0"/>
      <w:r>
        <w:rPr>
          <w:rFonts w:hint="default" w:ascii="Times New Roman" w:hAnsi="Times New Roman" w:eastAsia="方正仿宋_GBK" w:cs="Times New Roman"/>
          <w:sz w:val="32"/>
          <w:szCs w:val="22"/>
        </w:rPr>
        <w:t>局所属二级预算单位，单位性质为财政补助事业单位。主要履行以下职责：宣传贯彻落实国家殡葬法规、方针和有关政策；制订殡葬工作规划；负责对辖区内殡葬服务单位指导、监督和管理工作；监督管理辖区内的殡葬活动，依法查处违法违规行为。</w:t>
      </w:r>
    </w:p>
    <w:p>
      <w:pPr>
        <w:pStyle w:val="6"/>
        <w:keepNext w:val="0"/>
        <w:keepLines w:val="0"/>
        <w:pageBreakBefore w:val="0"/>
        <w:shd w:val="clear"/>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17"/>
        <w:keepNext w:val="0"/>
        <w:keepLines w:val="0"/>
        <w:pageBreakBefore w:val="0"/>
        <w:shd w:val="clear"/>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本单位为重庆市长寿区民政局所属二级预算单位，单位性质为财政补助事业单位。决算编报类型为单户表，按照政府会计准则制度填报决算数据。本年机构设置无变动。</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keepNext w:val="0"/>
        <w:keepLines w:val="0"/>
        <w:pageBreakBefore w:val="0"/>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2024年度收入总计136.75万元，支出总计</w:t>
      </w:r>
      <w:r>
        <w:rPr>
          <w:rFonts w:hint="default" w:ascii="Times New Roman" w:hAnsi="Times New Roman" w:eastAsia="方正仿宋_GBK" w:cs="Times New Roman"/>
          <w:sz w:val="32"/>
          <w:szCs w:val="32"/>
        </w:rPr>
        <w:t>136.75</w:t>
      </w:r>
      <w:r>
        <w:rPr>
          <w:rFonts w:hint="default" w:ascii="Times New Roman" w:hAnsi="Times New Roman" w:eastAsia="方正仿宋_GBK" w:cs="Times New Roman"/>
          <w:sz w:val="32"/>
          <w:szCs w:val="32"/>
          <w:shd w:val="clear" w:color="auto" w:fill="FFFFFF"/>
        </w:rPr>
        <w:t>万元。收、支与2023年度相比，增加136.75万元，增长100.0%，主要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p>
    <w:p>
      <w:pPr>
        <w:keepNext w:val="0"/>
        <w:keepLines w:val="0"/>
        <w:pageBreakBefore w:val="0"/>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2024年度收入合计136.75万元，与2023年度相比，增加136.75万元，增长100.0%，主要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136.75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万元，占0.0%。此外，使用非财政拨款结余（含专用结余）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keepNext w:val="0"/>
        <w:keepLines w:val="0"/>
        <w:pageBreakBefore w:val="0"/>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仿宋_GB2312" w:cs="Times New Roman"/>
          <w:sz w:val="32"/>
          <w:szCs w:val="32"/>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136.75</w:t>
      </w:r>
      <w:r>
        <w:rPr>
          <w:rFonts w:hint="default" w:ascii="Times New Roman" w:hAnsi="Times New Roman" w:eastAsia="方正仿宋_GBK" w:cs="Times New Roman"/>
          <w:sz w:val="32"/>
          <w:szCs w:val="32"/>
          <w:shd w:val="clear" w:color="auto" w:fill="FFFFFF"/>
        </w:rPr>
        <w:t>万元，与2023年度相比，增加136.75万元，增长100.0%，主要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71.90</w:t>
      </w:r>
      <w:r>
        <w:rPr>
          <w:rFonts w:hint="default" w:ascii="Times New Roman" w:hAnsi="Times New Roman" w:eastAsia="方正仿宋_GBK" w:cs="Times New Roman"/>
          <w:sz w:val="32"/>
          <w:szCs w:val="32"/>
          <w:shd w:val="clear" w:color="auto" w:fill="FFFFFF"/>
        </w:rPr>
        <w:t>万元，占52.6%；项目支出</w:t>
      </w:r>
      <w:r>
        <w:rPr>
          <w:rFonts w:hint="default" w:ascii="Times New Roman" w:hAnsi="Times New Roman" w:eastAsia="方正仿宋_GBK" w:cs="Times New Roman"/>
          <w:sz w:val="32"/>
          <w:szCs w:val="32"/>
        </w:rPr>
        <w:t>64.85</w:t>
      </w:r>
      <w:r>
        <w:rPr>
          <w:rFonts w:hint="default" w:ascii="Times New Roman" w:hAnsi="Times New Roman" w:eastAsia="方正仿宋_GBK" w:cs="Times New Roman"/>
          <w:sz w:val="32"/>
          <w:szCs w:val="32"/>
          <w:shd w:val="clear" w:color="auto" w:fill="FFFFFF"/>
        </w:rPr>
        <w:t>万元，占47.4%；经营支出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keepNext w:val="0"/>
        <w:keepLines w:val="0"/>
        <w:pageBreakBefore w:val="0"/>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2024年度财政拨款收、支总计136.75万元。与2023年相比，财政拨款收、支总计各增加136.75万元，增长100.0%。主要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136.75</w:t>
      </w:r>
      <w:r>
        <w:rPr>
          <w:rFonts w:hint="default" w:ascii="Times New Roman" w:hAnsi="Times New Roman" w:eastAsia="方正仿宋_GBK" w:cs="Times New Roman"/>
          <w:sz w:val="32"/>
          <w:szCs w:val="32"/>
          <w:shd w:val="clear" w:color="auto" w:fill="FFFFFF"/>
        </w:rPr>
        <w:t>万元，与2023年度相比，增加136.75万元，增长100.0%。主要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r>
        <w:rPr>
          <w:rFonts w:hint="default" w:ascii="Times New Roman" w:hAnsi="Times New Roman" w:eastAsia="方正仿宋_GBK" w:cs="Times New Roman"/>
          <w:sz w:val="32"/>
          <w:szCs w:val="32"/>
          <w:shd w:val="clear" w:color="auto" w:fill="FFFFFF"/>
        </w:rPr>
        <w:t>较年初预算数增加65.23万元，增长91.2%。主要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以前年度纳入局本级进行核算，2024年起拆分为独立核算单位，且增加了公益性公墓建设等项目支出。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136.75</w:t>
      </w:r>
      <w:r>
        <w:rPr>
          <w:rFonts w:hint="default" w:ascii="Times New Roman" w:hAnsi="Times New Roman" w:eastAsia="方正仿宋_GBK" w:cs="Times New Roman"/>
          <w:sz w:val="32"/>
          <w:szCs w:val="32"/>
          <w:shd w:val="clear" w:color="auto" w:fill="FFFFFF"/>
        </w:rPr>
        <w:t>万元，与2023年度相比，增加136.75万元，增长100.0%。主要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r>
        <w:rPr>
          <w:rFonts w:hint="default" w:ascii="Times New Roman" w:hAnsi="Times New Roman" w:eastAsia="方正仿宋_GBK" w:cs="Times New Roman"/>
          <w:sz w:val="32"/>
          <w:szCs w:val="32"/>
          <w:shd w:val="clear" w:color="auto" w:fill="FFFFFF"/>
        </w:rPr>
        <w:t>较年初预算数增加65.23万元，增长91.2%。主要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，较年初预算数减少0.32万元，下降82.1%，主要原因是未开展相关培训。</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（2）社会保障和就业支出</w:t>
      </w:r>
      <w:r>
        <w:rPr>
          <w:rFonts w:hint="default" w:ascii="Times New Roman" w:hAnsi="Times New Roman" w:eastAsia="方正仿宋_GBK" w:cs="Times New Roman"/>
          <w:sz w:val="32"/>
          <w:szCs w:val="32"/>
        </w:rPr>
        <w:t>130.15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95.2%</w:t>
      </w:r>
      <w:r>
        <w:rPr>
          <w:rFonts w:hint="default" w:ascii="Times New Roman" w:hAnsi="Times New Roman" w:eastAsia="方正仿宋_GBK" w:cs="Times New Roman"/>
          <w:sz w:val="32"/>
          <w:szCs w:val="32"/>
          <w:shd w:val="clear" w:color="auto" w:fill="FFFFFF"/>
        </w:rPr>
        <w:t>，较年初预算数增加65.43万元，增长101.1%，主要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3.47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shd w:val="clear" w:color="auto" w:fill="FFFFFF"/>
        </w:rPr>
        <w:t>，较年初预算数增加0.19万元，增长5.8%，主要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p>
    <w:p>
      <w:pPr>
        <w:keepNext w:val="0"/>
        <w:keepLines w:val="0"/>
        <w:pageBreakBefore w:val="0"/>
        <w:shd w:val="clear"/>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住房保障支出3.05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shd w:val="clear" w:color="auto" w:fill="FFFFFF"/>
        </w:rPr>
        <w:t>，较年初预算数减少0.07万元，下降2.2%，主要原因是进行了住房公积金的清算。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2024年度一般公共预算财政拨款基本支出</w:t>
      </w:r>
      <w:r>
        <w:rPr>
          <w:rFonts w:hint="default" w:ascii="Times New Roman" w:hAnsi="Times New Roman" w:eastAsia="方正仿宋_GBK" w:cs="Times New Roman"/>
          <w:sz w:val="32"/>
          <w:szCs w:val="32"/>
        </w:rPr>
        <w:t>71.90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66.18</w:t>
      </w:r>
      <w:r>
        <w:rPr>
          <w:rFonts w:hint="default" w:ascii="Times New Roman" w:hAnsi="Times New Roman" w:eastAsia="方正仿宋_GBK" w:cs="Times New Roman"/>
          <w:sz w:val="32"/>
          <w:szCs w:val="32"/>
          <w:shd w:val="clear" w:color="auto" w:fill="FFFFFF"/>
        </w:rPr>
        <w:t>万元，与2023年度相比，增加66.18万元，增长100.0%，主要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r>
        <w:rPr>
          <w:rFonts w:hint="default" w:ascii="Times New Roman" w:hAnsi="Times New Roman" w:eastAsia="方正仿宋_GBK" w:cs="Times New Roman"/>
          <w:sz w:val="32"/>
          <w:szCs w:val="32"/>
          <w:shd w:val="clear" w:color="auto" w:fill="FFFFFF"/>
        </w:rPr>
        <w:t>人员经费用途主要包括基本工资、津贴补贴、绩效工资等。公用经费</w:t>
      </w:r>
      <w:r>
        <w:rPr>
          <w:rFonts w:hint="default" w:ascii="Times New Roman" w:hAnsi="Times New Roman" w:eastAsia="方正仿宋_GBK" w:cs="Times New Roman"/>
          <w:sz w:val="32"/>
          <w:szCs w:val="32"/>
        </w:rPr>
        <w:t>5.72</w:t>
      </w:r>
      <w:r>
        <w:rPr>
          <w:rFonts w:hint="default" w:ascii="Times New Roman" w:hAnsi="Times New Roman" w:eastAsia="方正仿宋_GBK" w:cs="Times New Roman"/>
          <w:sz w:val="32"/>
          <w:szCs w:val="32"/>
          <w:shd w:val="clear" w:color="auto" w:fill="FFFFFF"/>
        </w:rPr>
        <w:t>万元，与2023年度相比，增加5.72万元，增长100.0%，主要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r>
        <w:rPr>
          <w:rFonts w:hint="default" w:ascii="Times New Roman" w:hAnsi="Times New Roman" w:eastAsia="方正仿宋_GBK" w:cs="Times New Roman"/>
          <w:sz w:val="32"/>
          <w:szCs w:val="32"/>
          <w:shd w:val="clear" w:color="auto" w:fill="FFFFFF"/>
        </w:rPr>
        <w:t>公用经费用途主要包括办公费、工会经费、培训费等。</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万元，与2023年度相比，无增减，主要原因是本单位2024年度无政府性基金预算财政拨款收支。</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三、财政拨款“三公”经费情况说明</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万元，较年初预算数无增减。较上年支出数无增减。</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万元，费用支出较年初预算数无增减。与2023年度相比，无增减。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公务用车购置费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万元。费用支出较年初预算数无增减，与2023年度相比，无增减。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公务用车运行维护费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万元。费用支出较年初预算数无增减。与2023年度相比，无增减。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rPr>
        <w:t xml:space="preserve"> </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辆，公务用车保有量为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（一）财政拨款会议费和培训费情况说明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万元，与2023年度相比，增加0.08万元，增长100.0%，主要</w:t>
      </w:r>
      <w:r>
        <w:rPr>
          <w:rFonts w:hint="eastAsia" w:ascii="Times New Roman" w:hAnsi="Times New Roman" w:cs="Times New Roman"/>
          <w:sz w:val="32"/>
          <w:szCs w:val="32"/>
          <w:shd w:val="clear" w:color="auto" w:fill="FFFFFF"/>
          <w:lang w:eastAsia="zh-CN"/>
        </w:rPr>
        <w:t>原因是</w:t>
      </w:r>
      <w:r>
        <w:rPr>
          <w:rFonts w:hint="default" w:ascii="Times New Roman" w:hAnsi="Times New Roman" w:eastAsia="方正仿宋_GBK" w:cs="Times New Roman"/>
          <w:sz w:val="32"/>
          <w:szCs w:val="32"/>
        </w:rPr>
        <w:t>以前年度纳入局本级进行核算，2024年起拆分为独立核算单位。</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sz w:val="32"/>
          <w:szCs w:val="32"/>
        </w:rPr>
        <w:t>按照部门决算列报口径，我单位不在机关运行经费统计范围之内。</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万元，2024年度我单位未发生政府采购事项，无相关经费支出。</w:t>
      </w:r>
    </w:p>
    <w:p>
      <w:pPr>
        <w:pStyle w:val="16"/>
        <w:keepNext w:val="0"/>
        <w:keepLines w:val="0"/>
        <w:pageBreakBefore w:val="0"/>
        <w:shd w:val="clear"/>
        <w:tabs>
          <w:tab w:val="center" w:pos="4153"/>
          <w:tab w:val="left" w:pos="7275"/>
        </w:tabs>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五、预算绩效管理情况说明</w:t>
      </w:r>
    </w:p>
    <w:p>
      <w:pPr>
        <w:pStyle w:val="6"/>
        <w:keepNext w:val="0"/>
        <w:keepLines w:val="0"/>
        <w:pageBreakBefore w:val="0"/>
        <w:widowControl w:val="0"/>
        <w:shd w:val="clear"/>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kern w:val="2"/>
          <w:sz w:val="32"/>
          <w:szCs w:val="32"/>
          <w:shd w:val="clear" w:color="auto" w:fill="FFFFFF"/>
        </w:rPr>
      </w:pPr>
      <w:r>
        <w:rPr>
          <w:rFonts w:hint="default" w:ascii="Times New Roman" w:hAnsi="Times New Roman" w:eastAsia="方正楷体_GBK" w:cs="Times New Roman"/>
          <w:kern w:val="2"/>
          <w:sz w:val="32"/>
          <w:szCs w:val="32"/>
          <w:shd w:val="clear" w:color="auto" w:fill="FFFFFF"/>
          <w:lang w:bidi="ar"/>
        </w:rPr>
        <w:t>（一）预算绩效管理工作开展情况</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bidi="ar"/>
        </w:rPr>
        <w:t>根据预算绩效管理要求，我单位对1个项目开展了绩效自评，涉及财政拨款项目支出资金64.85万元。</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2"/>
          <w:sz w:val="32"/>
          <w:szCs w:val="32"/>
          <w:shd w:val="clear" w:color="auto" w:fill="FFFFFF"/>
          <w:lang w:bidi="ar"/>
        </w:rPr>
        <w:t>（二）</w:t>
      </w:r>
      <w:r>
        <w:rPr>
          <w:rFonts w:hint="default" w:ascii="Times New Roman" w:hAnsi="Times New Roman" w:eastAsia="方正楷体_GBK" w:cs="Times New Roman"/>
          <w:sz w:val="32"/>
          <w:szCs w:val="32"/>
          <w:lang w:bidi="ar"/>
        </w:rPr>
        <w:t>绩效自评结果</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sz w:val="32"/>
          <w:szCs w:val="32"/>
          <w:lang w:bidi="ar"/>
        </w:rPr>
        <w:t>绩效自评结果详见附件2024年度绩效自评公开表（《部门整体绩效自评表》、《项目绩效自评结果汇总表》、《项目支出绩效自评表》）。</w:t>
      </w:r>
    </w:p>
    <w:p>
      <w:pPr>
        <w:pStyle w:val="6"/>
        <w:keepNext w:val="0"/>
        <w:keepLines w:val="0"/>
        <w:pageBreakBefore w:val="0"/>
        <w:widowControl w:val="0"/>
        <w:shd w:val="clear"/>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kern w:val="2"/>
          <w:sz w:val="32"/>
          <w:szCs w:val="32"/>
          <w:shd w:val="clear" w:color="auto" w:fill="FFFFFF"/>
        </w:rPr>
      </w:pPr>
      <w:r>
        <w:rPr>
          <w:rFonts w:hint="default" w:ascii="Times New Roman" w:hAnsi="Times New Roman" w:eastAsia="方正楷体_GBK" w:cs="Times New Roman"/>
          <w:kern w:val="2"/>
          <w:sz w:val="32"/>
          <w:szCs w:val="32"/>
          <w:shd w:val="clear" w:color="auto" w:fill="FFFFFF"/>
          <w:lang w:bidi="ar"/>
        </w:rPr>
        <w:t>（三）财政绩效评价情况</w:t>
      </w:r>
    </w:p>
    <w:p>
      <w:pPr>
        <w:pStyle w:val="6"/>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区财政局未委托第三方对我单位开展绩效评价。</w:t>
      </w:r>
    </w:p>
    <w:p>
      <w:pPr>
        <w:pStyle w:val="12"/>
        <w:keepNext w:val="0"/>
        <w:keepLines w:val="0"/>
        <w:pageBreakBefore w:val="0"/>
        <w:shd w:val="clear"/>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六、专业名词解释</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2"/>
        <w:keepNext w:val="0"/>
        <w:keepLines w:val="0"/>
        <w:pageBreakBefore w:val="0"/>
        <w:shd w:val="clea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本单位决算公开信息反馈和联系方式：023-40244345</w:t>
      </w:r>
    </w:p>
    <w:p>
      <w:pPr>
        <w:keepNext w:val="0"/>
        <w:keepLines w:val="0"/>
        <w:pageBreakBefore w:val="0"/>
        <w:shd w:val="clear"/>
        <w:kinsoku/>
        <w:wordWrap/>
        <w:overflowPunct/>
        <w:topLinePunct w:val="0"/>
        <w:autoSpaceDN/>
        <w:bidi w:val="0"/>
        <w:adjustRightInd/>
        <w:spacing w:beforeAutospacing="0" w:afterAutospacing="0" w:line="594" w:lineRule="exact"/>
        <w:textAlignment w:val="auto"/>
        <w:rPr>
          <w:rFonts w:hint="default" w:ascii="Times New Roman" w:hAnsi="Times New Roman" w:cs="Times New Roman"/>
          <w:sz w:val="18"/>
          <w:szCs w:val="18"/>
        </w:rPr>
      </w:pPr>
    </w:p>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posOffset>5260340</wp:posOffset>
              </wp:positionH>
              <wp:positionV relativeFrom="paragraph">
                <wp:posOffset>-666750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2 -</w:t>
                          </w:r>
                          <w:r>
                            <w:rPr>
                              <w:rFonts w:hint="eastAsia" w:asciiTheme="minorEastAsia" w:hAnsiTheme="minorEastAsia" w:eastAsiaTheme="minorEastAsia" w:cstheme="minorEastAsia"/>
                              <w:sz w:val="28"/>
                              <w:szCs w:val="28"/>
                            </w:rP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left:414.2pt;margin-top:-52.5pt;height:11.65pt;width:31.55pt;mso-position-horizontal-relative:margin;mso-wrap-style:none;z-index:251660288;mso-width-relative:page;mso-height-relative:page;" filled="f" stroked="f" coordsize="21600,21600" o:allowoverlap="f" o:gfxdata="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F/XafXAAAADAEAAA8A&#10;AAAAAAAAAQAgAAAAIgAAAGRycy9kb3ducmV2LnhtbFBLAQIUABQAAAAIAIdO4kDpQ6Hx3wEAALMD&#10;AAAOAAAAAAAAAAEAIAAAACYBAABkcnMvZTJvRG9jLnhtbFBLBQYAAAAABgAGAFkBAAB3BQAAAAA=&#10;">
              <v:fill on="f" focussize="0,0"/>
              <v:stroke on="f"/>
              <v:imagedata o:title=""/>
              <o:lock v:ext="edit" aspectratio="f"/>
              <v:textbox inset="0mm,0mm,0mm,0mm" style="mso-fit-shape-to-text:t;">
                <w:txbxContent>
                  <w:p>
                    <w:pPr>
                      <w:pStyle w:val="3"/>
                      <w:rPr>
                        <w:rFonts w:hint="default"/>
                      </w:rP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BUr6gz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MmY4ZjI1OWIzYmEzMzg5MWE2ZDNiNmU3YWUzMWIifQ=="/>
  </w:docVars>
  <w:rsids>
    <w:rsidRoot w:val="00B03CCD"/>
    <w:rsid w:val="000239C6"/>
    <w:rsid w:val="00046FCA"/>
    <w:rsid w:val="000606CC"/>
    <w:rsid w:val="000E4799"/>
    <w:rsid w:val="001408CA"/>
    <w:rsid w:val="001B7F18"/>
    <w:rsid w:val="001D3BB7"/>
    <w:rsid w:val="002A1BEB"/>
    <w:rsid w:val="002B254B"/>
    <w:rsid w:val="002F57C7"/>
    <w:rsid w:val="0034050A"/>
    <w:rsid w:val="00401A7E"/>
    <w:rsid w:val="00413016"/>
    <w:rsid w:val="0044504F"/>
    <w:rsid w:val="00466C9B"/>
    <w:rsid w:val="00486CFC"/>
    <w:rsid w:val="00491DDD"/>
    <w:rsid w:val="004B3A61"/>
    <w:rsid w:val="004E4ECD"/>
    <w:rsid w:val="00524333"/>
    <w:rsid w:val="00550ABE"/>
    <w:rsid w:val="005545A4"/>
    <w:rsid w:val="005A7712"/>
    <w:rsid w:val="005B1740"/>
    <w:rsid w:val="00623A85"/>
    <w:rsid w:val="00644FF6"/>
    <w:rsid w:val="00724119"/>
    <w:rsid w:val="00770383"/>
    <w:rsid w:val="007819D4"/>
    <w:rsid w:val="007B419D"/>
    <w:rsid w:val="007B7C4B"/>
    <w:rsid w:val="007D3D39"/>
    <w:rsid w:val="00957183"/>
    <w:rsid w:val="00984C6A"/>
    <w:rsid w:val="00994AF7"/>
    <w:rsid w:val="009B06C0"/>
    <w:rsid w:val="009B67B8"/>
    <w:rsid w:val="009C14C9"/>
    <w:rsid w:val="009C4AE0"/>
    <w:rsid w:val="009D2B67"/>
    <w:rsid w:val="009E1452"/>
    <w:rsid w:val="00A24AF5"/>
    <w:rsid w:val="00A335B2"/>
    <w:rsid w:val="00A566F9"/>
    <w:rsid w:val="00AF2751"/>
    <w:rsid w:val="00B03CCD"/>
    <w:rsid w:val="00B6375C"/>
    <w:rsid w:val="00BE2B89"/>
    <w:rsid w:val="00BF0D89"/>
    <w:rsid w:val="00C10E9E"/>
    <w:rsid w:val="00C20C3E"/>
    <w:rsid w:val="00C5163E"/>
    <w:rsid w:val="00C64F91"/>
    <w:rsid w:val="00CF2ACF"/>
    <w:rsid w:val="00D03AAF"/>
    <w:rsid w:val="00DA0AF7"/>
    <w:rsid w:val="00DD0539"/>
    <w:rsid w:val="00E07662"/>
    <w:rsid w:val="00E12342"/>
    <w:rsid w:val="00E368E9"/>
    <w:rsid w:val="00EE1E33"/>
    <w:rsid w:val="00F3411B"/>
    <w:rsid w:val="00F42B6B"/>
    <w:rsid w:val="00F5424B"/>
    <w:rsid w:val="00F622AD"/>
    <w:rsid w:val="00F73F90"/>
    <w:rsid w:val="00FB0935"/>
    <w:rsid w:val="00FB4B3B"/>
    <w:rsid w:val="01474EBF"/>
    <w:rsid w:val="01F3521E"/>
    <w:rsid w:val="03B87EA0"/>
    <w:rsid w:val="03E3214F"/>
    <w:rsid w:val="04410BE9"/>
    <w:rsid w:val="044C50BA"/>
    <w:rsid w:val="05BC6D49"/>
    <w:rsid w:val="05DE1383"/>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F2311A"/>
    <w:rsid w:val="0C5A32DA"/>
    <w:rsid w:val="0C7927C4"/>
    <w:rsid w:val="0C9B098C"/>
    <w:rsid w:val="0D673E11"/>
    <w:rsid w:val="0DDA54E4"/>
    <w:rsid w:val="0E3A5F83"/>
    <w:rsid w:val="0F836721"/>
    <w:rsid w:val="0FA25D96"/>
    <w:rsid w:val="10682E03"/>
    <w:rsid w:val="107B59E5"/>
    <w:rsid w:val="10CC3887"/>
    <w:rsid w:val="10EC0126"/>
    <w:rsid w:val="10F70B9A"/>
    <w:rsid w:val="111445C7"/>
    <w:rsid w:val="114278C6"/>
    <w:rsid w:val="1158083A"/>
    <w:rsid w:val="11643A4B"/>
    <w:rsid w:val="11ED0F98"/>
    <w:rsid w:val="11F03528"/>
    <w:rsid w:val="12C921C4"/>
    <w:rsid w:val="12F5688F"/>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59A389A"/>
    <w:rsid w:val="26396DF4"/>
    <w:rsid w:val="27167136"/>
    <w:rsid w:val="271B442C"/>
    <w:rsid w:val="27B23302"/>
    <w:rsid w:val="29310A5F"/>
    <w:rsid w:val="29C37A35"/>
    <w:rsid w:val="2A076083"/>
    <w:rsid w:val="2A73162E"/>
    <w:rsid w:val="2A76270D"/>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8C6A8E"/>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3FF869F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596D11"/>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8742C8"/>
    <w:rsid w:val="4B135857"/>
    <w:rsid w:val="4B7951CB"/>
    <w:rsid w:val="4B7C315C"/>
    <w:rsid w:val="4D1F53CA"/>
    <w:rsid w:val="4D33368F"/>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AEA2623"/>
    <w:rsid w:val="5BF41F67"/>
    <w:rsid w:val="5C263CE4"/>
    <w:rsid w:val="5C525B41"/>
    <w:rsid w:val="5C5D2777"/>
    <w:rsid w:val="5CF66BF3"/>
    <w:rsid w:val="5D290C69"/>
    <w:rsid w:val="5DA80C2C"/>
    <w:rsid w:val="5F2D4A41"/>
    <w:rsid w:val="60C74F6C"/>
    <w:rsid w:val="61015958"/>
    <w:rsid w:val="61025A59"/>
    <w:rsid w:val="613D5BBC"/>
    <w:rsid w:val="61536C39"/>
    <w:rsid w:val="62944DD7"/>
    <w:rsid w:val="6319381F"/>
    <w:rsid w:val="63C25DC5"/>
    <w:rsid w:val="63C62057"/>
    <w:rsid w:val="641B0E4B"/>
    <w:rsid w:val="64571EF5"/>
    <w:rsid w:val="64FB113D"/>
    <w:rsid w:val="65495EC4"/>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E0DE5"/>
    <w:rsid w:val="6A6C7940"/>
    <w:rsid w:val="6A8919DC"/>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E73160"/>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方正仿宋_GBK" w:cs="Times New Roman"/>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ascii="Times New Roman" w:hAnsi="Times New Roman" w:eastAsia="方正黑体_GBK"/>
      <w:sz w:val="32"/>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
    <w:next w:val="1"/>
    <w:qFormat/>
    <w:uiPriority w:val="0"/>
    <w:pPr>
      <w:widowControl w:val="0"/>
      <w:ind w:firstLine="200" w:firstLineChars="200"/>
      <w:jc w:val="both"/>
    </w:pPr>
    <w:rPr>
      <w:rFonts w:hint="default" w:ascii="Times New Roman" w:hAnsi="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709</Words>
  <Characters>4046</Characters>
  <Lines>33</Lines>
  <Paragraphs>9</Paragraphs>
  <TotalTime>0</TotalTime>
  <ScaleCrop>false</ScaleCrop>
  <LinksUpToDate>false</LinksUpToDate>
  <CharactersWithSpaces>4746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2025-10-13T07:15:00Z</dcterms:created>
  <dc:creator>Administrator</dc:creator>
  <cp:lastModifiedBy>Administrator</cp:lastModifiedBy>
  <dcterms:modified xsi:type="dcterms:W3CDTF">2025-10-14T08:31:17Z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