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b w:val="0"/>
          <w:bCs w:val="0"/>
          <w:sz w:val="44"/>
          <w:szCs w:val="44"/>
        </w:rPr>
      </w:pPr>
      <w:r>
        <w:rPr>
          <w:rFonts w:hint="eastAsia" w:eastAsia="方正小标宋_GBK"/>
          <w:b w:val="0"/>
          <w:bCs w:val="0"/>
          <w:sz w:val="44"/>
          <w:szCs w:val="44"/>
        </w:rPr>
        <w:t>重庆市长寿区国有资产监督管理委员会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关于废止部分规范性文件的通知</w:t>
      </w:r>
    </w:p>
    <w:p>
      <w:pPr>
        <w:shd w:val="clear" w:color="auto" w:fill="FFFFFF"/>
        <w:jc w:val="center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长国资发〔20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20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50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各街道办事处、镇人民政府，区级各部门，有关单位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根据《重庆市行政规范性文件管理办法》（重庆市人民政府令第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）有关规定，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区国资委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对规范性文件进行了清理。对《关于切实做好扶贫小额信贷工作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》（长国资发〔2019〕17号）和《关于做好服务业小微企业和个体工商户2022年房屋租金减免工作的补充通知》（长国资发〔2022〕82号）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件规范性文件予以废止，自本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通知印发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之日起不再施行。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重庆市长寿区国有资产监督管理委员会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4327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国资委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</w:t>
    </w:r>
  </w:p>
  <w:p>
    <w:pPr>
      <w:pStyle w:val="8"/>
      <w:wordWrap w:val="0"/>
      <w:ind w:left="5472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国资委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43C3B37"/>
    <w:rsid w:val="150978DB"/>
    <w:rsid w:val="152D2DCA"/>
    <w:rsid w:val="17C33AC9"/>
    <w:rsid w:val="187168EA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8">
    <w:name w:val="ca-7"/>
    <w:qFormat/>
    <w:uiPriority w:val="0"/>
  </w:style>
  <w:style w:type="character" w:customStyle="1" w:styleId="19">
    <w:name w:val="font2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870</Words>
  <Characters>936</Characters>
  <Lines>1</Lines>
  <Paragraphs>1</Paragraphs>
  <TotalTime>1</TotalTime>
  <ScaleCrop>false</ScaleCrop>
  <LinksUpToDate>false</LinksUpToDate>
  <CharactersWithSpaces>999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2023-07-25T06:31:33Z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