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/>
        </w:rPr>
      </w:pPr>
    </w:p>
    <w:p>
      <w:pPr>
        <w:shd w:val="clear" w:color="auto" w:fill="FFFFFF"/>
        <w:jc w:val="center"/>
        <w:rPr>
          <w:rFonts w:hint="eastAsia"/>
        </w:rPr>
      </w:pPr>
    </w:p>
    <w:p>
      <w:pPr>
        <w:shd w:val="clear" w:color="auto" w:fill="FFFFFF"/>
        <w:jc w:val="center"/>
        <w:rPr>
          <w:rFonts w:hint="eastAsia"/>
        </w:rPr>
      </w:pPr>
    </w:p>
    <w:p>
      <w:pPr>
        <w:shd w:val="clear" w:color="auto" w:fill="FFFFFF"/>
        <w:jc w:val="center"/>
        <w:rPr>
          <w:rFonts w:hint="eastAsia"/>
        </w:rPr>
      </w:pPr>
      <w:r>
        <w:pict>
          <v:shape id="_x0000_s2050" o:spid="_x0000_s2050" o:spt="136" alt="重庆市长寿区人民政府办公室电子来文" type="#_x0000_t136" style="position:absolute;left:0pt;margin-left:92.9pt;margin-top:97pt;height:51pt;width:411pt;mso-position-horizontal-relative:page;mso-position-vertical-relative:margin;z-index:251684864;mso-width-relative:page;mso-height-relative:page;" fillcolor="#FF0000" filled="t" stroked="f" coordsize="21600,21600" adj="108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长寿区发展和改革委员会文件" style="font-family:方正小标宋_GBK;font-size:36pt;font-weight:bold;v-text-align:center;"/>
          </v:shape>
        </w:pict>
      </w:r>
    </w:p>
    <w:p>
      <w:pPr>
        <w:shd w:val="clear" w:color="auto" w:fill="FFFFFF"/>
        <w:jc w:val="center"/>
        <w:rPr>
          <w:rFonts w:hint="eastAsia"/>
        </w:rPr>
      </w:pPr>
    </w:p>
    <w:p>
      <w:pPr>
        <w:shd w:val="clear" w:color="auto" w:fill="FFFFFF"/>
        <w:jc w:val="both"/>
        <w:rPr>
          <w:rFonts w:hint="eastAsia"/>
        </w:rPr>
      </w:pPr>
    </w:p>
    <w:p>
      <w:pPr>
        <w:shd w:val="clear" w:color="auto" w:fill="FFFFFF"/>
        <w:jc w:val="both"/>
        <w:rPr>
          <w:rFonts w:hint="eastAsia" w:ascii="方正仿宋_GBK" w:hAnsi="方正仿宋_GBK" w:eastAsia="方正仿宋_GBK" w:cs="方正仿宋_GBK"/>
        </w:rPr>
      </w:pPr>
    </w:p>
    <w:p>
      <w:pPr>
        <w:shd w:val="clear" w:color="auto" w:fill="FFFFFF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长发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改发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991235</wp:posOffset>
                </wp:positionH>
                <wp:positionV relativeFrom="margin">
                  <wp:posOffset>2986405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05pt;margin-top:235.15pt;height:0pt;width:442.2pt;mso-position-horizontal-relative:page;mso-position-vertical-relative:margin;z-index:251659264;mso-width-relative:page;mso-height-relative:page;" filled="f" stroked="t" coordsize="21600,21600" o:gfxdata="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x/zcNgAAAAMAQAADwAA&#10;AAAAAAABACAAAAAiAAAAZHJzL2Rvd25yZXYueG1sUEsBAhQAFAAAAAgAh07iQLSZRMXdAQAAlwMA&#10;AA4AAAAAAAAAAQAgAAAAJwEAAGRycy9lMm9Eb2MueG1sUEsFBgAAAAAGAAYAWQEAAHY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重庆市长寿区发展和改革委员会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关于印发《重庆市长寿区发展和改革委员会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公共资源交易监管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机关各科室、委属单位</w:t>
      </w:r>
      <w:r>
        <w:rPr>
          <w:rFonts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重庆市长寿区发展和改革委员会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公共资源交易监管制度》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已经委领导研究同意，现印发给你们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，请严格遵照执行。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重庆市长寿区发展和改革委员会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2021年8月27日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1984" w:right="1446" w:bottom="1644" w:left="1446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601" w:charSpace="941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  <w:sectPr>
          <w:footerReference r:id="rId5" w:type="default"/>
          <w:pgSz w:w="11905" w:h="16838"/>
          <w:pgMar w:top="1984" w:right="1446" w:bottom="1644" w:left="1446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601" w:charSpace="941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重庆市长寿区发展和改革委员会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公共资源交易监管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为进一步加强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公共资源交易监管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工作，根据相关规定，结合我委工作实际，制定本制度。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第二条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公共资源交易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，是指由政府直接投资、资本金注入方式投资，在长寿区内使用预算安排资金进行新建、扩建、改建、技术改造等固定资产投资建设的项目。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领导干部应当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严格遵守招标投标法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按照职责分工，认真履行主体责任和监督责任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，强化招标投标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活动的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监督管理；清正廉洁，带头守住纪律底线。不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纵容、默许亲友及身边工作人员利用本人职权或者职务上的影响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插手干预招标投标活动。不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违背招标投标审批程序以个人签批、假借集体研究名义等方式违规决定不招标、邀请招标，或者采取化整为零等方式规避招标。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第四条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严格加强保密教育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违规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打听、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泄露任何可能影响公平竞争的招标投标信息。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明晰权责边界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以推荐、串通等方式违规选择招标代理机构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严格执行招投标法规制度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授意、默许为特定投标人量身定做招标文件，设置不合理条件限制、排斥潜在投标人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第七条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坚守纪法红线，不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指使、纵容、默许投标人采用资质挂靠、弄虚作假等手段围标串标。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加强评标现场全过程监督，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严防严控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以授意、诱导等方式干预影响评标过程和中标结果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等违法行为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合同签订的跟踪监督，不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授意、默许背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招标文件和中标文件实质性内容订立合同。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提高责任意识，筑牢思想防线，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得违规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为中标人指定、推荐分包人、供货商、服务商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持续保持恒心定力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，紧盯关键环节，主动发现和及时移送问题线索，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对招标投标违纪违法行为放任不管、压案不查，或者干扰、妨碍监管部门依法履职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依法履行招标投标监管职能，主动担当、落实责任，协同监管、形成合力。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条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本制度自印发之日起执行。如执行过程中，上级有规定的从其规定。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8" w:firstLineChars="200"/>
        <w:jc w:val="both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center"/>
        <w:outlineLvl w:val="9"/>
      </w:pPr>
    </w:p>
    <w:sectPr>
      <w:footerReference r:id="rId6" w:type="default"/>
      <w:pgSz w:w="11905" w:h="16838"/>
      <w:pgMar w:top="1984" w:right="1446" w:bottom="1644" w:left="1446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601" w:charSpace="9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87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87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87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81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87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7B6F"/>
    <w:rsid w:val="06744316"/>
    <w:rsid w:val="0E616DBB"/>
    <w:rsid w:val="115D7B6F"/>
    <w:rsid w:val="13F31DF8"/>
    <w:rsid w:val="1C301214"/>
    <w:rsid w:val="1D8A1CEC"/>
    <w:rsid w:val="2FE66F5F"/>
    <w:rsid w:val="33F704AC"/>
    <w:rsid w:val="533D7491"/>
    <w:rsid w:val="55241369"/>
    <w:rsid w:val="579C5F0A"/>
    <w:rsid w:val="5F157374"/>
    <w:rsid w:val="6AE5205E"/>
    <w:rsid w:val="77D26776"/>
    <w:rsid w:val="7A7B0E27"/>
    <w:rsid w:val="7FB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adjustRightInd w:val="0"/>
      <w:snapToGrid w:val="0"/>
      <w:spacing w:line="480" w:lineRule="atLeast"/>
      <w:ind w:firstLine="560" w:firstLineChars="200"/>
    </w:pPr>
    <w:rPr>
      <w:rFonts w:eastAsia="仿宋_GB2312"/>
      <w:kern w:val="2"/>
      <w:sz w:val="28"/>
      <w:szCs w:val="24"/>
      <w:lang w:val="en-US" w:eastAsia="zh-CN" w:bidi="ar-SA"/>
    </w:rPr>
  </w:style>
  <w:style w:type="paragraph" w:styleId="3">
    <w:name w:val="Body Text Indent 2"/>
    <w:basedOn w:val="1"/>
    <w:unhideWhenUsed/>
    <w:qFormat/>
    <w:uiPriority w:val="99"/>
    <w:pPr>
      <w:widowControl/>
      <w:snapToGrid w:val="0"/>
      <w:spacing w:line="600" w:lineRule="atLeast"/>
      <w:ind w:firstLine="630"/>
      <w:jc w:val="left"/>
    </w:pPr>
    <w:rPr>
      <w:rFonts w:eastAsia="方正仿宋_GBK"/>
      <w:kern w:val="0"/>
      <w:sz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143</Pages>
  <Words>55533</Words>
  <Characters>57121</Characters>
  <Lines>0</Lines>
  <Paragraphs>0</Paragraphs>
  <TotalTime>5</TotalTime>
  <ScaleCrop>false</ScaleCrop>
  <LinksUpToDate>false</LinksUpToDate>
  <CharactersWithSpaces>59635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2021-04-02T07:12:00Z</dcterms:created>
  <dc:creator>熬伟</dc:creator>
  <cp:lastModifiedBy>eeeeeeet</cp:lastModifiedBy>
  <cp:lastPrinted>2021-04-06T07:08:00Z</cp:lastPrinted>
  <dcterms:modified xsi:type="dcterms:W3CDTF">2021-08-30T07:39:29Z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