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6AA1D">
      <w:pPr>
        <w:pStyle w:val="2"/>
        <w:wordWrap/>
        <w:adjustRightInd/>
        <w:snapToGrid/>
        <w:spacing w:line="594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>附件2</w:t>
      </w:r>
    </w:p>
    <w:p w14:paraId="53578CAA">
      <w:pPr>
        <w:pStyle w:val="2"/>
        <w:wordWrap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single"/>
          <w:lang w:val="en-US" w:eastAsia="zh-CN"/>
        </w:rPr>
        <w:t>XX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公司年度总结报告</w:t>
      </w:r>
    </w:p>
    <w:p w14:paraId="0D326B7D">
      <w:pPr>
        <w:wordWrap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(参考模板)</w:t>
      </w:r>
    </w:p>
    <w:p w14:paraId="6753FAB4">
      <w:pPr>
        <w:widowControl/>
        <w:wordWrap/>
        <w:adjustRightInd/>
        <w:snapToGrid/>
        <w:spacing w:line="594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2"/>
        </w:rPr>
      </w:pPr>
    </w:p>
    <w:p w14:paraId="71911C47">
      <w:pPr>
        <w:widowControl/>
        <w:numPr>
          <w:ilvl w:val="0"/>
          <w:numId w:val="0"/>
        </w:numPr>
        <w:wordWrap/>
        <w:adjustRightInd/>
        <w:snapToGrid/>
        <w:spacing w:line="594" w:lineRule="exact"/>
        <w:ind w:left="840" w:leftChars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机构保持设立条件情况</w:t>
      </w:r>
    </w:p>
    <w:p w14:paraId="5A0FA572">
      <w:pPr>
        <w:widowControl/>
        <w:numPr>
          <w:ilvl w:val="0"/>
          <w:numId w:val="0"/>
        </w:numPr>
        <w:wordWrap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（一）根据财政部《代理记账管理办法》设立代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账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机构，具有代理记账资格。结合本机构的实际情况，按照《企业会计准则》、《内部会计控制规范》以及国家统一会计制度的规定，制定本机构的财务管理制度和会计核算办法。加强代理记账机构的管理，规范代理记账业务。促进代理记账行业的健康发展，严格遵守《中华人民共和国会计法》、《代理记账管理办法》和其他有关法律、行政法规的规定。</w:t>
      </w:r>
    </w:p>
    <w:p w14:paraId="22B5BBD4">
      <w:pPr>
        <w:widowControl/>
        <w:wordWrap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有3名以上持有会计专职从业人员；</w:t>
      </w:r>
    </w:p>
    <w:p w14:paraId="3FD50A61">
      <w:pPr>
        <w:widowControl/>
        <w:wordWrap/>
        <w:adjustRightInd/>
        <w:snapToGrid/>
        <w:spacing w:line="594" w:lineRule="exact"/>
        <w:ind w:left="638" w:leftChars="304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姓名：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身份证号码：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姓名：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身份证号码：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姓名：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身份证号码：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      </w:t>
      </w:r>
    </w:p>
    <w:p w14:paraId="5BF646B1">
      <w:pPr>
        <w:widowControl/>
        <w:wordWrap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主管代理记账业务的负责人具有会计师以上专业技术职务资格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或者从事会计工作不少于三年，且为专职从业人员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； </w:t>
      </w:r>
    </w:p>
    <w:p w14:paraId="68D4DF6A">
      <w:pPr>
        <w:widowControl/>
        <w:wordWrap/>
        <w:adjustRightInd/>
        <w:snapToGrid/>
        <w:spacing w:line="594" w:lineRule="exact"/>
        <w:ind w:left="420" w:leftChars="200" w:firstLine="320" w:firstLineChars="1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姓名：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身份证号码：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</w:t>
      </w:r>
    </w:p>
    <w:p w14:paraId="33F858C4">
      <w:pPr>
        <w:widowControl/>
        <w:wordWrap/>
        <w:adjustRightInd/>
        <w:snapToGrid/>
        <w:spacing w:line="594" w:lineRule="exact"/>
        <w:ind w:left="420" w:leftChars="200" w:firstLine="320" w:firstLineChars="1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专业技术职务资格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</w:t>
      </w:r>
    </w:p>
    <w:p w14:paraId="68A1458D">
      <w:pPr>
        <w:widowControl/>
        <w:wordWrap/>
        <w:adjustRightInd/>
        <w:snapToGrid/>
        <w:spacing w:line="594" w:lineRule="exact"/>
        <w:ind w:left="420" w:leftChars="200" w:firstLine="320" w:firstLineChars="1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510" w:footer="1020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从事会计工作年限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7E4811CC">
      <w:pPr>
        <w:widowControl/>
        <w:wordWrap/>
        <w:adjustRightInd/>
        <w:snapToGrid/>
        <w:spacing w:line="594" w:lineRule="exact"/>
        <w:ind w:left="420" w:leftChars="200" w:firstLine="320" w:firstLineChars="1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</w:p>
    <w:p w14:paraId="430C47B0">
      <w:pPr>
        <w:widowControl/>
        <w:numPr>
          <w:ilvl w:val="0"/>
          <w:numId w:val="0"/>
        </w:numPr>
        <w:wordWrap/>
        <w:adjustRightInd/>
        <w:snapToGrid/>
        <w:spacing w:line="594" w:lineRule="exact"/>
        <w:ind w:left="420" w:leftChars="200" w:firstLine="320" w:firstLineChars="1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（四）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有固定的办公场所；</w:t>
      </w:r>
    </w:p>
    <w:p w14:paraId="25B258B9">
      <w:pPr>
        <w:widowControl/>
        <w:numPr>
          <w:ilvl w:val="0"/>
          <w:numId w:val="0"/>
        </w:numPr>
        <w:wordWrap/>
        <w:adjustRightInd/>
        <w:snapToGrid/>
        <w:spacing w:line="594" w:lineRule="exact"/>
        <w:ind w:left="420" w:leftChars="20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固定办公场所：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　　</w:t>
      </w:r>
    </w:p>
    <w:p w14:paraId="70E436EF">
      <w:pPr>
        <w:widowControl/>
        <w:numPr>
          <w:ilvl w:val="0"/>
          <w:numId w:val="1"/>
        </w:numPr>
        <w:wordWrap/>
        <w:adjustRightInd/>
        <w:snapToGrid/>
        <w:spacing w:line="594" w:lineRule="exact"/>
        <w:ind w:firstLine="960" w:firstLineChars="3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有健全的代理记账业务规范和财务会计管理制度。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br w:type="textWrapping"/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　　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业务开展情况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（以下列举了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10项，针对公司本身补充完善内容，详见下表）</w:t>
      </w:r>
    </w:p>
    <w:p w14:paraId="0558338D">
      <w:pPr>
        <w:widowControl/>
        <w:numPr>
          <w:ilvl w:val="0"/>
          <w:numId w:val="0"/>
        </w:numPr>
        <w:wordWrap/>
        <w:adjustRightInd/>
        <w:snapToGrid/>
        <w:spacing w:line="578" w:lineRule="exact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</w:p>
    <w:tbl>
      <w:tblPr>
        <w:tblStyle w:val="5"/>
        <w:tblpPr w:leftFromText="180" w:rightFromText="180" w:vertAnchor="text" w:horzAnchor="page" w:tblpX="1393" w:tblpY="300"/>
        <w:tblOverlap w:val="never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3444"/>
        <w:gridCol w:w="3049"/>
        <w:gridCol w:w="2761"/>
        <w:gridCol w:w="2762"/>
        <w:gridCol w:w="1092"/>
      </w:tblGrid>
      <w:tr w14:paraId="57C8B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DBAA42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公司开展业务情况</w:t>
            </w:r>
          </w:p>
        </w:tc>
      </w:tr>
      <w:tr w14:paraId="0A5AA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4AF1F5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669D2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业务类型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FD567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代理企业数量（家）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BDD0B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代理业务件数（件）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367F7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实现收入（万元）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12A58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 w14:paraId="3C7A3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0ED02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5E3635">
            <w:pPr>
              <w:widowControl/>
              <w:wordWrap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代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理各个税种的纳税申报，代理企业纳税情况自查及清算各种税款业务。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7C4C1C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21C619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6423A0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DDD1F5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0D2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E4207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5AA4AC">
            <w:pPr>
              <w:widowControl/>
              <w:wordWrap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代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理企业整体税务安排、投资项目税收评估，代理代理记账制作涉税文书。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B8B55F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875A4B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1A7812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E298C4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107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19ED4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715FBA">
            <w:pPr>
              <w:widowControl/>
              <w:wordWrap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建立企业纳税核算体系用办税制度，为企业设计财务制度。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D65F5C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7241AC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E488A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2260C8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1C6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21EB2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467A2C">
            <w:pPr>
              <w:widowControl/>
              <w:wordWrap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为企业提供报表分析，提供其他管理建议。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9C88A5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182E04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DFFAB0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1FFFCA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B80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46FA3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3972BE">
            <w:pPr>
              <w:widowControl/>
              <w:wordWrap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委托人要求的其他常年代理业务。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BF882B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5F06FB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6871EF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D178FA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0E9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8F85C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16F693">
            <w:pPr>
              <w:widowControl/>
              <w:wordWrap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代理企业办理工商、税务登记、变更及注销手续。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A67401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706908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980DA0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E9395F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92F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166E4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7C8705">
            <w:pPr>
              <w:widowControl/>
              <w:wordWrap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代办减税免税、代理行政复议，协调与税务机关的关系。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0F1EDF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C5B4EA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4A09A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6A393D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9AE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C789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C3E02F">
            <w:pPr>
              <w:widowControl/>
              <w:wordWrap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代理企业所得税汇算清缴审计，代办报批手续。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4B3ABB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54291B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348EF9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3E13A5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646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E678D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96A403">
            <w:pPr>
              <w:widowControl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代办一般纳税人认定。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D5D653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B48304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B68411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0DFFD7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72E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4854E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6E55D4">
            <w:pPr>
              <w:widowControl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委托人要求的其他代理业务。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A4B29C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833979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F95E7E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B83B5E"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FBB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499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4CAC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06BF7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621B9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312BE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834D0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A90A411">
      <w:pPr>
        <w:widowControl/>
        <w:numPr>
          <w:ilvl w:val="0"/>
          <w:numId w:val="0"/>
        </w:numPr>
        <w:tabs>
          <w:tab w:val="left" w:pos="2967"/>
        </w:tabs>
        <w:wordWrap/>
        <w:adjustRightInd/>
        <w:snapToGrid/>
        <w:spacing w:line="578" w:lineRule="exact"/>
        <w:jc w:val="left"/>
        <w:textAlignment w:val="auto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sectPr>
          <w:pgSz w:w="16838" w:h="11906" w:orient="landscape"/>
          <w:pgMar w:top="1009" w:right="1440" w:bottom="896" w:left="1440" w:header="510" w:footer="1020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　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</w:p>
    <w:p w14:paraId="4B384266">
      <w:pPr>
        <w:widowControl/>
        <w:numPr>
          <w:ilvl w:val="0"/>
          <w:numId w:val="0"/>
        </w:numPr>
        <w:wordWrap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　　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、遵纪守法情况及人员变动情况等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　严格遵守《代理记账管理办法》，强化代理记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账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从业人员的职业道德建设，规范代理记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账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从业人员的执业行为，确保会计核算的规范和会计信息的真实、完整。代理记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账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从业人员必须遵守会计法律、法规和国家统一会计制度的规定，依法开展代理记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账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业务，维护国家利益，保护委托人合法权益。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　　着力塑造“守法、独立、客观、公正”的职业形象，确立“诚信为本、操守为重、坚持准则、不做假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账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”的职业理念，廉洁自律、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恪尽职守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、勤勉尽责。代理记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账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从业人员从事代理记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账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业务保持应有的职业谨慎，应当局有一定的专业知识和时间经验，并取得从事代理记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账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业务的资质。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　　代理记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账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从业人员对开展代理记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账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业务中知悉的委托单位的商业秘密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应当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保密，不得利用其为自己或他人谋取利益。</w:t>
      </w:r>
    </w:p>
    <w:p w14:paraId="5576715D">
      <w:pPr>
        <w:widowControl/>
        <w:numPr>
          <w:ilvl w:val="0"/>
          <w:numId w:val="0"/>
        </w:numPr>
        <w:wordWrap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eastAsia="zh-CN"/>
        </w:rPr>
        <w:t>（有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>/无）人员变动。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　　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四、公司发展情况及现存问题</w:t>
      </w:r>
    </w:p>
    <w:p w14:paraId="33A9BA9F">
      <w:pPr>
        <w:widowControl/>
        <w:numPr>
          <w:ilvl w:val="0"/>
          <w:numId w:val="0"/>
        </w:numPr>
        <w:wordWrap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（针对公司本身及行业发展情况提出问题）</w:t>
      </w:r>
    </w:p>
    <w:p w14:paraId="3DDCA42B">
      <w:pPr>
        <w:widowControl/>
        <w:numPr>
          <w:ilvl w:val="0"/>
          <w:numId w:val="0"/>
        </w:numPr>
        <w:wordWrap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五、意见和建议（以下列举了5项，针对公司本身提出意见和建议）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　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加强代理记账业自身建设，提高服务质量；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　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提高会计人员自身素质和队伍建设；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　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充分发挥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行业职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能；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（四）推动成立代理记账行业协会；</w:t>
      </w:r>
    </w:p>
    <w:p w14:paraId="6735E4C0">
      <w:pPr>
        <w:widowControl/>
        <w:numPr>
          <w:ilvl w:val="0"/>
          <w:numId w:val="0"/>
        </w:numPr>
        <w:wordWrap/>
        <w:adjustRightInd/>
        <w:snapToGrid/>
        <w:spacing w:line="594" w:lineRule="exact"/>
        <w:ind w:leftChars="200" w:firstLine="320" w:firstLineChars="1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（五）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营造良好的社会氛围。</w:t>
      </w:r>
    </w:p>
    <w:p w14:paraId="42A6FCC4">
      <w:pPr>
        <w:widowControl/>
        <w:numPr>
          <w:ilvl w:val="0"/>
          <w:numId w:val="0"/>
        </w:numPr>
        <w:wordWrap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0864FF63">
      <w:pPr>
        <w:widowControl/>
        <w:numPr>
          <w:ilvl w:val="0"/>
          <w:numId w:val="0"/>
        </w:numPr>
        <w:wordWrap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11E6B3BD">
      <w:pPr>
        <w:widowControl/>
        <w:numPr>
          <w:ilvl w:val="0"/>
          <w:numId w:val="0"/>
        </w:numPr>
        <w:wordWrap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                                  XX公司（盖章）</w:t>
      </w:r>
    </w:p>
    <w:p w14:paraId="27C2A0E6">
      <w:pPr>
        <w:widowControl/>
        <w:numPr>
          <w:ilvl w:val="0"/>
          <w:numId w:val="0"/>
        </w:numPr>
        <w:wordWrap/>
        <w:adjustRightInd/>
        <w:snapToGrid/>
        <w:spacing w:line="594" w:lineRule="exact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                                    年  月  日</w:t>
      </w:r>
    </w:p>
    <w:sectPr>
      <w:pgSz w:w="11906" w:h="16838"/>
      <w:pgMar w:top="2098" w:right="1531" w:bottom="1984" w:left="1531" w:header="510" w:footer="10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FF822">
    <w:pPr>
      <w:pStyle w:val="3"/>
      <w:jc w:val="right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FFDD93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FFDD93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8292E2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68172">
    <w:pPr>
      <w:pStyle w:val="2"/>
      <w:keepNext/>
      <w:keepLines/>
      <w:widowControl w:val="0"/>
      <w:pBdr>
        <w:bottom w:val="none" w:color="auto" w:sz="0" w:space="0"/>
      </w:pBdr>
      <w:wordWrap w:val="0"/>
      <w:adjustRightInd/>
      <w:snapToGrid/>
      <w:spacing w:before="240" w:after="120" w:line="100" w:lineRule="atLeast"/>
      <w:jc w:val="right"/>
      <w:textAlignment w:val="auto"/>
      <w:outlineLvl w:val="1"/>
      <w:rPr>
        <w:rFonts w:hint="eastAsia" w:ascii="宋体" w:hAnsi="宋体" w:eastAsia="宋体" w:cs="宋体"/>
        <w:color w:val="auto"/>
        <w:sz w:val="22"/>
        <w:szCs w:val="22"/>
        <w:lang w:val="en-US" w:eastAsia="zh-CN"/>
      </w:rPr>
    </w:pPr>
    <w:r>
      <w:rPr>
        <w:rFonts w:ascii="Arial" w:hAnsi="Arial" w:eastAsia="黑体" w:cs="黑体"/>
        <w:b/>
        <w:kern w:val="2"/>
        <w:sz w:val="22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5C831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25C831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22"/>
        <w:szCs w:val="22"/>
        <w:lang w:val="en-US" w:eastAsia="zh-CN"/>
      </w:rPr>
      <w:t xml:space="preserve"> </w:t>
    </w:r>
  </w:p>
  <w:p w14:paraId="0FC6C234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323BB"/>
    <w:multiLevelType w:val="singleLevel"/>
    <w:tmpl w:val="5F6323BB"/>
    <w:lvl w:ilvl="0" w:tentative="0">
      <w:start w:val="5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MTJiYzg2NzVjODU2OWYyZTBjY2UxZDk2ZDc3NzcifQ=="/>
  </w:docVars>
  <w:rsids>
    <w:rsidRoot w:val="48966ED0"/>
    <w:rsid w:val="00C663F4"/>
    <w:rsid w:val="02D34E2A"/>
    <w:rsid w:val="07732220"/>
    <w:rsid w:val="1633038E"/>
    <w:rsid w:val="16692849"/>
    <w:rsid w:val="1A527943"/>
    <w:rsid w:val="1A5E2DDE"/>
    <w:rsid w:val="23DD03E3"/>
    <w:rsid w:val="2754306F"/>
    <w:rsid w:val="3B9F5BB7"/>
    <w:rsid w:val="3CA13B63"/>
    <w:rsid w:val="3FB757EE"/>
    <w:rsid w:val="40851511"/>
    <w:rsid w:val="420F0D92"/>
    <w:rsid w:val="457E1597"/>
    <w:rsid w:val="46EF77BB"/>
    <w:rsid w:val="486B176F"/>
    <w:rsid w:val="48966ED0"/>
    <w:rsid w:val="4968508C"/>
    <w:rsid w:val="4DE97767"/>
    <w:rsid w:val="5079545B"/>
    <w:rsid w:val="50CD01C9"/>
    <w:rsid w:val="542D51A6"/>
    <w:rsid w:val="55496E46"/>
    <w:rsid w:val="5E7A57E2"/>
    <w:rsid w:val="62BB3B65"/>
    <w:rsid w:val="71D24D09"/>
    <w:rsid w:val="7464753C"/>
    <w:rsid w:val="755730E3"/>
    <w:rsid w:val="7CEF1A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1172</Words>
  <Characters>1176</Characters>
  <Lines>0</Lines>
  <Paragraphs>0</Paragraphs>
  <TotalTime>1</TotalTime>
  <ScaleCrop>false</ScaleCrop>
  <LinksUpToDate>false</LinksUpToDate>
  <CharactersWithSpaces>0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2018-11-30T17:01:00Z</dcterms:created>
  <dc:creator>PVer</dc:creator>
  <cp:lastModifiedBy>user</cp:lastModifiedBy>
  <dcterms:modified xsi:type="dcterms:W3CDTF">2025-08-04T10:03:11Z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9B370DBC8481444E928F86D67B2435B7</vt:lpwstr>
  </property>
</Properties>
</file>