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hint="eastAsia" w:eastAsia="方正小标宋_GBK"/>
          <w:sz w:val="44"/>
          <w:szCs w:val="44"/>
        </w:rPr>
        <w:t>关于长寿区残疾人就业保障金征缴相关工作的通知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仿宋_GBK"/>
          <w:sz w:val="32"/>
          <w:szCs w:val="32"/>
        </w:rPr>
      </w:pPr>
      <w:r>
        <w:rPr>
          <w:rFonts w:eastAsia="方正仿宋_GBK"/>
          <w:sz w:val="30"/>
          <w:szCs w:val="30"/>
        </w:rPr>
        <w:t>长财社</w:t>
      </w:r>
      <w:r>
        <w:rPr>
          <w:rFonts w:eastAsia="方正仿宋_GBK"/>
          <w:sz w:val="32"/>
          <w:szCs w:val="32"/>
        </w:rPr>
        <w:t>〔201</w:t>
      </w:r>
      <w:r>
        <w:rPr>
          <w:rFonts w:hint="eastAsia" w:eastAsia="方正仿宋_GBK"/>
          <w:sz w:val="32"/>
          <w:szCs w:val="32"/>
        </w:rPr>
        <w:t>9</w:t>
      </w:r>
      <w:r>
        <w:rPr>
          <w:rFonts w:eastAsia="方正仿宋_GBK"/>
          <w:sz w:val="32"/>
          <w:szCs w:val="32"/>
        </w:rPr>
        <w:t>〕27号</w:t>
      </w:r>
    </w:p>
    <w:p>
      <w:pPr>
        <w:pStyle w:val="2"/>
        <w:keepNext w:val="0"/>
        <w:keepLines w:val="0"/>
        <w:pageBreakBefore w:val="0"/>
        <w:widowControl w:val="0"/>
        <w:kinsoku/>
        <w:overflowPunct/>
        <w:topLinePunct w:val="0"/>
        <w:autoSpaceDE/>
        <w:autoSpaceDN/>
        <w:bidi w:val="0"/>
        <w:adjustRightInd/>
        <w:snapToGrid/>
        <w:spacing w:line="600" w:lineRule="atLeast"/>
        <w:textAlignment w:val="auto"/>
      </w:pPr>
    </w:p>
    <w:p>
      <w:pPr>
        <w:keepNext w:val="0"/>
        <w:keepLines w:val="0"/>
        <w:pageBreakBefore w:val="0"/>
        <w:widowControl w:val="0"/>
        <w:kinsoku/>
        <w:overflowPunct/>
        <w:topLinePunct w:val="0"/>
        <w:autoSpaceDE/>
        <w:autoSpaceDN/>
        <w:bidi w:val="0"/>
        <w:adjustRightInd/>
        <w:snapToGrid/>
        <w:spacing w:line="600" w:lineRule="atLeast"/>
        <w:textAlignment w:val="auto"/>
        <w:rPr>
          <w:rFonts w:eastAsia="方正仿宋_GBK"/>
          <w:sz w:val="32"/>
        </w:rPr>
      </w:pPr>
      <w:r>
        <w:rPr>
          <w:rFonts w:hint="eastAsia" w:eastAsia="方正仿宋_GBK"/>
          <w:sz w:val="32"/>
        </w:rPr>
        <w:t>各街道办事处、镇人民政府，区政府有关部门，有关单位</w:t>
      </w:r>
      <w:r>
        <w:rPr>
          <w:rFonts w:eastAsia="方正仿宋_GBK"/>
          <w:sz w:val="32"/>
        </w:rPr>
        <w:t>：</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为了加强残疾人就业保障金（以下简称“残保金”）的征管工作，促进残疾人就业，根据《中华人民共和国残疾人保障法》、《残疾人就业条例》、《重庆市残疾人就业保障金征收使用管理实施办法》等相关法律法规，结合我区实际，对残保金征缴相关工作通知如下：</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ascii="方正黑体_GBK" w:eastAsia="方正黑体_GBK"/>
          <w:sz w:val="32"/>
          <w:szCs w:val="20"/>
        </w:rPr>
      </w:pPr>
      <w:r>
        <w:rPr>
          <w:rFonts w:hint="eastAsia" w:ascii="方正黑体_GBK" w:eastAsia="方正黑体_GBK"/>
          <w:sz w:val="32"/>
          <w:szCs w:val="20"/>
        </w:rPr>
        <w:t>一、灵活用人单位申报缴纳时限</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用人单位应于每年5月1日至6月30日向区残联申报上年本单位安排的残疾人就业人数。申报时，用人单位需提供安排残疾人、残疾军人的有效残疾人证、残疾军人证、劳动合同（服务协议）、社保缴费证明、工资表等资料，并保证其真实性和完整性。用人单位原则上于每年7月1日至7月31日向区税务局一次性申报缴纳全年应缴保障金。因特殊原因错过申报缴纳期的，可在当年11月30日之前向区残联补申报上年本单位安排的残疾人就业人数，并于12月15日前向区税务局申报缴纳全年应缴残保金。</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黑体_GBK"/>
          <w:sz w:val="32"/>
          <w:szCs w:val="20"/>
        </w:rPr>
      </w:pPr>
      <w:r>
        <w:rPr>
          <w:rFonts w:hint="eastAsia" w:eastAsia="方正黑体_GBK"/>
          <w:sz w:val="32"/>
          <w:szCs w:val="20"/>
        </w:rPr>
        <w:t>二、推动形成残保金征管工作合力</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ascii="方正仿宋_GBK" w:hAnsi="宋体" w:eastAsia="方正仿宋_GBK" w:cs="宋体"/>
          <w:kern w:val="0"/>
          <w:sz w:val="32"/>
          <w:szCs w:val="32"/>
        </w:rPr>
        <w:t>用人单位要加强对缴纳残保金、促进残疾人就业的政策规定和重要意义的认识，主动承担按比例安排残疾人就业的责任，或者履行及时申报、足额缴纳残保金的义务。每年1</w:t>
      </w:r>
      <w:r>
        <w:rPr>
          <w:rFonts w:ascii="方正仿宋_GBK" w:hAnsi="宋体" w:eastAsia="方正仿宋_GBK" w:cs="宋体"/>
          <w:kern w:val="0"/>
          <w:sz w:val="32"/>
          <w:szCs w:val="32"/>
        </w:rPr>
        <w:t>0月底前</w:t>
      </w:r>
      <w:r>
        <w:rPr>
          <w:rFonts w:hint="eastAsia" w:ascii="方正仿宋_GBK" w:hAnsi="宋体" w:eastAsia="方正仿宋_GBK" w:cs="宋体"/>
          <w:kern w:val="0"/>
          <w:sz w:val="32"/>
          <w:szCs w:val="32"/>
        </w:rPr>
        <w:t>区税务局</w:t>
      </w:r>
      <w:r>
        <w:rPr>
          <w:rFonts w:ascii="方正仿宋_GBK" w:hAnsi="宋体" w:eastAsia="方正仿宋_GBK" w:cs="宋体"/>
          <w:kern w:val="0"/>
          <w:sz w:val="32"/>
          <w:szCs w:val="32"/>
        </w:rPr>
        <w:t>将欠缴残保金企业名单发至各街镇、部门，全区各级各部门在履行向企业支付相关款项前，需对照名单核实企业是否欠缴残保金，如有欠缴的，请提醒其主动到</w:t>
      </w:r>
      <w:r>
        <w:rPr>
          <w:rFonts w:hint="eastAsia" w:eastAsia="方正仿宋_GBK"/>
          <w:sz w:val="32"/>
          <w:szCs w:val="20"/>
        </w:rPr>
        <w:t>税务部门结清欠缴费用。</w:t>
      </w:r>
      <w:r>
        <w:rPr>
          <w:rFonts w:hint="eastAsia" w:ascii="方正仿宋_GBK" w:hAnsi="宋体" w:eastAsia="方正仿宋_GBK" w:cs="宋体"/>
          <w:kern w:val="0"/>
          <w:sz w:val="32"/>
          <w:szCs w:val="32"/>
        </w:rPr>
        <w:t>对逾期未申报缴纳残保金的用人单位，区财政局将会同区税务局依法依规予以催缴，涉及</w:t>
      </w:r>
      <w:bookmarkStart w:id="0" w:name="_GoBack"/>
      <w:bookmarkEnd w:id="0"/>
      <w:r>
        <w:rPr>
          <w:rFonts w:hint="eastAsia" w:ascii="方正仿宋_GBK" w:hAnsi="宋体" w:eastAsia="方正仿宋_GBK" w:cs="宋体"/>
          <w:kern w:val="0"/>
          <w:sz w:val="32"/>
          <w:szCs w:val="32"/>
        </w:rPr>
        <w:t>企业的将</w:t>
      </w:r>
      <w:r>
        <w:rPr>
          <w:rFonts w:hint="eastAsia" w:eastAsia="方正仿宋_GBK"/>
          <w:sz w:val="32"/>
          <w:szCs w:val="20"/>
        </w:rPr>
        <w:t>依照相关规定纳入企业主体信用等级评定。</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黑体_GBK"/>
          <w:sz w:val="32"/>
          <w:szCs w:val="20"/>
        </w:rPr>
      </w:pPr>
      <w:r>
        <w:rPr>
          <w:rFonts w:hint="eastAsia" w:eastAsia="方正黑体_GBK"/>
          <w:sz w:val="32"/>
          <w:szCs w:val="20"/>
        </w:rPr>
        <w:t>三、严格执行减免或缓缴审核制度</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用人单位遇不可抗力自然灾害或其他突发事件遭受重大直接经济损失，可以按程序向区财政局申请减免或缓缴残保金，由区财政局会同区税务局、区残联审核后，报区政府审批。申请减免缓缴残保金的用人单位应提交书面申请报告、不可抗力自然灾害、突发事件证明及重大直接经济损失的审计认证等相关材料。经区政府批准减免或者缓缴保障金的用人单位名单，由区财政局通过区政府门户网站等渠道向社会集中公告。未经</w:t>
      </w:r>
      <w:r>
        <w:rPr>
          <w:rFonts w:hint="eastAsia" w:eastAsia="方正仿宋_GBK"/>
          <w:sz w:val="32"/>
          <w:szCs w:val="20"/>
          <w:lang w:eastAsia="zh-CN"/>
        </w:rPr>
        <w:t>区</w:t>
      </w:r>
      <w:r>
        <w:rPr>
          <w:rFonts w:hint="eastAsia" w:eastAsia="方正仿宋_GBK"/>
          <w:sz w:val="32"/>
          <w:szCs w:val="20"/>
        </w:rPr>
        <w:t>政府批准的，任何单位和个人均不得擅自减免或缓征保障金，不得自行改变保障金征收对象、范围和标准等。</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eastAsia="方正仿宋_GBK"/>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区残联联系人：蔡书吉</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联系电话：</w:t>
      </w:r>
      <w:r>
        <w:rPr>
          <w:rFonts w:eastAsia="方正仿宋_GBK"/>
          <w:sz w:val="32"/>
          <w:szCs w:val="20"/>
        </w:rPr>
        <w:t>40408757</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区税务局联系人：游小华</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联系电话：</w:t>
      </w:r>
      <w:r>
        <w:rPr>
          <w:rFonts w:eastAsia="方正仿宋_GBK"/>
          <w:sz w:val="32"/>
          <w:szCs w:val="20"/>
        </w:rPr>
        <w:t>40408364</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区财政局联系人：李欣颖</w:t>
      </w:r>
    </w:p>
    <w:p>
      <w:pPr>
        <w:keepNext w:val="0"/>
        <w:keepLines w:val="0"/>
        <w:pageBreakBefore w:val="0"/>
        <w:widowControl w:val="0"/>
        <w:shd w:val="clear" w:color="auto" w:fill="FFFFFF"/>
        <w:kinsoku/>
        <w:overflowPunct/>
        <w:topLinePunct w:val="0"/>
        <w:autoSpaceDE/>
        <w:autoSpaceDN/>
        <w:bidi w:val="0"/>
        <w:adjustRightInd/>
        <w:snapToGrid/>
        <w:spacing w:line="600" w:lineRule="atLeast"/>
        <w:ind w:firstLine="640" w:firstLineChars="200"/>
        <w:textAlignment w:val="auto"/>
        <w:rPr>
          <w:rFonts w:hint="eastAsia" w:eastAsia="方正仿宋_GBK"/>
          <w:sz w:val="32"/>
          <w:szCs w:val="20"/>
        </w:rPr>
      </w:pPr>
      <w:r>
        <w:rPr>
          <w:rFonts w:hint="eastAsia" w:eastAsia="方正仿宋_GBK"/>
          <w:sz w:val="32"/>
          <w:szCs w:val="20"/>
        </w:rPr>
        <w:t>联系电话：</w:t>
      </w:r>
      <w:r>
        <w:rPr>
          <w:rFonts w:eastAsia="方正仿宋_GBK"/>
          <w:sz w:val="32"/>
          <w:szCs w:val="20"/>
        </w:rPr>
        <w:t>40250080</w:t>
      </w:r>
      <w:r>
        <w:rPr>
          <w:rFonts w:hint="eastAsia" w:eastAsia="方正仿宋_GBK"/>
          <w:sz w:val="32"/>
          <w:szCs w:val="20"/>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600" w:lineRule="atLeast"/>
        <w:textAlignment w:val="auto"/>
        <w:rPr>
          <w:rFonts w:eastAsia="方正仿宋_GBK"/>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line="600" w:lineRule="atLeast"/>
        <w:textAlignment w:val="auto"/>
        <w:rPr>
          <w:rFonts w:hint="eastAsia" w:eastAsia="方正仿宋_GBK"/>
          <w:sz w:val="32"/>
          <w:szCs w:val="20"/>
        </w:rPr>
      </w:pPr>
    </w:p>
    <w:p>
      <w:pPr>
        <w:keepNext w:val="0"/>
        <w:keepLines w:val="0"/>
        <w:pageBreakBefore w:val="0"/>
        <w:widowControl w:val="0"/>
        <w:kinsoku/>
        <w:overflowPunct/>
        <w:topLinePunct w:val="0"/>
        <w:autoSpaceDE/>
        <w:autoSpaceDN/>
        <w:bidi w:val="0"/>
        <w:adjustRightInd/>
        <w:snapToGrid/>
        <w:spacing w:line="600" w:lineRule="atLeast"/>
        <w:ind w:firstLine="320" w:firstLineChars="100"/>
        <w:textAlignment w:val="auto"/>
        <w:rPr>
          <w:rFonts w:eastAsia="方正仿宋_GBK"/>
          <w:sz w:val="32"/>
        </w:rPr>
      </w:pPr>
      <w:r>
        <w:rPr>
          <w:rFonts w:eastAsia="方正仿宋_GBK"/>
          <w:sz w:val="32"/>
        </w:rPr>
        <w:t>重庆市长寿区财政局</w:t>
      </w:r>
      <w:r>
        <w:rPr>
          <w:rFonts w:hint="eastAsia" w:eastAsia="方正仿宋_GBK"/>
          <w:sz w:val="32"/>
        </w:rPr>
        <w:t xml:space="preserve"> </w:t>
      </w:r>
      <w:r>
        <w:rPr>
          <w:rFonts w:eastAsia="方正仿宋_GBK"/>
          <w:sz w:val="32"/>
        </w:rPr>
        <w:t xml:space="preserve">     </w:t>
      </w:r>
      <w:r>
        <w:rPr>
          <w:rFonts w:eastAsia="方正仿宋_GBK"/>
          <w:spacing w:val="0"/>
          <w:w w:val="93"/>
          <w:kern w:val="0"/>
          <w:sz w:val="32"/>
          <w:fitText w:val="4464" w:id="167379468"/>
        </w:rPr>
        <w:t>国家税务总局重庆市长寿区税务</w:t>
      </w:r>
      <w:r>
        <w:rPr>
          <w:rFonts w:eastAsia="方正仿宋_GBK"/>
          <w:spacing w:val="1"/>
          <w:w w:val="93"/>
          <w:kern w:val="0"/>
          <w:sz w:val="32"/>
          <w:fitText w:val="4464" w:id="167379468"/>
        </w:rPr>
        <w:t>局</w:t>
      </w:r>
    </w:p>
    <w:p>
      <w:pPr>
        <w:keepNext w:val="0"/>
        <w:keepLines w:val="0"/>
        <w:pageBreakBefore w:val="0"/>
        <w:widowControl w:val="0"/>
        <w:kinsoku/>
        <w:overflowPunct/>
        <w:topLinePunct w:val="0"/>
        <w:autoSpaceDE/>
        <w:autoSpaceDN/>
        <w:bidi w:val="0"/>
        <w:adjustRightInd/>
        <w:snapToGrid/>
        <w:spacing w:line="600" w:lineRule="atLeast"/>
        <w:textAlignment w:val="auto"/>
        <w:rPr>
          <w:rFonts w:eastAsia="方正仿宋_GBK"/>
          <w:sz w:val="32"/>
        </w:rPr>
      </w:pPr>
    </w:p>
    <w:p>
      <w:pPr>
        <w:keepNext w:val="0"/>
        <w:keepLines w:val="0"/>
        <w:pageBreakBefore w:val="0"/>
        <w:widowControl w:val="0"/>
        <w:kinsoku/>
        <w:overflowPunct/>
        <w:topLinePunct w:val="0"/>
        <w:autoSpaceDE/>
        <w:autoSpaceDN/>
        <w:bidi w:val="0"/>
        <w:adjustRightInd/>
        <w:snapToGrid/>
        <w:spacing w:line="600" w:lineRule="atLeast"/>
        <w:ind w:firstLine="640" w:firstLineChars="200"/>
        <w:textAlignment w:val="auto"/>
        <w:rPr>
          <w:rFonts w:hint="eastAsia" w:eastAsia="方正仿宋_GBK"/>
          <w:sz w:val="32"/>
        </w:rPr>
      </w:pPr>
    </w:p>
    <w:p>
      <w:pPr>
        <w:keepNext w:val="0"/>
        <w:keepLines w:val="0"/>
        <w:pageBreakBefore w:val="0"/>
        <w:widowControl w:val="0"/>
        <w:kinsoku/>
        <w:wordWrap w:val="0"/>
        <w:overflowPunct/>
        <w:topLinePunct w:val="0"/>
        <w:autoSpaceDE/>
        <w:autoSpaceDN/>
        <w:bidi w:val="0"/>
        <w:adjustRightInd/>
        <w:snapToGrid/>
        <w:spacing w:line="600" w:lineRule="atLeast"/>
        <w:ind w:right="320" w:firstLine="640" w:firstLineChars="200"/>
        <w:jc w:val="right"/>
        <w:textAlignment w:val="auto"/>
        <w:rPr>
          <w:rFonts w:hint="eastAsia" w:eastAsia="方正仿宋_GBK"/>
          <w:sz w:val="32"/>
        </w:rPr>
      </w:pPr>
      <w:r>
        <w:rPr>
          <w:rFonts w:eastAsia="方正仿宋_GBK"/>
          <w:sz w:val="32"/>
        </w:rPr>
        <w:t>重庆市残疾人联合会</w:t>
      </w:r>
      <w:r>
        <w:rPr>
          <w:rFonts w:hint="eastAsia" w:eastAsia="方正仿宋_GBK"/>
          <w:sz w:val="32"/>
        </w:rPr>
        <w:t xml:space="preserve"> </w:t>
      </w:r>
      <w:r>
        <w:rPr>
          <w:rFonts w:eastAsia="方正仿宋_GBK"/>
          <w:sz w:val="32"/>
        </w:rPr>
        <w:t xml:space="preserve">   </w:t>
      </w:r>
    </w:p>
    <w:p>
      <w:pPr>
        <w:keepNext w:val="0"/>
        <w:keepLines w:val="0"/>
        <w:pageBreakBefore w:val="0"/>
        <w:widowControl w:val="0"/>
        <w:kinsoku/>
        <w:overflowPunct/>
        <w:topLinePunct w:val="0"/>
        <w:autoSpaceDE/>
        <w:autoSpaceDN/>
        <w:bidi w:val="0"/>
        <w:adjustRightInd/>
        <w:snapToGrid/>
        <w:spacing w:line="600" w:lineRule="atLeast"/>
        <w:textAlignment w:val="auto"/>
        <w:rPr>
          <w:rFonts w:hint="default" w:ascii="Times New Roman" w:hAnsi="Times New Roman" w:cs="Times New Roman"/>
          <w:lang w:val="en-US" w:eastAsia="zh-CN"/>
        </w:rPr>
      </w:pPr>
      <w:r>
        <w:rPr>
          <w:rFonts w:eastAsia="方正仿宋_GBK"/>
          <w:sz w:val="32"/>
        </w:rPr>
        <w:t xml:space="preserve">                                 201</w:t>
      </w:r>
      <w:r>
        <w:rPr>
          <w:rFonts w:hint="eastAsia" w:eastAsia="方正仿宋_GBK"/>
          <w:sz w:val="32"/>
        </w:rPr>
        <w:t>9</w:t>
      </w:r>
      <w:r>
        <w:rPr>
          <w:rFonts w:eastAsia="方正仿宋_GBK"/>
          <w:sz w:val="32"/>
        </w:rPr>
        <w:t>年6月5日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1E30559"/>
    <w:rsid w:val="041C42DA"/>
    <w:rsid w:val="04B679C3"/>
    <w:rsid w:val="05324AA4"/>
    <w:rsid w:val="05F07036"/>
    <w:rsid w:val="062E6483"/>
    <w:rsid w:val="06E00104"/>
    <w:rsid w:val="080F63D8"/>
    <w:rsid w:val="08D80F1C"/>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2F941D7A"/>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6A94A5C"/>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661545C"/>
    <w:rsid w:val="572C6D10"/>
    <w:rsid w:val="5A4170D0"/>
    <w:rsid w:val="5AF773F9"/>
    <w:rsid w:val="5B8D42E2"/>
    <w:rsid w:val="5CA36B27"/>
    <w:rsid w:val="5DB67D65"/>
    <w:rsid w:val="5DC34279"/>
    <w:rsid w:val="5E78206D"/>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4422</Words>
  <Characters>4554</Characters>
  <Lines>1</Lines>
  <Paragraphs>1</Paragraphs>
  <TotalTime>0</TotalTime>
  <ScaleCrop>false</ScaleCrop>
  <LinksUpToDate>false</LinksUpToDate>
  <CharactersWithSpaces>4632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