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spacing w:line="550" w:lineRule="exact"/>
        <w:jc w:val="center"/>
        <w:rPr>
          <w:rFonts w:hint="eastAsia" w:eastAsia="方正小标宋_GBK"/>
          <w:color w:val="auto"/>
          <w:sz w:val="44"/>
          <w:highlight w:val="none"/>
        </w:rPr>
      </w:pPr>
      <w:r>
        <w:rPr>
          <w:rFonts w:hint="eastAsia" w:eastAsia="方正小标宋_GBK"/>
          <w:color w:val="auto"/>
          <w:sz w:val="44"/>
          <w:highlight w:val="none"/>
        </w:rPr>
        <w:t>重庆市</w:t>
      </w:r>
      <w:r>
        <w:rPr>
          <w:rFonts w:hint="eastAsia" w:eastAsia="方正小标宋_GBK"/>
          <w:color w:val="auto"/>
          <w:sz w:val="44"/>
          <w:highlight w:val="none"/>
          <w:lang w:eastAsia="zh-CN"/>
        </w:rPr>
        <w:t>长寿区</w:t>
      </w:r>
      <w:r>
        <w:rPr>
          <w:rFonts w:hint="eastAsia" w:eastAsia="方正小标宋_GBK"/>
          <w:color w:val="auto"/>
          <w:sz w:val="44"/>
          <w:highlight w:val="none"/>
        </w:rPr>
        <w:t>财政局</w:t>
      </w:r>
    </w:p>
    <w:p>
      <w:pPr>
        <w:spacing w:line="550" w:lineRule="exact"/>
        <w:jc w:val="center"/>
        <w:rPr>
          <w:rFonts w:hint="eastAsia" w:eastAsia="方正小标宋_GBK"/>
          <w:color w:val="auto"/>
          <w:sz w:val="44"/>
          <w:highlight w:val="none"/>
        </w:rPr>
      </w:pPr>
      <w:r>
        <w:rPr>
          <w:rFonts w:hint="eastAsia" w:eastAsia="方正小标宋_GBK"/>
          <w:color w:val="auto"/>
          <w:sz w:val="44"/>
          <w:highlight w:val="none"/>
        </w:rPr>
        <w:t>关于印发重庆市</w:t>
      </w:r>
      <w:r>
        <w:rPr>
          <w:rFonts w:hint="eastAsia" w:eastAsia="方正小标宋_GBK"/>
          <w:color w:val="auto"/>
          <w:sz w:val="44"/>
          <w:highlight w:val="none"/>
          <w:lang w:eastAsia="zh-CN"/>
        </w:rPr>
        <w:t>长寿区</w:t>
      </w:r>
      <w:r>
        <w:rPr>
          <w:rFonts w:hint="eastAsia" w:eastAsia="方正小标宋_GBK"/>
          <w:color w:val="auto"/>
          <w:sz w:val="44"/>
          <w:highlight w:val="none"/>
        </w:rPr>
        <w:t>农业保险保费补贴管理</w:t>
      </w:r>
      <w:r>
        <w:rPr>
          <w:rFonts w:hint="eastAsia" w:eastAsia="方正小标宋_GBK"/>
          <w:color w:val="auto"/>
          <w:sz w:val="44"/>
          <w:highlight w:val="none"/>
          <w:lang w:eastAsia="zh-CN"/>
        </w:rPr>
        <w:t>实施细则的通知</w:t>
      </w:r>
    </w:p>
    <w:p>
      <w:pPr>
        <w:keepNext w:val="0"/>
        <w:keepLines w:val="0"/>
        <w:pageBreakBefore w:val="0"/>
        <w:shd w:val="clear" w:color="auto"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长财办〔20</w:t>
      </w:r>
      <w:r>
        <w:rPr>
          <w:rFonts w:hint="default" w:ascii="Times New Roman" w:hAnsi="Times New Roman" w:eastAsia="方正仿宋_GBK" w:cs="Times New Roman"/>
          <w:sz w:val="32"/>
          <w:szCs w:val="20"/>
          <w:lang w:val="en-US" w:eastAsia="zh-CN"/>
        </w:rPr>
        <w:t>22</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31</w:t>
      </w:r>
      <w:r>
        <w:rPr>
          <w:rFonts w:hint="default"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spacing w:line="550" w:lineRule="exact"/>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lang w:eastAsia="zh-CN"/>
        </w:rPr>
        <w:t>各街道办事处、镇人民政府</w:t>
      </w:r>
      <w:r>
        <w:rPr>
          <w:rFonts w:hint="eastAsia" w:ascii="Times New Roman" w:hAnsi="Times New Roman" w:eastAsia="方正仿宋_GBK" w:cs="Times New Roman"/>
          <w:color w:val="auto"/>
          <w:sz w:val="32"/>
          <w:szCs w:val="20"/>
          <w:highlight w:val="none"/>
        </w:rPr>
        <w:t>，</w:t>
      </w:r>
      <w:r>
        <w:rPr>
          <w:rFonts w:hint="eastAsia" w:ascii="Times New Roman" w:hAnsi="Times New Roman" w:eastAsia="方正仿宋_GBK" w:cs="Times New Roman"/>
          <w:color w:val="auto"/>
          <w:sz w:val="32"/>
          <w:szCs w:val="20"/>
          <w:highlight w:val="none"/>
          <w:lang w:eastAsia="zh-CN"/>
        </w:rPr>
        <w:t>区级有关部门，</w:t>
      </w:r>
      <w:r>
        <w:rPr>
          <w:rFonts w:hint="eastAsia" w:ascii="Times New Roman" w:hAnsi="Times New Roman" w:eastAsia="方正仿宋_GBK" w:cs="Times New Roman"/>
          <w:color w:val="auto"/>
          <w:sz w:val="32"/>
          <w:szCs w:val="20"/>
          <w:highlight w:val="none"/>
        </w:rPr>
        <w:t>有关保险公司：</w:t>
      </w:r>
    </w:p>
    <w:p>
      <w:pPr>
        <w:spacing w:line="550"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rPr>
        <w:t>为进一步加强农业保险保费补贴资金管理，筑牢农业生产风险屏障，助力乡村振兴，按照财政部</w:t>
      </w:r>
      <w:r>
        <w:rPr>
          <w:rFonts w:hint="eastAsia" w:ascii="Times New Roman" w:hAnsi="Times New Roman" w:eastAsia="方正仿宋_GBK" w:cs="Times New Roman"/>
          <w:color w:val="auto"/>
          <w:sz w:val="32"/>
          <w:szCs w:val="20"/>
          <w:highlight w:val="none"/>
          <w:lang w:eastAsia="zh-CN"/>
        </w:rPr>
        <w:t>和市财政局</w:t>
      </w:r>
      <w:r>
        <w:rPr>
          <w:rFonts w:hint="eastAsia" w:ascii="Times New Roman" w:hAnsi="Times New Roman" w:eastAsia="方正仿宋_GBK" w:cs="Times New Roman"/>
          <w:color w:val="auto"/>
          <w:sz w:val="32"/>
          <w:szCs w:val="20"/>
          <w:highlight w:val="none"/>
        </w:rPr>
        <w:t>统一要求，结合我</w:t>
      </w:r>
      <w:r>
        <w:rPr>
          <w:rFonts w:hint="eastAsia" w:ascii="Times New Roman" w:hAnsi="Times New Roman" w:eastAsia="方正仿宋_GBK" w:cs="Times New Roman"/>
          <w:color w:val="auto"/>
          <w:sz w:val="32"/>
          <w:szCs w:val="20"/>
          <w:highlight w:val="none"/>
          <w:lang w:eastAsia="zh-CN"/>
        </w:rPr>
        <w:t>区</w:t>
      </w:r>
      <w:r>
        <w:rPr>
          <w:rFonts w:hint="eastAsia" w:ascii="Times New Roman" w:hAnsi="Times New Roman" w:eastAsia="方正仿宋_GBK" w:cs="Times New Roman"/>
          <w:color w:val="auto"/>
          <w:sz w:val="32"/>
          <w:szCs w:val="20"/>
          <w:highlight w:val="none"/>
        </w:rPr>
        <w:t>实际，我们形成了《重庆市</w:t>
      </w:r>
      <w:r>
        <w:rPr>
          <w:rFonts w:hint="eastAsia" w:ascii="Times New Roman" w:hAnsi="Times New Roman" w:eastAsia="方正仿宋_GBK" w:cs="Times New Roman"/>
          <w:color w:val="auto"/>
          <w:sz w:val="32"/>
          <w:szCs w:val="20"/>
          <w:highlight w:val="none"/>
          <w:lang w:eastAsia="zh-CN"/>
        </w:rPr>
        <w:t>长寿区</w:t>
      </w:r>
      <w:r>
        <w:rPr>
          <w:rFonts w:hint="eastAsia" w:ascii="Times New Roman" w:hAnsi="Times New Roman" w:eastAsia="方正仿宋_GBK" w:cs="Times New Roman"/>
          <w:color w:val="auto"/>
          <w:sz w:val="32"/>
          <w:szCs w:val="20"/>
          <w:highlight w:val="none"/>
        </w:rPr>
        <w:t>农业保险保费补贴管理</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》。现印发给你们，请遵照执行。</w:t>
      </w:r>
    </w:p>
    <w:p>
      <w:pPr>
        <w:spacing w:line="550" w:lineRule="exact"/>
        <w:rPr>
          <w:rFonts w:ascii="Times New Roman" w:hAnsi="Times New Roman" w:eastAsia="方正仿宋_GBK" w:cs="Times New Roman"/>
          <w:color w:val="auto"/>
          <w:sz w:val="32"/>
          <w:szCs w:val="20"/>
          <w:highlight w:val="none"/>
        </w:rPr>
      </w:pPr>
    </w:p>
    <w:p>
      <w:pPr>
        <w:spacing w:line="550" w:lineRule="exact"/>
        <w:ind w:firstLine="5385" w:firstLineChars="1683"/>
        <w:rPr>
          <w:rFonts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rPr>
        <w:t>重庆市</w:t>
      </w:r>
      <w:r>
        <w:rPr>
          <w:rFonts w:hint="eastAsia" w:ascii="Times New Roman" w:hAnsi="Times New Roman" w:eastAsia="方正仿宋_GBK" w:cs="Times New Roman"/>
          <w:color w:val="auto"/>
          <w:sz w:val="32"/>
          <w:szCs w:val="20"/>
          <w:highlight w:val="none"/>
          <w:lang w:eastAsia="zh-CN"/>
        </w:rPr>
        <w:t>长寿区</w:t>
      </w:r>
      <w:r>
        <w:rPr>
          <w:rFonts w:hint="eastAsia" w:ascii="Times New Roman" w:hAnsi="Times New Roman" w:eastAsia="方正仿宋_GBK" w:cs="Times New Roman"/>
          <w:color w:val="auto"/>
          <w:sz w:val="32"/>
          <w:szCs w:val="20"/>
          <w:highlight w:val="none"/>
        </w:rPr>
        <w:t>财政局</w:t>
      </w:r>
    </w:p>
    <w:p>
      <w:pPr>
        <w:spacing w:line="550" w:lineRule="exact"/>
        <w:ind w:firstLine="5100" w:firstLineChars="1594"/>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lang w:val="en-US" w:eastAsia="zh-CN"/>
        </w:rPr>
        <w:t xml:space="preserve">    </w:t>
      </w:r>
      <w:r>
        <w:rPr>
          <w:rFonts w:hint="default" w:ascii="Times New Roman" w:hAnsi="Times New Roman" w:eastAsia="方正仿宋_GBK" w:cs="Times New Roman"/>
          <w:color w:val="auto"/>
          <w:sz w:val="32"/>
          <w:szCs w:val="20"/>
          <w:highlight w:val="none"/>
        </w:rPr>
        <w:t>2022</w:t>
      </w:r>
      <w:r>
        <w:rPr>
          <w:rFonts w:hint="eastAsia" w:ascii="Times New Roman" w:hAnsi="Times New Roman" w:eastAsia="方正仿宋_GBK" w:cs="Times New Roman"/>
          <w:color w:val="auto"/>
          <w:sz w:val="32"/>
          <w:szCs w:val="20"/>
          <w:highlight w:val="none"/>
        </w:rPr>
        <w:t>年</w:t>
      </w:r>
      <w:r>
        <w:rPr>
          <w:rFonts w:hint="default" w:ascii="Times New Roman" w:hAnsi="Times New Roman" w:eastAsia="方正仿宋_GBK" w:cs="Times New Roman"/>
          <w:color w:val="auto"/>
          <w:sz w:val="32"/>
          <w:szCs w:val="20"/>
          <w:highlight w:val="none"/>
          <w:lang w:val="en-US" w:eastAsia="zh-CN"/>
        </w:rPr>
        <w:t>8</w:t>
      </w:r>
      <w:r>
        <w:rPr>
          <w:rFonts w:hint="eastAsia" w:ascii="Times New Roman" w:hAnsi="Times New Roman" w:eastAsia="方正仿宋_GBK" w:cs="Times New Roman"/>
          <w:color w:val="auto"/>
          <w:sz w:val="32"/>
          <w:szCs w:val="20"/>
          <w:highlight w:val="none"/>
        </w:rPr>
        <w:t>月</w:t>
      </w:r>
      <w:r>
        <w:rPr>
          <w:rFonts w:hint="default" w:ascii="Times New Roman" w:hAnsi="Times New Roman" w:eastAsia="方正仿宋_GBK" w:cs="Times New Roman"/>
          <w:color w:val="auto"/>
          <w:sz w:val="32"/>
          <w:szCs w:val="20"/>
          <w:highlight w:val="none"/>
          <w:lang w:val="en-US" w:eastAsia="zh-CN"/>
        </w:rPr>
        <w:t>26</w:t>
      </w:r>
      <w:r>
        <w:rPr>
          <w:rFonts w:hint="eastAsia" w:ascii="Times New Roman" w:hAnsi="Times New Roman" w:eastAsia="方正仿宋_GBK" w:cs="Times New Roman"/>
          <w:color w:val="auto"/>
          <w:sz w:val="32"/>
          <w:szCs w:val="20"/>
          <w:highlight w:val="none"/>
        </w:rPr>
        <w:t>日</w:t>
      </w:r>
    </w:p>
    <w:p>
      <w:pPr>
        <w:spacing w:line="550" w:lineRule="exact"/>
        <w:ind w:firstLine="5100" w:firstLineChars="1594"/>
        <w:rPr>
          <w:rFonts w:hint="eastAsia" w:ascii="Times New Roman" w:hAnsi="Times New Roman" w:eastAsia="方正仿宋_GBK" w:cs="Times New Roman"/>
          <w:color w:val="auto"/>
          <w:sz w:val="32"/>
          <w:szCs w:val="20"/>
          <w:highlight w:val="none"/>
        </w:rPr>
      </w:pPr>
    </w:p>
    <w:p>
      <w:pPr>
        <w:spacing w:line="550"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rPr>
        <w:t>（此件主动</w:t>
      </w:r>
      <w:r>
        <w:rPr>
          <w:rFonts w:ascii="Times New Roman" w:hAnsi="Times New Roman" w:eastAsia="方正仿宋_GBK" w:cs="Times New Roman"/>
          <w:color w:val="auto"/>
          <w:sz w:val="32"/>
          <w:szCs w:val="20"/>
          <w:highlight w:val="none"/>
        </w:rPr>
        <w:t>公开）</w:t>
      </w:r>
    </w:p>
    <w:p>
      <w:pPr>
        <w:spacing w:line="578" w:lineRule="exact"/>
        <w:jc w:val="center"/>
        <w:rPr>
          <w:rFonts w:hint="eastAsia" w:ascii="Times New Roman" w:hAnsi="Times New Roman" w:eastAsia="方正小标宋_GBK" w:cs="Times New Roman"/>
          <w:color w:val="auto"/>
          <w:sz w:val="44"/>
          <w:szCs w:val="20"/>
          <w:highlight w:val="none"/>
        </w:rPr>
      </w:pPr>
    </w:p>
    <w:p>
      <w:pPr>
        <w:spacing w:line="578" w:lineRule="exact"/>
        <w:jc w:val="center"/>
        <w:rPr>
          <w:rFonts w:hint="eastAsia" w:ascii="Times New Roman" w:hAnsi="Times New Roman" w:eastAsia="方正小标宋_GBK" w:cs="Times New Roman"/>
          <w:color w:val="auto"/>
          <w:sz w:val="44"/>
          <w:szCs w:val="20"/>
          <w:highlight w:val="none"/>
        </w:rPr>
      </w:pPr>
    </w:p>
    <w:p>
      <w:pPr>
        <w:spacing w:line="578" w:lineRule="exact"/>
        <w:jc w:val="center"/>
        <w:rPr>
          <w:rFonts w:hint="eastAsia" w:ascii="Times New Roman" w:hAnsi="Times New Roman" w:eastAsia="方正小标宋_GBK" w:cs="Times New Roman"/>
          <w:color w:val="auto"/>
          <w:sz w:val="44"/>
          <w:szCs w:val="20"/>
          <w:highlight w:val="none"/>
        </w:rPr>
      </w:pPr>
    </w:p>
    <w:p>
      <w:pPr>
        <w:spacing w:line="578" w:lineRule="exact"/>
        <w:jc w:val="center"/>
        <w:rPr>
          <w:rFonts w:hint="eastAsia" w:ascii="Times New Roman" w:hAnsi="Times New Roman" w:eastAsia="方正小标宋_GBK" w:cs="Times New Roman"/>
          <w:color w:val="auto"/>
          <w:sz w:val="44"/>
          <w:szCs w:val="20"/>
          <w:highlight w:val="none"/>
        </w:rPr>
      </w:pPr>
    </w:p>
    <w:p>
      <w:pPr>
        <w:spacing w:line="578" w:lineRule="exact"/>
        <w:jc w:val="center"/>
        <w:rPr>
          <w:rFonts w:hint="eastAsia" w:ascii="Times New Roman" w:hAnsi="Times New Roman" w:eastAsia="方正小标宋_GBK" w:cs="Times New Roman"/>
          <w:color w:val="auto"/>
          <w:sz w:val="44"/>
          <w:szCs w:val="20"/>
          <w:highlight w:val="none"/>
        </w:rPr>
      </w:pPr>
    </w:p>
    <w:p>
      <w:pPr>
        <w:spacing w:line="578" w:lineRule="exact"/>
        <w:jc w:val="center"/>
        <w:rPr>
          <w:rFonts w:hint="eastAsia" w:ascii="Times New Roman" w:hAnsi="Times New Roman" w:eastAsia="方正小标宋_GBK" w:cs="Times New Roman"/>
          <w:color w:val="auto"/>
          <w:sz w:val="44"/>
          <w:szCs w:val="20"/>
          <w:highlight w:val="none"/>
        </w:rPr>
      </w:pPr>
      <w:r>
        <w:rPr>
          <w:rFonts w:hint="eastAsia" w:ascii="Times New Roman" w:hAnsi="Times New Roman" w:eastAsia="方正小标宋_GBK" w:cs="Times New Roman"/>
          <w:color w:val="auto"/>
          <w:sz w:val="44"/>
          <w:szCs w:val="20"/>
          <w:highlight w:val="none"/>
        </w:rPr>
        <w:t>重庆市</w:t>
      </w:r>
      <w:r>
        <w:rPr>
          <w:rFonts w:hint="eastAsia" w:ascii="Times New Roman" w:hAnsi="Times New Roman" w:eastAsia="方正小标宋_GBK" w:cs="Times New Roman"/>
          <w:color w:val="auto"/>
          <w:sz w:val="44"/>
          <w:szCs w:val="20"/>
          <w:highlight w:val="none"/>
          <w:lang w:eastAsia="zh-CN"/>
        </w:rPr>
        <w:t>长寿区</w:t>
      </w:r>
      <w:r>
        <w:rPr>
          <w:rFonts w:hint="eastAsia" w:ascii="Times New Roman" w:hAnsi="Times New Roman" w:eastAsia="方正小标宋_GBK" w:cs="Times New Roman"/>
          <w:color w:val="auto"/>
          <w:sz w:val="44"/>
          <w:szCs w:val="20"/>
          <w:highlight w:val="none"/>
        </w:rPr>
        <w:t>农业保险保费补贴管理</w:t>
      </w:r>
      <w:r>
        <w:rPr>
          <w:rFonts w:hint="eastAsia" w:ascii="Times New Roman" w:hAnsi="Times New Roman" w:eastAsia="方正小标宋_GBK" w:cs="Times New Roman"/>
          <w:color w:val="auto"/>
          <w:sz w:val="44"/>
          <w:szCs w:val="20"/>
          <w:highlight w:val="none"/>
          <w:lang w:eastAsia="zh-CN"/>
        </w:rPr>
        <w:t>实施细则</w:t>
      </w:r>
    </w:p>
    <w:p>
      <w:pPr>
        <w:spacing w:line="578" w:lineRule="exact"/>
        <w:rPr>
          <w:rFonts w:hint="eastAsia" w:ascii="Times New Roman" w:hAnsi="Times New Roman" w:eastAsia="方正仿宋_GBK" w:cs="Times New Roman"/>
          <w:color w:val="auto"/>
          <w:sz w:val="32"/>
          <w:szCs w:val="20"/>
          <w:highlight w:val="none"/>
        </w:rPr>
      </w:pPr>
    </w:p>
    <w:p>
      <w:pPr>
        <w:numPr>
          <w:ilvl w:val="0"/>
          <w:numId w:val="1"/>
        </w:numPr>
        <w:spacing w:line="578" w:lineRule="exact"/>
        <w:jc w:val="center"/>
        <w:rPr>
          <w:rFonts w:hint="eastAsia" w:ascii="Times New Roman" w:hAnsi="Times New Roman" w:eastAsia="方正黑体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 xml:space="preserve"> 总则</w:t>
      </w:r>
    </w:p>
    <w:p>
      <w:pPr>
        <w:pStyle w:val="2"/>
        <w:numPr>
          <w:ilvl w:val="0"/>
          <w:numId w:val="0"/>
        </w:numPr>
        <w:rPr>
          <w:rFonts w:hint="eastAsia"/>
        </w:rPr>
      </w:pP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第一条</w:t>
      </w:r>
      <w:r>
        <w:rPr>
          <w:rFonts w:hint="eastAsia" w:ascii="Times New Roman" w:hAnsi="Times New Roman" w:eastAsia="方正仿宋_GBK" w:cs="Times New Roman"/>
          <w:color w:val="auto"/>
          <w:sz w:val="32"/>
          <w:szCs w:val="20"/>
          <w:highlight w:val="none"/>
        </w:rPr>
        <w:t xml:space="preserve">  为加强农业保险保费补贴资金管理，筑牢农业生产风险屏障，助力乡村振兴，根据《财政部关于印发〈中央财政农业保险保费补贴管理</w:t>
      </w:r>
      <w:r>
        <w:rPr>
          <w:rFonts w:hint="eastAsia" w:ascii="Times New Roman" w:hAnsi="Times New Roman" w:eastAsia="方正仿宋_GBK" w:cs="Times New Roman"/>
          <w:color w:val="auto"/>
          <w:sz w:val="32"/>
          <w:szCs w:val="20"/>
          <w:highlight w:val="none"/>
          <w:lang w:val="en-US" w:eastAsia="zh-CN"/>
        </w:rPr>
        <w:t>办法</w:t>
      </w:r>
      <w:r>
        <w:rPr>
          <w:rFonts w:hint="eastAsia" w:ascii="Times New Roman" w:hAnsi="Times New Roman" w:eastAsia="方正仿宋_GBK" w:cs="Times New Roman"/>
          <w:color w:val="auto"/>
          <w:sz w:val="32"/>
          <w:szCs w:val="20"/>
          <w:highlight w:val="none"/>
        </w:rPr>
        <w:t>〉的通知》（财金〔</w:t>
      </w:r>
      <w:r>
        <w:rPr>
          <w:rFonts w:hint="default" w:ascii="Times New Roman" w:hAnsi="Times New Roman" w:eastAsia="方正仿宋_GBK" w:cs="Times New Roman"/>
          <w:color w:val="auto"/>
          <w:sz w:val="32"/>
          <w:szCs w:val="20"/>
          <w:highlight w:val="none"/>
        </w:rPr>
        <w:t>2021</w:t>
      </w:r>
      <w:r>
        <w:rPr>
          <w:rFonts w:hint="eastAsia" w:ascii="Times New Roman" w:hAnsi="Times New Roman" w:eastAsia="方正仿宋_GBK" w:cs="Times New Roman"/>
          <w:color w:val="auto"/>
          <w:sz w:val="32"/>
          <w:szCs w:val="20"/>
          <w:highlight w:val="none"/>
        </w:rPr>
        <w:t>〕</w:t>
      </w:r>
      <w:r>
        <w:rPr>
          <w:rFonts w:hint="default" w:ascii="Times New Roman" w:hAnsi="Times New Roman" w:eastAsia="方正仿宋_GBK" w:cs="Times New Roman"/>
          <w:color w:val="auto"/>
          <w:sz w:val="32"/>
          <w:szCs w:val="20"/>
          <w:highlight w:val="none"/>
        </w:rPr>
        <w:t>130</w:t>
      </w:r>
      <w:r>
        <w:rPr>
          <w:rFonts w:hint="eastAsia" w:ascii="Times New Roman" w:hAnsi="Times New Roman" w:eastAsia="方正仿宋_GBK" w:cs="Times New Roman"/>
          <w:color w:val="auto"/>
          <w:sz w:val="32"/>
          <w:szCs w:val="20"/>
          <w:highlight w:val="none"/>
        </w:rPr>
        <w:t>号）</w:t>
      </w:r>
      <w:r>
        <w:rPr>
          <w:rFonts w:hint="eastAsia" w:ascii="Times New Roman" w:hAnsi="Times New Roman" w:eastAsia="方正仿宋_GBK" w:cs="Times New Roman"/>
          <w:color w:val="auto"/>
          <w:sz w:val="32"/>
          <w:szCs w:val="20"/>
          <w:highlight w:val="none"/>
          <w:lang w:eastAsia="zh-CN"/>
        </w:rPr>
        <w:t>、《重庆市财政局关于印发重庆市农业保险保费补贴管理</w:t>
      </w:r>
      <w:r>
        <w:rPr>
          <w:rFonts w:hint="eastAsia" w:ascii="Times New Roman" w:hAnsi="Times New Roman" w:eastAsia="方正仿宋_GBK" w:cs="Times New Roman"/>
          <w:color w:val="auto"/>
          <w:sz w:val="32"/>
          <w:szCs w:val="20"/>
          <w:highlight w:val="none"/>
          <w:lang w:val="en-US" w:eastAsia="zh-CN"/>
        </w:rPr>
        <w:t>办法</w:t>
      </w:r>
      <w:r>
        <w:rPr>
          <w:rFonts w:hint="eastAsia" w:ascii="Times New Roman" w:hAnsi="Times New Roman" w:eastAsia="方正仿宋_GBK" w:cs="Times New Roman"/>
          <w:color w:val="auto"/>
          <w:sz w:val="32"/>
          <w:szCs w:val="20"/>
          <w:highlight w:val="none"/>
          <w:lang w:eastAsia="zh-CN"/>
        </w:rPr>
        <w:t>的通知》（渝财规〔</w:t>
      </w:r>
      <w:r>
        <w:rPr>
          <w:rFonts w:hint="default" w:ascii="Times New Roman" w:hAnsi="Times New Roman" w:eastAsia="方正仿宋_GBK" w:cs="Times New Roman"/>
          <w:color w:val="auto"/>
          <w:sz w:val="32"/>
          <w:szCs w:val="20"/>
          <w:highlight w:val="none"/>
          <w:lang w:eastAsia="zh-CN"/>
        </w:rPr>
        <w:t>2022</w:t>
      </w:r>
      <w:r>
        <w:rPr>
          <w:rFonts w:hint="eastAsia" w:ascii="Times New Roman" w:hAnsi="Times New Roman" w:eastAsia="方正仿宋_GBK" w:cs="Times New Roman"/>
          <w:color w:val="auto"/>
          <w:sz w:val="32"/>
          <w:szCs w:val="20"/>
          <w:highlight w:val="none"/>
          <w:lang w:eastAsia="zh-CN"/>
        </w:rPr>
        <w:t>〕</w:t>
      </w:r>
      <w:r>
        <w:rPr>
          <w:rFonts w:hint="default" w:ascii="Times New Roman" w:hAnsi="Times New Roman" w:eastAsia="方正仿宋_GBK" w:cs="Times New Roman"/>
          <w:color w:val="auto"/>
          <w:sz w:val="32"/>
          <w:szCs w:val="20"/>
          <w:highlight w:val="none"/>
          <w:lang w:eastAsia="zh-CN"/>
        </w:rPr>
        <w:t>5</w:t>
      </w:r>
      <w:r>
        <w:rPr>
          <w:rFonts w:hint="eastAsia" w:ascii="Times New Roman" w:hAnsi="Times New Roman" w:eastAsia="方正仿宋_GBK" w:cs="Times New Roman"/>
          <w:color w:val="auto"/>
          <w:sz w:val="32"/>
          <w:szCs w:val="20"/>
          <w:highlight w:val="none"/>
          <w:lang w:eastAsia="zh-CN"/>
        </w:rPr>
        <w:t>号）</w:t>
      </w:r>
      <w:r>
        <w:rPr>
          <w:rFonts w:hint="eastAsia" w:ascii="Times New Roman" w:hAnsi="Times New Roman" w:eastAsia="方正仿宋_GBK" w:cs="Times New Roman"/>
          <w:color w:val="auto"/>
          <w:sz w:val="32"/>
          <w:szCs w:val="20"/>
          <w:highlight w:val="none"/>
        </w:rPr>
        <w:t>等文件规定，制定本</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第二条</w:t>
      </w:r>
      <w:r>
        <w:rPr>
          <w:rFonts w:hint="eastAsia" w:ascii="Times New Roman" w:hAnsi="Times New Roman" w:eastAsia="方正仿宋_GBK" w:cs="Times New Roman"/>
          <w:color w:val="auto"/>
          <w:sz w:val="32"/>
          <w:szCs w:val="20"/>
          <w:highlight w:val="none"/>
        </w:rPr>
        <w:t xml:space="preserve">  本</w:t>
      </w:r>
      <w:r>
        <w:rPr>
          <w:rFonts w:hint="eastAsia" w:ascii="Times New Roman" w:hAnsi="Times New Roman" w:eastAsia="方正仿宋_GBK" w:cs="Times New Roman"/>
          <w:color w:val="auto"/>
          <w:sz w:val="32"/>
          <w:szCs w:val="20"/>
          <w:highlight w:val="none"/>
          <w:lang w:eastAsia="zh-CN"/>
        </w:rPr>
        <w:t>细则</w:t>
      </w:r>
      <w:r>
        <w:rPr>
          <w:rFonts w:hint="eastAsia" w:ascii="Times New Roman" w:hAnsi="Times New Roman" w:eastAsia="方正仿宋_GBK" w:cs="Times New Roman"/>
          <w:color w:val="auto"/>
          <w:sz w:val="32"/>
          <w:szCs w:val="20"/>
          <w:highlight w:val="none"/>
        </w:rPr>
        <w:t>所称保费补贴，是指中央、市级</w:t>
      </w:r>
      <w:r>
        <w:rPr>
          <w:rFonts w:hint="eastAsia" w:ascii="Times New Roman" w:hAnsi="Times New Roman" w:eastAsia="方正仿宋_GBK" w:cs="Times New Roman"/>
          <w:color w:val="auto"/>
          <w:sz w:val="32"/>
          <w:szCs w:val="20"/>
          <w:highlight w:val="none"/>
          <w:lang w:eastAsia="zh-CN"/>
        </w:rPr>
        <w:t>、区级财政</w:t>
      </w:r>
      <w:r>
        <w:rPr>
          <w:rFonts w:hint="eastAsia" w:ascii="Times New Roman" w:hAnsi="Times New Roman" w:eastAsia="方正仿宋_GBK" w:cs="Times New Roman"/>
          <w:color w:val="auto"/>
          <w:sz w:val="32"/>
          <w:szCs w:val="20"/>
          <w:highlight w:val="none"/>
        </w:rPr>
        <w:t>对政府引导有关农业保险经营机构（以下简称承保机构）开展符合条件的农业保险业务，按照保费的一定比例，为投保农户、农业生产经营组织等提供补贴。</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rPr>
        <w:t>本</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所称承保机构，是指保险公司以及依法设立并开展农业保险业务的农业互助保险等保险组织。本</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所称农业生产经营组织，是指农民专业合作社、农业企业以及其他农业生产经营组织。</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第三条</w:t>
      </w:r>
      <w:r>
        <w:rPr>
          <w:rFonts w:hint="eastAsia" w:ascii="Times New Roman" w:hAnsi="Times New Roman" w:eastAsia="方正仿宋_GBK" w:cs="Times New Roman"/>
          <w:color w:val="auto"/>
          <w:sz w:val="32"/>
          <w:szCs w:val="20"/>
          <w:highlight w:val="none"/>
        </w:rPr>
        <w:t xml:space="preserve">  农业保险工作遵循政府引导、市场运作、自主自愿、协同推进的原则。农业保险保费补贴工作实行财政支持、分级负责、预算约束、政策协同、绩效导向、惠及农户的原则。</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lang w:val="en-US" w:eastAsia="zh-CN"/>
        </w:rPr>
        <w:t xml:space="preserve">  </w:t>
      </w:r>
    </w:p>
    <w:p>
      <w:pPr>
        <w:numPr>
          <w:ilvl w:val="0"/>
          <w:numId w:val="1"/>
        </w:numPr>
        <w:spacing w:line="578" w:lineRule="exact"/>
        <w:ind w:left="0" w:leftChars="0" w:firstLine="0" w:firstLineChars="0"/>
        <w:jc w:val="center"/>
        <w:rPr>
          <w:rFonts w:hint="eastAsia" w:ascii="Times New Roman" w:hAnsi="Times New Roman" w:eastAsia="方正黑体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 xml:space="preserve"> 补贴标准及范围</w:t>
      </w:r>
    </w:p>
    <w:p>
      <w:pPr>
        <w:pStyle w:val="2"/>
        <w:numPr>
          <w:ilvl w:val="0"/>
          <w:numId w:val="0"/>
        </w:numPr>
        <w:ind w:leftChars="0"/>
      </w:pP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第四条</w:t>
      </w:r>
      <w:r>
        <w:rPr>
          <w:rFonts w:hint="eastAsia" w:ascii="Times New Roman" w:hAnsi="Times New Roman" w:eastAsia="方正仿宋_GBK" w:cs="Times New Roman"/>
          <w:color w:val="auto"/>
          <w:sz w:val="32"/>
          <w:szCs w:val="20"/>
          <w:highlight w:val="none"/>
        </w:rPr>
        <w:t xml:space="preserve">  保费补贴资金支持的农业保险（以下简称补贴险种）标的为关系国计民生和粮食、生态安全的主要大宗农产品，以及根据党中央、国务院、市委、市政府有关要求明确的其他农产品。具体分为纳入中央财政保费补贴范围的保险品种（以下简称中央补贴险种）</w:t>
      </w:r>
      <w:r>
        <w:rPr>
          <w:rFonts w:hint="eastAsia" w:ascii="Times New Roman" w:hAnsi="Times New Roman" w:eastAsia="方正仿宋_GBK" w:cs="Times New Roman"/>
          <w:color w:val="auto"/>
          <w:sz w:val="32"/>
          <w:szCs w:val="20"/>
          <w:highlight w:val="none"/>
          <w:lang w:eastAsia="zh-CN"/>
        </w:rPr>
        <w:t>，</w:t>
      </w:r>
      <w:r>
        <w:rPr>
          <w:rFonts w:hint="eastAsia" w:ascii="Times New Roman" w:hAnsi="Times New Roman" w:eastAsia="方正仿宋_GBK" w:cs="Times New Roman"/>
          <w:color w:val="auto"/>
          <w:sz w:val="32"/>
          <w:szCs w:val="20"/>
          <w:highlight w:val="none"/>
        </w:rPr>
        <w:t>纳入市级财政保费补贴范围的保险品种（以下简称市级补贴险种）</w:t>
      </w:r>
      <w:r>
        <w:rPr>
          <w:rFonts w:hint="eastAsia" w:ascii="Times New Roman" w:hAnsi="Times New Roman" w:eastAsia="方正仿宋_GBK" w:cs="Times New Roman"/>
          <w:color w:val="auto"/>
          <w:sz w:val="32"/>
          <w:szCs w:val="20"/>
          <w:highlight w:val="none"/>
          <w:lang w:eastAsia="zh-CN"/>
        </w:rPr>
        <w:t>和</w:t>
      </w:r>
      <w:r>
        <w:rPr>
          <w:rFonts w:hint="eastAsia" w:ascii="Times New Roman" w:hAnsi="Times New Roman" w:eastAsia="方正仿宋_GBK" w:cs="Times New Roman"/>
          <w:color w:val="auto"/>
          <w:sz w:val="32"/>
          <w:szCs w:val="20"/>
          <w:highlight w:val="none"/>
          <w:lang w:val="en-US" w:eastAsia="zh-CN"/>
        </w:rPr>
        <w:t>区级</w:t>
      </w:r>
      <w:r>
        <w:rPr>
          <w:rFonts w:hint="eastAsia" w:ascii="Times New Roman" w:hAnsi="Times New Roman" w:eastAsia="方正仿宋_GBK" w:cs="Times New Roman"/>
          <w:color w:val="auto"/>
          <w:sz w:val="32"/>
          <w:szCs w:val="20"/>
          <w:highlight w:val="none"/>
          <w:lang w:eastAsia="zh-CN"/>
        </w:rPr>
        <w:t>地方自主险种。</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第五条</w:t>
      </w:r>
      <w:r>
        <w:rPr>
          <w:rFonts w:hint="eastAsia" w:ascii="Times New Roman" w:hAnsi="Times New Roman" w:eastAsia="方正仿宋_GBK" w:cs="Times New Roman"/>
          <w:color w:val="auto"/>
          <w:sz w:val="32"/>
          <w:szCs w:val="20"/>
          <w:highlight w:val="none"/>
        </w:rPr>
        <w:t xml:space="preserve">  补贴险种。</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rPr>
        <w:t>（一）中央补贴险种。</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rPr>
        <w:t>1</w:t>
      </w:r>
      <w:r>
        <w:rPr>
          <w:rFonts w:hint="eastAsia" w:ascii="Times New Roman" w:hAnsi="Times New Roman" w:eastAsia="方正仿宋_GBK" w:cs="Times New Roman"/>
          <w:color w:val="auto"/>
          <w:sz w:val="32"/>
          <w:szCs w:val="20"/>
          <w:highlight w:val="none"/>
        </w:rPr>
        <w:t>.种植业：稻谷、小麦、玉米、油菜、大豆、马铃薯、主粮作物（稻谷、玉米）制种等直接物化成本保险；</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rPr>
        <w:t>2</w:t>
      </w:r>
      <w:r>
        <w:rPr>
          <w:rFonts w:hint="eastAsia" w:ascii="Times New Roman" w:hAnsi="Times New Roman" w:eastAsia="方正仿宋_GBK" w:cs="Times New Roman"/>
          <w:color w:val="auto"/>
          <w:sz w:val="32"/>
          <w:szCs w:val="20"/>
          <w:highlight w:val="none"/>
        </w:rPr>
        <w:t>.养殖业：能繁母猪、育肥猪、奶牛等生产成本保险；</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rPr>
        <w:t>3</w:t>
      </w:r>
      <w:r>
        <w:rPr>
          <w:rFonts w:hint="eastAsia" w:ascii="Times New Roman" w:hAnsi="Times New Roman" w:eastAsia="方正仿宋_GBK" w:cs="Times New Roman"/>
          <w:color w:val="auto"/>
          <w:sz w:val="32"/>
          <w:szCs w:val="20"/>
          <w:highlight w:val="none"/>
        </w:rPr>
        <w:t>.林业：公益林、商品林等</w:t>
      </w:r>
      <w:r>
        <w:rPr>
          <w:rFonts w:hint="eastAsia" w:ascii="Times New Roman" w:hAnsi="Times New Roman" w:eastAsia="方正仿宋_GBK" w:cs="Times New Roman"/>
          <w:color w:val="auto"/>
          <w:sz w:val="32"/>
          <w:szCs w:val="20"/>
          <w:highlight w:val="none"/>
          <w:lang w:eastAsia="zh-CN"/>
        </w:rPr>
        <w:t>栽</w:t>
      </w:r>
      <w:r>
        <w:rPr>
          <w:rFonts w:hint="eastAsia" w:ascii="Times New Roman" w:hAnsi="Times New Roman" w:eastAsia="方正仿宋_GBK" w:cs="Times New Roman"/>
          <w:color w:val="auto"/>
          <w:sz w:val="32"/>
          <w:szCs w:val="20"/>
          <w:highlight w:val="none"/>
        </w:rPr>
        <w:t>植成本保险。</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rPr>
        <w:t>（二）市级补贴险种。</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rPr>
        <w:t>1</w:t>
      </w:r>
      <w:r>
        <w:rPr>
          <w:rFonts w:hint="eastAsia" w:ascii="Times New Roman" w:hAnsi="Times New Roman" w:eastAsia="方正仿宋_GBK" w:cs="Times New Roman"/>
          <w:color w:val="auto"/>
          <w:sz w:val="32"/>
          <w:szCs w:val="20"/>
          <w:highlight w:val="none"/>
        </w:rPr>
        <w:t>.柑橘成本保险、生猪收益保险，以及稻谷、玉米、马铃薯完全成本补充保险；</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rPr>
        <w:t>2</w:t>
      </w:r>
      <w:r>
        <w:rPr>
          <w:rFonts w:hint="eastAsia" w:ascii="Times New Roman" w:hAnsi="Times New Roman" w:eastAsia="方正仿宋_GBK" w:cs="Times New Roman"/>
          <w:color w:val="auto"/>
          <w:sz w:val="32"/>
          <w:szCs w:val="20"/>
          <w:highlight w:val="none"/>
        </w:rPr>
        <w:t>.区县优势特色农产品保险，每个区县不超过</w:t>
      </w:r>
      <w:r>
        <w:rPr>
          <w:rFonts w:hint="default" w:ascii="Times New Roman" w:hAnsi="Times New Roman" w:eastAsia="方正仿宋_GBK" w:cs="Times New Roman"/>
          <w:color w:val="auto"/>
          <w:sz w:val="32"/>
          <w:szCs w:val="20"/>
          <w:highlight w:val="none"/>
        </w:rPr>
        <w:t>5</w:t>
      </w:r>
      <w:r>
        <w:rPr>
          <w:rFonts w:hint="eastAsia" w:ascii="Times New Roman" w:hAnsi="Times New Roman" w:eastAsia="方正仿宋_GBK" w:cs="Times New Roman"/>
          <w:color w:val="auto"/>
          <w:sz w:val="32"/>
          <w:szCs w:val="20"/>
          <w:highlight w:val="none"/>
        </w:rPr>
        <w:t>个险种；</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rPr>
        <w:t>3</w:t>
      </w:r>
      <w:r>
        <w:rPr>
          <w:rFonts w:hint="eastAsia" w:ascii="Times New Roman" w:hAnsi="Times New Roman" w:eastAsia="方正仿宋_GBK" w:cs="Times New Roman"/>
          <w:color w:val="auto"/>
          <w:sz w:val="32"/>
          <w:szCs w:val="20"/>
          <w:highlight w:val="none"/>
        </w:rPr>
        <w:t>.根据我市农业产业发展重点，市财政局确定的其他险种。</w:t>
      </w:r>
    </w:p>
    <w:p>
      <w:pPr>
        <w:spacing w:line="578" w:lineRule="exact"/>
        <w:ind w:firstLine="640" w:firstLineChars="200"/>
        <w:rPr>
          <w:rFonts w:hint="eastAsia" w:ascii="Times New Roman" w:hAnsi="Times New Roman" w:eastAsia="方正仿宋_GBK" w:cs="Times New Roman"/>
          <w:color w:val="auto"/>
          <w:sz w:val="32"/>
          <w:szCs w:val="20"/>
          <w:highlight w:val="none"/>
          <w:lang w:eastAsia="zh-CN"/>
        </w:rPr>
      </w:pPr>
      <w:r>
        <w:rPr>
          <w:rFonts w:hint="eastAsia" w:ascii="Times New Roman" w:hAnsi="Times New Roman" w:eastAsia="方正仿宋_GBK" w:cs="Times New Roman"/>
          <w:color w:val="auto"/>
          <w:sz w:val="32"/>
          <w:szCs w:val="20"/>
          <w:highlight w:val="none"/>
          <w:lang w:eastAsia="zh-CN"/>
        </w:rPr>
        <w:t>（三）区级补贴险种。</w:t>
      </w:r>
    </w:p>
    <w:p>
      <w:pPr>
        <w:spacing w:line="578" w:lineRule="exact"/>
        <w:ind w:firstLine="640" w:firstLineChars="200"/>
        <w:rPr>
          <w:rFonts w:hint="eastAsia" w:ascii="Times New Roman" w:hAnsi="Times New Roman" w:eastAsia="方正仿宋_GBK" w:cs="Times New Roman"/>
          <w:color w:val="auto"/>
          <w:sz w:val="32"/>
          <w:szCs w:val="20"/>
          <w:highlight w:val="none"/>
          <w:lang w:val="en-US" w:eastAsia="zh-CN"/>
        </w:rPr>
      </w:pPr>
      <w:r>
        <w:rPr>
          <w:rFonts w:hint="default" w:ascii="Times New Roman" w:hAnsi="Times New Roman" w:eastAsia="方正仿宋_GBK" w:cs="Times New Roman"/>
          <w:color w:val="auto"/>
          <w:sz w:val="32"/>
          <w:szCs w:val="20"/>
          <w:highlight w:val="none"/>
          <w:lang w:val="en-US" w:eastAsia="zh-CN"/>
        </w:rPr>
        <w:t>1</w:t>
      </w:r>
      <w:r>
        <w:rPr>
          <w:rFonts w:hint="eastAsia" w:ascii="Times New Roman" w:hAnsi="Times New Roman" w:eastAsia="方正仿宋_GBK" w:cs="Times New Roman"/>
          <w:color w:val="auto"/>
          <w:sz w:val="32"/>
          <w:szCs w:val="20"/>
          <w:highlight w:val="none"/>
          <w:lang w:val="en-US" w:eastAsia="zh-CN"/>
        </w:rPr>
        <w:t>.一村一品产业发展保险；</w:t>
      </w:r>
    </w:p>
    <w:p>
      <w:pPr>
        <w:spacing w:line="578" w:lineRule="exact"/>
        <w:ind w:firstLine="640" w:firstLineChars="200"/>
        <w:rPr>
          <w:rFonts w:hint="eastAsia" w:ascii="Times New Roman" w:hAnsi="Times New Roman" w:eastAsia="方正仿宋_GBK" w:cs="Times New Roman"/>
          <w:color w:val="auto"/>
          <w:sz w:val="32"/>
          <w:szCs w:val="20"/>
          <w:highlight w:val="none"/>
          <w:lang w:eastAsia="zh-CN"/>
        </w:rPr>
      </w:pPr>
      <w:r>
        <w:rPr>
          <w:rFonts w:hint="default" w:ascii="Times New Roman" w:hAnsi="Times New Roman" w:eastAsia="方正仿宋_GBK" w:cs="Times New Roman"/>
          <w:color w:val="auto"/>
          <w:sz w:val="32"/>
          <w:szCs w:val="20"/>
          <w:highlight w:val="none"/>
          <w:lang w:val="en-US" w:eastAsia="zh-CN"/>
        </w:rPr>
        <w:t>2</w:t>
      </w:r>
      <w:r>
        <w:rPr>
          <w:rFonts w:hint="eastAsia" w:ascii="Times New Roman" w:hAnsi="Times New Roman" w:eastAsia="方正仿宋_GBK" w:cs="Times New Roman"/>
          <w:color w:val="auto"/>
          <w:sz w:val="32"/>
          <w:szCs w:val="20"/>
          <w:highlight w:val="none"/>
          <w:lang w:val="en-US" w:eastAsia="zh-CN"/>
        </w:rPr>
        <w:t>.</w:t>
      </w:r>
      <w:r>
        <w:rPr>
          <w:rFonts w:hint="eastAsia" w:ascii="Times New Roman" w:hAnsi="Times New Roman" w:eastAsia="方正仿宋_GBK" w:cs="Times New Roman"/>
          <w:color w:val="auto"/>
          <w:sz w:val="32"/>
          <w:szCs w:val="20"/>
          <w:highlight w:val="none"/>
          <w:lang w:eastAsia="zh-CN"/>
        </w:rPr>
        <w:t>根据我区农业产业发展特点，区财政确定的但未纳入市级优势特色农产品保险险种。</w:t>
      </w:r>
    </w:p>
    <w:p>
      <w:pPr>
        <w:spacing w:line="578" w:lineRule="exact"/>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lang w:val="en-US" w:eastAsia="zh-CN"/>
        </w:rPr>
        <w:t xml:space="preserve">    </w:t>
      </w:r>
      <w:r>
        <w:rPr>
          <w:rFonts w:hint="eastAsia" w:ascii="Times New Roman" w:hAnsi="Times New Roman" w:eastAsia="方正黑体_GBK" w:cs="Times New Roman"/>
          <w:color w:val="auto"/>
          <w:sz w:val="32"/>
          <w:szCs w:val="20"/>
          <w:highlight w:val="none"/>
        </w:rPr>
        <w:t xml:space="preserve">第六条 </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中央和市级补贴比例按照上级文件执行，实行动态调整</w:t>
      </w:r>
      <w:r>
        <w:rPr>
          <w:rFonts w:hint="eastAsia" w:ascii="Times New Roman" w:hAnsi="Times New Roman" w:eastAsia="方正仿宋_GBK" w:cs="Times New Roman"/>
          <w:color w:val="auto"/>
          <w:sz w:val="32"/>
          <w:szCs w:val="20"/>
          <w:highlight w:val="none"/>
        </w:rPr>
        <w:t>。具体比例详见下表。</w:t>
      </w:r>
    </w:p>
    <w:p>
      <w:pPr>
        <w:spacing w:line="600" w:lineRule="exact"/>
        <w:jc w:val="center"/>
        <w:rPr>
          <w:rFonts w:ascii="Times New Roman" w:hAnsi="Times New Roman" w:eastAsia="方正黑体_GBK" w:cs="Times New Roman"/>
          <w:color w:val="auto"/>
          <w:sz w:val="32"/>
          <w:szCs w:val="32"/>
          <w:highlight w:val="none"/>
        </w:rPr>
      </w:pPr>
      <w:r>
        <w:rPr>
          <w:rFonts w:hint="eastAsia" w:ascii="Times New Roman" w:hAnsi="Times New Roman" w:eastAsia="方正黑体_GBK" w:cs="Times New Roman"/>
          <w:color w:val="auto"/>
          <w:sz w:val="32"/>
          <w:szCs w:val="32"/>
          <w:highlight w:val="none"/>
        </w:rPr>
        <w:t>表：补贴险种保费承担比例表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1200"/>
        <w:gridCol w:w="1178"/>
        <w:gridCol w:w="1559"/>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96" w:type="dxa"/>
            <w:vMerge w:val="restart"/>
            <w:noWrap w:val="0"/>
            <w:vAlign w:val="center"/>
          </w:tcPr>
          <w:p>
            <w:pPr>
              <w:spacing w:line="400" w:lineRule="exact"/>
              <w:jc w:val="center"/>
              <w:rPr>
                <w:rFonts w:ascii="Times New Roman" w:hAnsi="Times New Roman" w:eastAsia="方正黑体_GBK" w:cs="Times New Roman"/>
                <w:color w:val="auto"/>
                <w:sz w:val="24"/>
                <w:szCs w:val="24"/>
                <w:highlight w:val="none"/>
              </w:rPr>
            </w:pPr>
            <w:r>
              <w:rPr>
                <w:rFonts w:hint="eastAsia" w:ascii="Times New Roman" w:hAnsi="Times New Roman" w:eastAsia="方正黑体_GBK" w:cs="Times New Roman"/>
                <w:color w:val="auto"/>
                <w:sz w:val="24"/>
                <w:szCs w:val="24"/>
                <w:highlight w:val="none"/>
              </w:rPr>
              <w:t>险种</w:t>
            </w:r>
          </w:p>
        </w:tc>
        <w:tc>
          <w:tcPr>
            <w:tcW w:w="5399" w:type="dxa"/>
            <w:gridSpan w:val="4"/>
            <w:noWrap w:val="0"/>
            <w:vAlign w:val="center"/>
          </w:tcPr>
          <w:p>
            <w:pPr>
              <w:spacing w:line="400" w:lineRule="exact"/>
              <w:jc w:val="center"/>
              <w:rPr>
                <w:rFonts w:ascii="Times New Roman" w:hAnsi="Times New Roman" w:eastAsia="方正黑体_GBK" w:cs="Times New Roman"/>
                <w:color w:val="auto"/>
                <w:sz w:val="24"/>
                <w:szCs w:val="24"/>
                <w:highlight w:val="none"/>
              </w:rPr>
            </w:pPr>
            <w:r>
              <w:rPr>
                <w:rFonts w:hint="eastAsia" w:ascii="Times New Roman" w:hAnsi="Times New Roman" w:eastAsia="方正黑体_GBK" w:cs="Times New Roman"/>
                <w:color w:val="auto"/>
                <w:sz w:val="24"/>
                <w:szCs w:val="24"/>
                <w:highlight w:val="none"/>
              </w:rPr>
              <w:t>保费承担比例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96" w:type="dxa"/>
            <w:vMerge w:val="continue"/>
            <w:noWrap w:val="0"/>
            <w:vAlign w:val="center"/>
          </w:tcPr>
          <w:p>
            <w:pPr>
              <w:spacing w:line="400" w:lineRule="exact"/>
              <w:jc w:val="center"/>
              <w:rPr>
                <w:rFonts w:ascii="Times New Roman" w:hAnsi="Times New Roman" w:eastAsia="方正黑体_GBK" w:cs="Times New Roman"/>
                <w:color w:val="auto"/>
                <w:sz w:val="24"/>
                <w:szCs w:val="24"/>
                <w:highlight w:val="none"/>
              </w:rPr>
            </w:pPr>
          </w:p>
        </w:tc>
        <w:tc>
          <w:tcPr>
            <w:tcW w:w="1200" w:type="dxa"/>
            <w:noWrap w:val="0"/>
            <w:vAlign w:val="center"/>
          </w:tcPr>
          <w:p>
            <w:pPr>
              <w:spacing w:line="400" w:lineRule="exact"/>
              <w:jc w:val="center"/>
              <w:rPr>
                <w:rFonts w:ascii="Times New Roman" w:hAnsi="Times New Roman" w:eastAsia="方正黑体_GBK" w:cs="Times New Roman"/>
                <w:color w:val="auto"/>
                <w:sz w:val="24"/>
                <w:szCs w:val="24"/>
                <w:highlight w:val="none"/>
              </w:rPr>
            </w:pPr>
            <w:r>
              <w:rPr>
                <w:rFonts w:hint="eastAsia" w:ascii="Times New Roman" w:hAnsi="Times New Roman" w:eastAsia="方正黑体_GBK" w:cs="Times New Roman"/>
                <w:color w:val="auto"/>
                <w:sz w:val="24"/>
                <w:szCs w:val="24"/>
                <w:highlight w:val="none"/>
              </w:rPr>
              <w:t>中央</w:t>
            </w:r>
          </w:p>
        </w:tc>
        <w:tc>
          <w:tcPr>
            <w:tcW w:w="1178" w:type="dxa"/>
            <w:noWrap w:val="0"/>
            <w:vAlign w:val="center"/>
          </w:tcPr>
          <w:p>
            <w:pPr>
              <w:spacing w:line="400" w:lineRule="exact"/>
              <w:jc w:val="center"/>
              <w:rPr>
                <w:rFonts w:ascii="Times New Roman" w:hAnsi="Times New Roman" w:eastAsia="方正黑体_GBK" w:cs="Times New Roman"/>
                <w:color w:val="auto"/>
                <w:sz w:val="24"/>
                <w:szCs w:val="24"/>
                <w:highlight w:val="none"/>
              </w:rPr>
            </w:pPr>
            <w:r>
              <w:rPr>
                <w:rFonts w:hint="eastAsia" w:ascii="Times New Roman" w:hAnsi="Times New Roman" w:eastAsia="方正黑体_GBK" w:cs="Times New Roman"/>
                <w:color w:val="auto"/>
                <w:sz w:val="24"/>
                <w:szCs w:val="24"/>
                <w:highlight w:val="none"/>
              </w:rPr>
              <w:t>市级</w:t>
            </w:r>
          </w:p>
        </w:tc>
        <w:tc>
          <w:tcPr>
            <w:tcW w:w="1559" w:type="dxa"/>
            <w:noWrap w:val="0"/>
            <w:vAlign w:val="center"/>
          </w:tcPr>
          <w:p>
            <w:pPr>
              <w:spacing w:line="400" w:lineRule="exact"/>
              <w:jc w:val="center"/>
              <w:rPr>
                <w:rFonts w:ascii="Times New Roman" w:hAnsi="Times New Roman" w:eastAsia="方正黑体_GBK" w:cs="Times New Roman"/>
                <w:color w:val="auto"/>
                <w:sz w:val="24"/>
                <w:szCs w:val="24"/>
                <w:highlight w:val="none"/>
              </w:rPr>
            </w:pPr>
            <w:r>
              <w:rPr>
                <w:rFonts w:hint="eastAsia" w:ascii="Times New Roman" w:hAnsi="Times New Roman" w:eastAsia="方正黑体_GBK" w:cs="Times New Roman"/>
                <w:color w:val="auto"/>
                <w:sz w:val="24"/>
                <w:szCs w:val="24"/>
                <w:highlight w:val="none"/>
              </w:rPr>
              <w:t>区</w:t>
            </w:r>
            <w:r>
              <w:rPr>
                <w:rFonts w:hint="eastAsia" w:ascii="Times New Roman" w:hAnsi="Times New Roman" w:eastAsia="方正黑体_GBK" w:cs="Times New Roman"/>
                <w:color w:val="auto"/>
                <w:sz w:val="24"/>
                <w:szCs w:val="24"/>
                <w:highlight w:val="none"/>
                <w:lang w:eastAsia="zh-CN"/>
              </w:rPr>
              <w:t>级</w:t>
            </w:r>
          </w:p>
        </w:tc>
        <w:tc>
          <w:tcPr>
            <w:tcW w:w="1462" w:type="dxa"/>
            <w:noWrap w:val="0"/>
            <w:vAlign w:val="center"/>
          </w:tcPr>
          <w:p>
            <w:pPr>
              <w:spacing w:line="400" w:lineRule="exact"/>
              <w:jc w:val="center"/>
              <w:rPr>
                <w:rFonts w:ascii="Times New Roman" w:hAnsi="Times New Roman" w:eastAsia="方正黑体_GBK" w:cs="Times New Roman"/>
                <w:color w:val="auto"/>
                <w:sz w:val="24"/>
                <w:szCs w:val="24"/>
                <w:highlight w:val="none"/>
              </w:rPr>
            </w:pPr>
            <w:r>
              <w:rPr>
                <w:rFonts w:hint="eastAsia" w:ascii="Times New Roman" w:hAnsi="Times New Roman" w:eastAsia="方正黑体_GBK" w:cs="Times New Roman"/>
                <w:color w:val="auto"/>
                <w:sz w:val="24"/>
                <w:szCs w:val="24"/>
                <w:highlight w:val="none"/>
              </w:rPr>
              <w:t>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96" w:type="dxa"/>
            <w:noWrap w:val="0"/>
            <w:vAlign w:val="center"/>
          </w:tcPr>
          <w:p>
            <w:pPr>
              <w:spacing w:line="400" w:lineRule="exact"/>
              <w:jc w:val="left"/>
              <w:rPr>
                <w:rFonts w:ascii="Times New Roman" w:hAnsi="Times New Roman" w:eastAsia="方正仿宋_GBK" w:cs="Times New Roman"/>
                <w:color w:val="auto"/>
                <w:sz w:val="24"/>
                <w:szCs w:val="24"/>
                <w:highlight w:val="none"/>
              </w:rPr>
            </w:pPr>
            <w:r>
              <w:rPr>
                <w:rFonts w:ascii="Times New Roman" w:hAnsi="Times New Roman" w:eastAsia="方正仿宋_GBK" w:cs="Times New Roman"/>
                <w:b/>
                <w:bCs/>
                <w:color w:val="auto"/>
                <w:sz w:val="24"/>
                <w:szCs w:val="24"/>
                <w:highlight w:val="none"/>
              </w:rPr>
              <w:t>一、中央补贴险种</w:t>
            </w:r>
          </w:p>
        </w:tc>
        <w:tc>
          <w:tcPr>
            <w:tcW w:w="1200" w:type="dxa"/>
            <w:noWrap w:val="0"/>
            <w:vAlign w:val="center"/>
          </w:tcPr>
          <w:p>
            <w:pPr>
              <w:spacing w:line="400" w:lineRule="exact"/>
              <w:jc w:val="left"/>
              <w:rPr>
                <w:rFonts w:ascii="Times New Roman" w:hAnsi="Times New Roman" w:eastAsia="方正仿宋_GBK" w:cs="Times New Roman"/>
                <w:color w:val="auto"/>
                <w:sz w:val="24"/>
                <w:szCs w:val="24"/>
                <w:highlight w:val="none"/>
              </w:rPr>
            </w:pPr>
          </w:p>
        </w:tc>
        <w:tc>
          <w:tcPr>
            <w:tcW w:w="1178" w:type="dxa"/>
            <w:noWrap w:val="0"/>
            <w:vAlign w:val="center"/>
          </w:tcPr>
          <w:p>
            <w:pPr>
              <w:spacing w:line="400" w:lineRule="exact"/>
              <w:jc w:val="left"/>
              <w:rPr>
                <w:rFonts w:ascii="Times New Roman" w:hAnsi="Times New Roman" w:eastAsia="方正仿宋_GBK" w:cs="Times New Roman"/>
                <w:color w:val="auto"/>
                <w:sz w:val="24"/>
                <w:szCs w:val="24"/>
                <w:highlight w:val="none"/>
              </w:rPr>
            </w:pPr>
          </w:p>
        </w:tc>
        <w:tc>
          <w:tcPr>
            <w:tcW w:w="1559" w:type="dxa"/>
            <w:noWrap w:val="0"/>
            <w:vAlign w:val="center"/>
          </w:tcPr>
          <w:p>
            <w:pPr>
              <w:spacing w:line="400" w:lineRule="exact"/>
              <w:jc w:val="left"/>
              <w:rPr>
                <w:rFonts w:ascii="Times New Roman" w:hAnsi="Times New Roman" w:eastAsia="方正仿宋_GBK" w:cs="Times New Roman"/>
                <w:color w:val="auto"/>
                <w:sz w:val="24"/>
                <w:szCs w:val="24"/>
                <w:highlight w:val="none"/>
              </w:rPr>
            </w:pPr>
          </w:p>
        </w:tc>
        <w:tc>
          <w:tcPr>
            <w:tcW w:w="1462" w:type="dxa"/>
            <w:noWrap w:val="0"/>
            <w:vAlign w:val="center"/>
          </w:tcPr>
          <w:p>
            <w:pPr>
              <w:spacing w:line="400" w:lineRule="exact"/>
              <w:jc w:val="left"/>
              <w:rPr>
                <w:rFonts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3096" w:type="dxa"/>
            <w:noWrap w:val="0"/>
            <w:vAlign w:val="center"/>
          </w:tcPr>
          <w:p>
            <w:pPr>
              <w:spacing w:line="400" w:lineRule="exact"/>
              <w:ind w:firstLine="240" w:firstLineChars="100"/>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种植业</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45</w:t>
            </w:r>
            <w:r>
              <w:rPr>
                <w:rFonts w:ascii="Times New Roman" w:hAnsi="Times New Roman" w:eastAsia="方正仿宋_GBK" w:cs="Times New Roman"/>
                <w:color w:val="auto"/>
                <w:sz w:val="24"/>
                <w:szCs w:val="24"/>
                <w:highlight w:val="none"/>
              </w:rPr>
              <w:t>%</w:t>
            </w: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15</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096" w:type="dxa"/>
            <w:noWrap w:val="0"/>
            <w:vAlign w:val="center"/>
          </w:tcPr>
          <w:p>
            <w:pPr>
              <w:spacing w:line="400" w:lineRule="exact"/>
              <w:ind w:firstLine="240" w:firstLineChars="100"/>
              <w:jc w:val="left"/>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养殖业</w:t>
            </w:r>
            <w:r>
              <w:rPr>
                <w:rFonts w:hint="eastAsia" w:ascii="Times New Roman" w:hAnsi="Times New Roman" w:eastAsia="方正仿宋_GBK" w:cs="Times New Roman"/>
                <w:color w:val="auto"/>
                <w:sz w:val="24"/>
                <w:szCs w:val="24"/>
                <w:highlight w:val="none"/>
              </w:rPr>
              <w:t>（奶牛</w:t>
            </w:r>
            <w:r>
              <w:rPr>
                <w:rFonts w:ascii="Times New Roman" w:hAnsi="Times New Roman" w:eastAsia="方正仿宋_GBK" w:cs="Times New Roman"/>
                <w:color w:val="auto"/>
                <w:sz w:val="24"/>
                <w:szCs w:val="24"/>
                <w:highlight w:val="none"/>
              </w:rPr>
              <w:t>除外</w:t>
            </w:r>
            <w:r>
              <w:rPr>
                <w:rFonts w:hint="eastAsia" w:ascii="Times New Roman" w:hAnsi="Times New Roman" w:eastAsia="方正仿宋_GBK" w:cs="Times New Roman"/>
                <w:color w:val="auto"/>
                <w:sz w:val="24"/>
                <w:szCs w:val="24"/>
                <w:highlight w:val="none"/>
              </w:rPr>
              <w:t>）</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50</w:t>
            </w:r>
            <w:r>
              <w:rPr>
                <w:rFonts w:ascii="Times New Roman" w:hAnsi="Times New Roman" w:eastAsia="方正仿宋_GBK" w:cs="Times New Roman"/>
                <w:color w:val="auto"/>
                <w:sz w:val="24"/>
                <w:szCs w:val="24"/>
                <w:highlight w:val="none"/>
              </w:rPr>
              <w:t>%</w:t>
            </w: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096" w:type="dxa"/>
            <w:noWrap w:val="0"/>
            <w:vAlign w:val="center"/>
          </w:tcPr>
          <w:p>
            <w:pPr>
              <w:spacing w:line="400" w:lineRule="exact"/>
              <w:ind w:firstLine="240" w:firstLineChars="100"/>
              <w:jc w:val="left"/>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公益林</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50</w:t>
            </w:r>
            <w:r>
              <w:rPr>
                <w:rFonts w:ascii="Times New Roman" w:hAnsi="Times New Roman" w:eastAsia="方正仿宋_GBK" w:cs="Times New Roman"/>
                <w:color w:val="auto"/>
                <w:sz w:val="24"/>
                <w:szCs w:val="24"/>
                <w:highlight w:val="none"/>
              </w:rPr>
              <w:t>%</w:t>
            </w: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3096" w:type="dxa"/>
            <w:noWrap w:val="0"/>
            <w:vAlign w:val="center"/>
          </w:tcPr>
          <w:p>
            <w:pPr>
              <w:spacing w:line="400" w:lineRule="exact"/>
              <w:ind w:firstLine="240" w:firstLineChars="100"/>
              <w:jc w:val="left"/>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商品林</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25</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15</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96" w:type="dxa"/>
            <w:noWrap w:val="0"/>
            <w:vAlign w:val="center"/>
          </w:tcPr>
          <w:p>
            <w:pPr>
              <w:spacing w:line="400" w:lineRule="exact"/>
              <w:jc w:val="left"/>
              <w:rPr>
                <w:rFonts w:ascii="Times New Roman" w:hAnsi="Times New Roman" w:eastAsia="方正仿宋_GBK" w:cs="Times New Roman"/>
                <w:color w:val="auto"/>
                <w:sz w:val="24"/>
                <w:szCs w:val="24"/>
                <w:highlight w:val="none"/>
              </w:rPr>
            </w:pPr>
            <w:r>
              <w:rPr>
                <w:rFonts w:ascii="Times New Roman" w:hAnsi="Times New Roman" w:eastAsia="方正仿宋_GBK" w:cs="Times New Roman"/>
                <w:b/>
                <w:bCs/>
                <w:color w:val="auto"/>
                <w:sz w:val="24"/>
                <w:szCs w:val="24"/>
                <w:highlight w:val="none"/>
              </w:rPr>
              <w:t>二、</w:t>
            </w:r>
            <w:r>
              <w:rPr>
                <w:rFonts w:hint="eastAsia" w:ascii="Times New Roman" w:hAnsi="Times New Roman" w:eastAsia="方正仿宋_GBK" w:cs="Times New Roman"/>
                <w:b/>
                <w:bCs/>
                <w:color w:val="auto"/>
                <w:sz w:val="24"/>
                <w:szCs w:val="24"/>
                <w:highlight w:val="none"/>
              </w:rPr>
              <w:t>市级</w:t>
            </w:r>
            <w:r>
              <w:rPr>
                <w:rFonts w:ascii="Times New Roman" w:hAnsi="Times New Roman" w:eastAsia="方正仿宋_GBK" w:cs="Times New Roman"/>
                <w:b/>
                <w:bCs/>
                <w:color w:val="auto"/>
                <w:sz w:val="24"/>
                <w:szCs w:val="24"/>
                <w:highlight w:val="none"/>
              </w:rPr>
              <w:t>补贴险种</w:t>
            </w:r>
          </w:p>
        </w:tc>
        <w:tc>
          <w:tcPr>
            <w:tcW w:w="1200" w:type="dxa"/>
            <w:noWrap w:val="0"/>
            <w:vAlign w:val="center"/>
          </w:tcPr>
          <w:p>
            <w:pPr>
              <w:spacing w:line="400" w:lineRule="exact"/>
              <w:jc w:val="left"/>
              <w:rPr>
                <w:rFonts w:ascii="Times New Roman" w:hAnsi="Times New Roman" w:eastAsia="方正仿宋_GBK" w:cs="Times New Roman"/>
                <w:color w:val="auto"/>
                <w:sz w:val="24"/>
                <w:szCs w:val="24"/>
                <w:highlight w:val="none"/>
              </w:rPr>
            </w:pPr>
          </w:p>
        </w:tc>
        <w:tc>
          <w:tcPr>
            <w:tcW w:w="1178" w:type="dxa"/>
            <w:noWrap w:val="0"/>
            <w:vAlign w:val="center"/>
          </w:tcPr>
          <w:p>
            <w:pPr>
              <w:spacing w:line="400" w:lineRule="exact"/>
              <w:jc w:val="left"/>
              <w:rPr>
                <w:rFonts w:ascii="Times New Roman" w:hAnsi="Times New Roman" w:eastAsia="方正仿宋_GBK" w:cs="Times New Roman"/>
                <w:color w:val="auto"/>
                <w:sz w:val="24"/>
                <w:szCs w:val="24"/>
                <w:highlight w:val="none"/>
              </w:rPr>
            </w:pPr>
          </w:p>
        </w:tc>
        <w:tc>
          <w:tcPr>
            <w:tcW w:w="1559" w:type="dxa"/>
            <w:noWrap w:val="0"/>
            <w:vAlign w:val="center"/>
          </w:tcPr>
          <w:p>
            <w:pPr>
              <w:spacing w:line="400" w:lineRule="exact"/>
              <w:jc w:val="left"/>
              <w:rPr>
                <w:rFonts w:ascii="Times New Roman" w:hAnsi="Times New Roman" w:eastAsia="方正仿宋_GBK" w:cs="Times New Roman"/>
                <w:color w:val="auto"/>
                <w:sz w:val="24"/>
                <w:szCs w:val="24"/>
                <w:highlight w:val="none"/>
              </w:rPr>
            </w:pPr>
          </w:p>
        </w:tc>
        <w:tc>
          <w:tcPr>
            <w:tcW w:w="1462" w:type="dxa"/>
            <w:noWrap w:val="0"/>
            <w:vAlign w:val="center"/>
          </w:tcPr>
          <w:p>
            <w:pPr>
              <w:spacing w:line="400" w:lineRule="exact"/>
              <w:jc w:val="left"/>
              <w:rPr>
                <w:rFonts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096" w:type="dxa"/>
            <w:noWrap w:val="0"/>
            <w:vAlign w:val="center"/>
          </w:tcPr>
          <w:p>
            <w:pPr>
              <w:spacing w:line="400" w:lineRule="exact"/>
              <w:ind w:firstLine="240" w:firstLineChars="100"/>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柑橘成本</w:t>
            </w:r>
            <w:r>
              <w:rPr>
                <w:rFonts w:hint="eastAsia" w:ascii="Times New Roman" w:hAnsi="Times New Roman" w:eastAsia="方正仿宋_GBK" w:cs="Times New Roman"/>
                <w:color w:val="auto"/>
                <w:sz w:val="24"/>
                <w:szCs w:val="24"/>
                <w:highlight w:val="none"/>
              </w:rPr>
              <w:t>保险</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w:t>
            </w: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3096" w:type="dxa"/>
            <w:noWrap w:val="0"/>
            <w:vAlign w:val="center"/>
          </w:tcPr>
          <w:p>
            <w:pPr>
              <w:spacing w:line="400" w:lineRule="exact"/>
              <w:ind w:firstLine="240" w:firstLineChars="100"/>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生猪收益</w:t>
            </w:r>
            <w:r>
              <w:rPr>
                <w:rFonts w:hint="eastAsia" w:ascii="Times New Roman" w:hAnsi="Times New Roman" w:eastAsia="方正仿宋_GBK" w:cs="Times New Roman"/>
                <w:color w:val="auto"/>
                <w:sz w:val="24"/>
                <w:szCs w:val="24"/>
                <w:highlight w:val="none"/>
              </w:rPr>
              <w:t>保险</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w:t>
            </w: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3096" w:type="dxa"/>
            <w:noWrap w:val="0"/>
            <w:vAlign w:val="center"/>
          </w:tcPr>
          <w:p>
            <w:pPr>
              <w:spacing w:line="400" w:lineRule="exact"/>
              <w:ind w:firstLine="240" w:firstLineChars="100"/>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完全成本补充保险</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w:t>
            </w: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096" w:type="dxa"/>
            <w:noWrap w:val="0"/>
            <w:vAlign w:val="center"/>
          </w:tcPr>
          <w:p>
            <w:pPr>
              <w:spacing w:line="400" w:lineRule="exact"/>
              <w:jc w:val="left"/>
              <w:rPr>
                <w:rFonts w:hint="default" w:ascii="Times New Roman" w:hAnsi="Times New Roman" w:eastAsia="方正仿宋_GBK" w:cs="Times New Roman"/>
                <w:b/>
                <w:bCs/>
                <w:color w:val="auto"/>
                <w:sz w:val="24"/>
                <w:szCs w:val="24"/>
                <w:highlight w:val="none"/>
                <w:lang w:val="en-US" w:eastAsia="zh-CN"/>
              </w:rPr>
            </w:pPr>
            <w:r>
              <w:rPr>
                <w:rFonts w:hint="eastAsia" w:ascii="Times New Roman" w:hAnsi="Times New Roman" w:eastAsia="方正仿宋_GBK" w:cs="Times New Roman"/>
                <w:color w:val="auto"/>
                <w:sz w:val="24"/>
                <w:szCs w:val="24"/>
                <w:highlight w:val="none"/>
                <w:lang w:val="en-US" w:eastAsia="zh-CN"/>
              </w:rPr>
              <w:t>区</w:t>
            </w:r>
            <w:r>
              <w:rPr>
                <w:rFonts w:ascii="Times New Roman" w:hAnsi="Times New Roman" w:eastAsia="方正仿宋_GBK" w:cs="Times New Roman"/>
                <w:color w:val="auto"/>
                <w:sz w:val="24"/>
                <w:szCs w:val="24"/>
                <w:highlight w:val="none"/>
              </w:rPr>
              <w:t>优势特色农产品保险</w:t>
            </w:r>
            <w:r>
              <w:rPr>
                <w:rFonts w:hint="default" w:ascii="Times New Roman" w:hAnsi="Times New Roman" w:eastAsia="方正仿宋_GBK" w:cs="Times New Roman"/>
                <w:color w:val="auto"/>
                <w:sz w:val="24"/>
                <w:szCs w:val="24"/>
                <w:highlight w:val="none"/>
                <w:lang w:val="en-US" w:eastAsia="zh-CN"/>
              </w:rPr>
              <w:t>1</w:t>
            </w:r>
            <w:r>
              <w:rPr>
                <w:rFonts w:hint="eastAsia" w:ascii="Times New Roman" w:hAnsi="Times New Roman" w:eastAsia="方正仿宋_GBK" w:cs="Times New Roman"/>
                <w:color w:val="auto"/>
                <w:sz w:val="24"/>
                <w:szCs w:val="24"/>
                <w:highlight w:val="none"/>
                <w:lang w:val="en-US" w:eastAsia="zh-CN"/>
              </w:rPr>
              <w:t>：生态渔业保险</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w:t>
            </w: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096" w:type="dxa"/>
            <w:noWrap w:val="0"/>
            <w:vAlign w:val="center"/>
          </w:tcPr>
          <w:p>
            <w:pPr>
              <w:spacing w:line="400" w:lineRule="exact"/>
              <w:jc w:val="left"/>
              <w:rPr>
                <w:rFonts w:hint="default" w:ascii="Times New Roman" w:hAnsi="Times New Roman" w:eastAsia="方正仿宋_GBK" w:cs="Times New Roman"/>
                <w:color w:val="auto"/>
                <w:sz w:val="24"/>
                <w:szCs w:val="24"/>
                <w:highlight w:val="none"/>
                <w:lang w:val="en-US"/>
              </w:rPr>
            </w:pPr>
            <w:r>
              <w:rPr>
                <w:rFonts w:hint="eastAsia" w:ascii="Times New Roman" w:hAnsi="Times New Roman" w:eastAsia="方正仿宋_GBK" w:cs="Times New Roman"/>
                <w:color w:val="auto"/>
                <w:sz w:val="24"/>
                <w:szCs w:val="24"/>
                <w:highlight w:val="none"/>
                <w:lang w:val="en-US" w:eastAsia="zh-CN"/>
              </w:rPr>
              <w:t>区</w:t>
            </w:r>
            <w:r>
              <w:rPr>
                <w:rFonts w:ascii="Times New Roman" w:hAnsi="Times New Roman" w:eastAsia="方正仿宋_GBK" w:cs="Times New Roman"/>
                <w:color w:val="auto"/>
                <w:sz w:val="24"/>
                <w:szCs w:val="24"/>
                <w:highlight w:val="none"/>
              </w:rPr>
              <w:t>优势特色农产品保险</w:t>
            </w:r>
            <w:r>
              <w:rPr>
                <w:rFonts w:hint="default" w:ascii="Times New Roman" w:hAnsi="Times New Roman" w:eastAsia="方正仿宋_GBK" w:cs="Times New Roman"/>
                <w:color w:val="auto"/>
                <w:sz w:val="24"/>
                <w:szCs w:val="24"/>
                <w:highlight w:val="none"/>
                <w:lang w:val="en-US" w:eastAsia="zh-CN"/>
              </w:rPr>
              <w:t>2</w:t>
            </w:r>
            <w:r>
              <w:rPr>
                <w:rFonts w:hint="eastAsia" w:ascii="Times New Roman" w:hAnsi="Times New Roman" w:eastAsia="方正仿宋_GBK" w:cs="Times New Roman"/>
                <w:color w:val="auto"/>
                <w:sz w:val="24"/>
                <w:szCs w:val="24"/>
                <w:highlight w:val="none"/>
                <w:lang w:val="en-US" w:eastAsia="zh-CN"/>
              </w:rPr>
              <w:t>：柑橘收益保险</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p>
        </w:tc>
        <w:tc>
          <w:tcPr>
            <w:tcW w:w="1178" w:type="dxa"/>
            <w:noWrap w:val="0"/>
            <w:vAlign w:val="center"/>
          </w:tcPr>
          <w:p>
            <w:pPr>
              <w:spacing w:line="400" w:lineRule="exact"/>
              <w:jc w:val="center"/>
              <w:rPr>
                <w:rFonts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40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hint="eastAsia"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hint="eastAsia"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096" w:type="dxa"/>
            <w:noWrap w:val="0"/>
            <w:vAlign w:val="center"/>
          </w:tcPr>
          <w:p>
            <w:pPr>
              <w:spacing w:line="400" w:lineRule="exact"/>
              <w:jc w:val="left"/>
              <w:rPr>
                <w:rFonts w:hint="default" w:ascii="Times New Roman" w:hAnsi="Times New Roman" w:eastAsia="方正仿宋_GBK" w:cs="Times New Roman"/>
                <w:color w:val="auto"/>
                <w:sz w:val="24"/>
                <w:szCs w:val="24"/>
                <w:highlight w:val="none"/>
                <w:lang w:val="en-US"/>
              </w:rPr>
            </w:pPr>
            <w:r>
              <w:rPr>
                <w:rFonts w:hint="eastAsia" w:ascii="Times New Roman" w:hAnsi="Times New Roman" w:eastAsia="方正仿宋_GBK" w:cs="Times New Roman"/>
                <w:color w:val="auto"/>
                <w:sz w:val="24"/>
                <w:szCs w:val="24"/>
                <w:highlight w:val="none"/>
                <w:lang w:val="en-US" w:eastAsia="zh-CN"/>
              </w:rPr>
              <w:t>区</w:t>
            </w:r>
            <w:r>
              <w:rPr>
                <w:rFonts w:ascii="Times New Roman" w:hAnsi="Times New Roman" w:eastAsia="方正仿宋_GBK" w:cs="Times New Roman"/>
                <w:color w:val="auto"/>
                <w:sz w:val="24"/>
                <w:szCs w:val="24"/>
                <w:highlight w:val="none"/>
              </w:rPr>
              <w:t>优势特色农产品保险</w:t>
            </w:r>
            <w:r>
              <w:rPr>
                <w:rFonts w:hint="default" w:ascii="Times New Roman" w:hAnsi="Times New Roman" w:eastAsia="方正仿宋_GBK" w:cs="Times New Roman"/>
                <w:color w:val="auto"/>
                <w:sz w:val="24"/>
                <w:szCs w:val="24"/>
                <w:highlight w:val="none"/>
                <w:lang w:val="en-US" w:eastAsia="zh-CN"/>
              </w:rPr>
              <w:t>3</w:t>
            </w:r>
            <w:r>
              <w:rPr>
                <w:rFonts w:hint="eastAsia" w:ascii="Times New Roman" w:hAnsi="Times New Roman" w:eastAsia="方正仿宋_GBK" w:cs="Times New Roman"/>
                <w:color w:val="auto"/>
                <w:sz w:val="24"/>
                <w:szCs w:val="24"/>
                <w:highlight w:val="none"/>
                <w:lang w:val="en-US" w:eastAsia="zh-CN"/>
              </w:rPr>
              <w:t>：蛋鸡养殖保险</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p>
        </w:tc>
        <w:tc>
          <w:tcPr>
            <w:tcW w:w="1178" w:type="dxa"/>
            <w:noWrap w:val="0"/>
            <w:vAlign w:val="center"/>
          </w:tcPr>
          <w:p>
            <w:pPr>
              <w:spacing w:line="400" w:lineRule="exact"/>
              <w:jc w:val="center"/>
              <w:rPr>
                <w:rFonts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40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hint="eastAsia"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hint="eastAsia"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096" w:type="dxa"/>
            <w:noWrap w:val="0"/>
            <w:vAlign w:val="center"/>
          </w:tcPr>
          <w:p>
            <w:pPr>
              <w:spacing w:line="400" w:lineRule="exact"/>
              <w:jc w:val="left"/>
              <w:rPr>
                <w:rFonts w:hint="default" w:ascii="Times New Roman" w:hAnsi="Times New Roman" w:eastAsia="方正仿宋_GBK" w:cs="Times New Roman"/>
                <w:color w:val="auto"/>
                <w:sz w:val="24"/>
                <w:szCs w:val="24"/>
                <w:highlight w:val="none"/>
                <w:lang w:val="en-US"/>
              </w:rPr>
            </w:pPr>
            <w:r>
              <w:rPr>
                <w:rFonts w:hint="eastAsia" w:ascii="Times New Roman" w:hAnsi="Times New Roman" w:eastAsia="方正仿宋_GBK" w:cs="Times New Roman"/>
                <w:color w:val="auto"/>
                <w:sz w:val="24"/>
                <w:szCs w:val="24"/>
                <w:highlight w:val="none"/>
                <w:lang w:val="en-US" w:eastAsia="zh-CN"/>
              </w:rPr>
              <w:t>区</w:t>
            </w:r>
            <w:r>
              <w:rPr>
                <w:rFonts w:ascii="Times New Roman" w:hAnsi="Times New Roman" w:eastAsia="方正仿宋_GBK" w:cs="Times New Roman"/>
                <w:color w:val="auto"/>
                <w:sz w:val="24"/>
                <w:szCs w:val="24"/>
                <w:highlight w:val="none"/>
              </w:rPr>
              <w:t>优势特色农产品保险</w:t>
            </w:r>
            <w:r>
              <w:rPr>
                <w:rFonts w:hint="default" w:ascii="Times New Roman" w:hAnsi="Times New Roman" w:eastAsia="方正仿宋_GBK" w:cs="Times New Roman"/>
                <w:color w:val="auto"/>
                <w:sz w:val="24"/>
                <w:szCs w:val="24"/>
                <w:highlight w:val="none"/>
                <w:lang w:val="en-US" w:eastAsia="zh-CN"/>
              </w:rPr>
              <w:t>4</w:t>
            </w:r>
            <w:r>
              <w:rPr>
                <w:rFonts w:hint="eastAsia" w:ascii="Times New Roman" w:hAnsi="Times New Roman" w:eastAsia="方正仿宋_GBK" w:cs="Times New Roman"/>
                <w:color w:val="auto"/>
                <w:sz w:val="24"/>
                <w:szCs w:val="24"/>
                <w:highlight w:val="none"/>
                <w:lang w:val="en-US" w:eastAsia="zh-CN"/>
              </w:rPr>
              <w:t>：鸡蛋期货保险</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p>
        </w:tc>
        <w:tc>
          <w:tcPr>
            <w:tcW w:w="1178" w:type="dxa"/>
            <w:noWrap w:val="0"/>
            <w:vAlign w:val="center"/>
          </w:tcPr>
          <w:p>
            <w:pPr>
              <w:spacing w:line="400" w:lineRule="exact"/>
              <w:jc w:val="center"/>
              <w:rPr>
                <w:rFonts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40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hint="eastAsia"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hint="eastAsia"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096" w:type="dxa"/>
            <w:noWrap w:val="0"/>
            <w:vAlign w:val="center"/>
          </w:tcPr>
          <w:p>
            <w:pPr>
              <w:spacing w:line="400" w:lineRule="exact"/>
              <w:jc w:val="left"/>
              <w:rPr>
                <w:rFonts w:hint="default" w:ascii="Times New Roman" w:hAnsi="Times New Roman" w:eastAsia="方正仿宋_GBK" w:cs="Times New Roman"/>
                <w:color w:val="auto"/>
                <w:sz w:val="24"/>
                <w:szCs w:val="24"/>
                <w:highlight w:val="none"/>
                <w:lang w:val="en-US"/>
              </w:rPr>
            </w:pPr>
            <w:r>
              <w:rPr>
                <w:rFonts w:hint="eastAsia" w:ascii="Times New Roman" w:hAnsi="Times New Roman" w:eastAsia="方正仿宋_GBK" w:cs="Times New Roman"/>
                <w:color w:val="auto"/>
                <w:sz w:val="24"/>
                <w:szCs w:val="24"/>
                <w:highlight w:val="none"/>
                <w:lang w:val="en-US" w:eastAsia="zh-CN"/>
              </w:rPr>
              <w:t>区</w:t>
            </w:r>
            <w:r>
              <w:rPr>
                <w:rFonts w:ascii="Times New Roman" w:hAnsi="Times New Roman" w:eastAsia="方正仿宋_GBK" w:cs="Times New Roman"/>
                <w:color w:val="auto"/>
                <w:sz w:val="24"/>
                <w:szCs w:val="24"/>
                <w:highlight w:val="none"/>
              </w:rPr>
              <w:t>优势特色农产品保险</w:t>
            </w:r>
            <w:r>
              <w:rPr>
                <w:rFonts w:hint="default" w:ascii="Times New Roman" w:hAnsi="Times New Roman" w:eastAsia="方正仿宋_GBK" w:cs="Times New Roman"/>
                <w:color w:val="auto"/>
                <w:sz w:val="24"/>
                <w:szCs w:val="24"/>
                <w:highlight w:val="none"/>
                <w:lang w:val="en-US" w:eastAsia="zh-CN"/>
              </w:rPr>
              <w:t>5</w:t>
            </w:r>
            <w:r>
              <w:rPr>
                <w:rFonts w:hint="eastAsia" w:ascii="Times New Roman" w:hAnsi="Times New Roman" w:eastAsia="方正仿宋_GBK" w:cs="Times New Roman"/>
                <w:color w:val="auto"/>
                <w:sz w:val="24"/>
                <w:szCs w:val="24"/>
                <w:highlight w:val="none"/>
                <w:lang w:val="en-US" w:eastAsia="zh-CN"/>
              </w:rPr>
              <w:t>：长寿湖渔业保险</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p>
        </w:tc>
        <w:tc>
          <w:tcPr>
            <w:tcW w:w="1178" w:type="dxa"/>
            <w:noWrap w:val="0"/>
            <w:vAlign w:val="center"/>
          </w:tcPr>
          <w:p>
            <w:pPr>
              <w:spacing w:line="400" w:lineRule="exact"/>
              <w:jc w:val="center"/>
              <w:rPr>
                <w:rFonts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40</w:t>
            </w:r>
            <w:r>
              <w:rPr>
                <w:rFonts w:ascii="Times New Roman" w:hAnsi="Times New Roman" w:eastAsia="方正仿宋_GBK" w:cs="Times New Roman"/>
                <w:color w:val="auto"/>
                <w:sz w:val="24"/>
                <w:szCs w:val="24"/>
                <w:highlight w:val="none"/>
              </w:rPr>
              <w:t>%</w:t>
            </w:r>
          </w:p>
        </w:tc>
        <w:tc>
          <w:tcPr>
            <w:tcW w:w="1559" w:type="dxa"/>
            <w:noWrap w:val="0"/>
            <w:vAlign w:val="center"/>
          </w:tcPr>
          <w:p>
            <w:pPr>
              <w:spacing w:line="400" w:lineRule="exact"/>
              <w:jc w:val="center"/>
              <w:rPr>
                <w:rFonts w:hint="eastAsia"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c>
          <w:tcPr>
            <w:tcW w:w="1462" w:type="dxa"/>
            <w:noWrap w:val="0"/>
            <w:vAlign w:val="center"/>
          </w:tcPr>
          <w:p>
            <w:pPr>
              <w:spacing w:line="400" w:lineRule="exact"/>
              <w:jc w:val="center"/>
              <w:rPr>
                <w:rFonts w:hint="eastAsia"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30</w:t>
            </w:r>
            <w:r>
              <w:rPr>
                <w:rFonts w:ascii="Times New Roman" w:hAnsi="Times New Roman" w:eastAsia="方正仿宋_GBK"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3096" w:type="dxa"/>
            <w:noWrap w:val="0"/>
            <w:vAlign w:val="center"/>
          </w:tcPr>
          <w:p>
            <w:pPr>
              <w:spacing w:line="400" w:lineRule="exact"/>
              <w:jc w:val="left"/>
              <w:rPr>
                <w:rFonts w:hint="eastAsia" w:ascii="Times New Roman" w:hAnsi="Times New Roman" w:eastAsia="方正仿宋_GBK" w:cs="Times New Roman"/>
                <w:b/>
                <w:bCs/>
                <w:color w:val="auto"/>
                <w:sz w:val="24"/>
                <w:szCs w:val="24"/>
                <w:highlight w:val="none"/>
                <w:lang w:eastAsia="zh-CN"/>
              </w:rPr>
            </w:pPr>
            <w:r>
              <w:rPr>
                <w:rFonts w:hint="eastAsia" w:ascii="Times New Roman" w:hAnsi="Times New Roman" w:eastAsia="方正仿宋_GBK" w:cs="Times New Roman"/>
                <w:b/>
                <w:bCs/>
                <w:color w:val="auto"/>
                <w:sz w:val="24"/>
                <w:szCs w:val="24"/>
                <w:highlight w:val="none"/>
                <w:lang w:eastAsia="zh-CN"/>
              </w:rPr>
              <w:t>三、区级补贴险种</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p>
        </w:tc>
        <w:tc>
          <w:tcPr>
            <w:tcW w:w="1559" w:type="dxa"/>
            <w:noWrap w:val="0"/>
            <w:vAlign w:val="center"/>
          </w:tcPr>
          <w:p>
            <w:pPr>
              <w:spacing w:line="400" w:lineRule="exact"/>
              <w:jc w:val="center"/>
              <w:rPr>
                <w:rFonts w:hint="eastAsia" w:ascii="Times New Roman" w:hAnsi="Times New Roman" w:eastAsia="方正仿宋_GBK" w:cs="Times New Roman"/>
                <w:color w:val="auto"/>
                <w:sz w:val="24"/>
                <w:szCs w:val="24"/>
                <w:highlight w:val="none"/>
              </w:rPr>
            </w:pPr>
          </w:p>
        </w:tc>
        <w:tc>
          <w:tcPr>
            <w:tcW w:w="1462" w:type="dxa"/>
            <w:noWrap w:val="0"/>
            <w:vAlign w:val="center"/>
          </w:tcPr>
          <w:p>
            <w:pPr>
              <w:spacing w:line="400" w:lineRule="exact"/>
              <w:jc w:val="center"/>
              <w:rPr>
                <w:rFonts w:hint="eastAsia"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3096" w:type="dxa"/>
            <w:noWrap w:val="0"/>
            <w:vAlign w:val="center"/>
          </w:tcPr>
          <w:p>
            <w:pPr>
              <w:spacing w:line="400" w:lineRule="exact"/>
              <w:jc w:val="left"/>
              <w:rPr>
                <w:rFonts w:hint="eastAsia" w:ascii="Times New Roman" w:hAnsi="Times New Roman" w:eastAsia="方正仿宋_GBK" w:cs="Times New Roman"/>
                <w:b/>
                <w:bCs/>
                <w:color w:val="auto"/>
                <w:sz w:val="24"/>
                <w:szCs w:val="24"/>
                <w:highlight w:val="none"/>
                <w:lang w:eastAsia="zh-CN"/>
              </w:rPr>
            </w:pPr>
            <w:r>
              <w:rPr>
                <w:rFonts w:hint="eastAsia" w:ascii="Times New Roman" w:hAnsi="Times New Roman" w:eastAsia="方正仿宋_GBK" w:cs="Times New Roman"/>
                <w:color w:val="auto"/>
                <w:sz w:val="24"/>
                <w:szCs w:val="24"/>
                <w:highlight w:val="none"/>
                <w:lang w:eastAsia="zh-CN"/>
              </w:rPr>
              <w:t>一村一品产业发展保险</w:t>
            </w:r>
          </w:p>
        </w:tc>
        <w:tc>
          <w:tcPr>
            <w:tcW w:w="1200" w:type="dxa"/>
            <w:noWrap w:val="0"/>
            <w:vAlign w:val="center"/>
          </w:tcPr>
          <w:p>
            <w:pPr>
              <w:spacing w:line="400" w:lineRule="exact"/>
              <w:jc w:val="center"/>
              <w:rPr>
                <w:rFonts w:ascii="Times New Roman" w:hAnsi="Times New Roman" w:eastAsia="方正仿宋_GBK" w:cs="Times New Roman"/>
                <w:color w:val="auto"/>
                <w:sz w:val="24"/>
                <w:szCs w:val="24"/>
                <w:highlight w:val="none"/>
              </w:rPr>
            </w:pPr>
          </w:p>
        </w:tc>
        <w:tc>
          <w:tcPr>
            <w:tcW w:w="1178" w:type="dxa"/>
            <w:noWrap w:val="0"/>
            <w:vAlign w:val="center"/>
          </w:tcPr>
          <w:p>
            <w:pPr>
              <w:spacing w:line="400" w:lineRule="exact"/>
              <w:jc w:val="center"/>
              <w:rPr>
                <w:rFonts w:ascii="Times New Roman" w:hAnsi="Times New Roman" w:eastAsia="方正仿宋_GBK" w:cs="Times New Roman"/>
                <w:color w:val="auto"/>
                <w:sz w:val="24"/>
                <w:szCs w:val="24"/>
                <w:highlight w:val="none"/>
              </w:rPr>
            </w:pPr>
          </w:p>
        </w:tc>
        <w:tc>
          <w:tcPr>
            <w:tcW w:w="1559" w:type="dxa"/>
            <w:noWrap w:val="0"/>
            <w:vAlign w:val="center"/>
          </w:tcPr>
          <w:p>
            <w:pPr>
              <w:spacing w:line="400" w:lineRule="exact"/>
              <w:jc w:val="center"/>
              <w:rPr>
                <w:rFonts w:hint="eastAsia"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100</w:t>
            </w:r>
            <w:r>
              <w:rPr>
                <w:rFonts w:hint="eastAsia" w:ascii="Times New Roman" w:hAnsi="Times New Roman" w:eastAsia="方正仿宋_GBK" w:cs="Times New Roman"/>
                <w:color w:val="auto"/>
                <w:sz w:val="24"/>
                <w:szCs w:val="24"/>
                <w:highlight w:val="none"/>
                <w:lang w:val="en-US" w:eastAsia="zh-CN"/>
              </w:rPr>
              <w:t>%</w:t>
            </w:r>
          </w:p>
        </w:tc>
        <w:tc>
          <w:tcPr>
            <w:tcW w:w="1462" w:type="dxa"/>
            <w:noWrap w:val="0"/>
            <w:vAlign w:val="center"/>
          </w:tcPr>
          <w:p>
            <w:pPr>
              <w:spacing w:line="400" w:lineRule="exact"/>
              <w:jc w:val="center"/>
              <w:rPr>
                <w:rFonts w:hint="eastAsia" w:ascii="Times New Roman" w:hAnsi="Times New Roman" w:eastAsia="方正仿宋_GBK" w:cs="Times New Roman"/>
                <w:color w:val="auto"/>
                <w:sz w:val="24"/>
                <w:szCs w:val="24"/>
                <w:highlight w:val="none"/>
              </w:rPr>
            </w:pPr>
          </w:p>
        </w:tc>
      </w:tr>
    </w:tbl>
    <w:p>
      <w:pPr>
        <w:spacing w:line="578" w:lineRule="exact"/>
        <w:ind w:firstLine="482" w:firstLineChars="200"/>
        <w:rPr>
          <w:rFonts w:hint="default" w:ascii="Times New Roman" w:hAnsi="Times New Roman" w:eastAsia="方正仿宋_GBK" w:cs="Times New Roman"/>
          <w:color w:val="auto"/>
          <w:sz w:val="24"/>
          <w:szCs w:val="16"/>
          <w:highlight w:val="none"/>
          <w:lang w:val="en-US" w:eastAsia="zh-CN"/>
        </w:rPr>
      </w:pPr>
      <w:r>
        <w:rPr>
          <w:rFonts w:hint="eastAsia" w:ascii="Times New Roman" w:hAnsi="Times New Roman" w:eastAsia="方正仿宋_GBK" w:cs="Times New Roman"/>
          <w:b/>
          <w:bCs/>
          <w:color w:val="auto"/>
          <w:sz w:val="24"/>
          <w:szCs w:val="16"/>
          <w:highlight w:val="none"/>
          <w:lang w:val="en-US" w:eastAsia="zh-CN"/>
        </w:rPr>
        <w:t>备注：</w:t>
      </w:r>
      <w:r>
        <w:rPr>
          <w:rFonts w:hint="eastAsia" w:ascii="Times New Roman" w:hAnsi="Times New Roman" w:eastAsia="方正仿宋_GBK" w:cs="Times New Roman"/>
          <w:color w:val="auto"/>
          <w:sz w:val="24"/>
          <w:szCs w:val="16"/>
          <w:highlight w:val="none"/>
          <w:lang w:val="en-US" w:eastAsia="zh-CN"/>
        </w:rPr>
        <w:t>纳入优势特色农产品保险的产品根据工作开展情况，进行调整。鼓励保险公司创新产品，新增区级险种根据实际情况给予补贴。</w:t>
      </w:r>
    </w:p>
    <w:p>
      <w:pPr>
        <w:spacing w:line="578" w:lineRule="exact"/>
        <w:ind w:firstLine="640" w:firstLineChars="200"/>
        <w:rPr>
          <w:rFonts w:hint="eastAsia" w:ascii="Times New Roman" w:hAnsi="Times New Roman" w:eastAsia="方正仿宋_GBK" w:cs="Times New Roman"/>
          <w:color w:val="auto"/>
          <w:sz w:val="32"/>
          <w:szCs w:val="20"/>
          <w:highlight w:val="none"/>
        </w:rPr>
      </w:pPr>
    </w:p>
    <w:p>
      <w:pPr>
        <w:numPr>
          <w:ilvl w:val="0"/>
          <w:numId w:val="1"/>
        </w:numPr>
        <w:spacing w:line="578" w:lineRule="exact"/>
        <w:ind w:left="0" w:leftChars="0" w:firstLine="0" w:firstLineChars="0"/>
        <w:jc w:val="center"/>
        <w:rPr>
          <w:rFonts w:hint="eastAsia" w:ascii="Times New Roman" w:hAnsi="Times New Roman" w:eastAsia="方正黑体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 xml:space="preserve"> 保险水平及费率</w:t>
      </w:r>
    </w:p>
    <w:p>
      <w:pPr>
        <w:pStyle w:val="2"/>
        <w:numPr>
          <w:ilvl w:val="0"/>
          <w:numId w:val="0"/>
        </w:numPr>
        <w:ind w:leftChars="0"/>
      </w:pP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val="en-US" w:eastAsia="zh-CN"/>
        </w:rPr>
        <w:t>七</w:t>
      </w:r>
      <w:r>
        <w:rPr>
          <w:rFonts w:hint="eastAsia" w:ascii="Times New Roman" w:hAnsi="Times New Roman" w:eastAsia="方正黑体_GBK" w:cs="Times New Roman"/>
          <w:color w:val="auto"/>
          <w:sz w:val="32"/>
          <w:szCs w:val="20"/>
          <w:highlight w:val="none"/>
        </w:rPr>
        <w:t xml:space="preserve">条 </w:t>
      </w:r>
      <w:r>
        <w:rPr>
          <w:rFonts w:hint="eastAsia" w:ascii="Times New Roman" w:hAnsi="Times New Roman" w:eastAsia="方正仿宋_GBK" w:cs="Times New Roman"/>
          <w:color w:val="auto"/>
          <w:sz w:val="32"/>
          <w:szCs w:val="20"/>
          <w:highlight w:val="none"/>
        </w:rPr>
        <w:t xml:space="preserve"> 承保机构应当公平、合理拟定农业保险条款和费率。保险费率应当按照保本微利原则确定，严格控制经营成本，确保综合费用率不高于</w:t>
      </w:r>
      <w:r>
        <w:rPr>
          <w:rFonts w:hint="default" w:ascii="Times New Roman" w:hAnsi="Times New Roman" w:eastAsia="方正仿宋_GBK" w:cs="Times New Roman"/>
          <w:color w:val="auto"/>
          <w:sz w:val="32"/>
          <w:szCs w:val="20"/>
          <w:highlight w:val="none"/>
        </w:rPr>
        <w:t>20</w:t>
      </w:r>
      <w:r>
        <w:rPr>
          <w:rFonts w:hint="eastAsia" w:ascii="Times New Roman" w:hAnsi="Times New Roman" w:eastAsia="方正仿宋_GBK" w:cs="Times New Roman"/>
          <w:color w:val="auto"/>
          <w:sz w:val="32"/>
          <w:szCs w:val="20"/>
          <w:highlight w:val="none"/>
        </w:rPr>
        <w:t>%。</w:t>
      </w:r>
    </w:p>
    <w:p>
      <w:pPr>
        <w:spacing w:line="578" w:lineRule="exact"/>
        <w:ind w:firstLine="640" w:firstLineChars="200"/>
        <w:rPr>
          <w:rFonts w:hint="eastAsia" w:ascii="Times New Roman" w:hAnsi="Times New Roman" w:eastAsia="方正仿宋_GBK" w:cs="Times New Roman"/>
          <w:color w:val="auto"/>
          <w:sz w:val="32"/>
          <w:szCs w:val="20"/>
          <w:highlight w:val="none"/>
          <w:lang w:val="en-US" w:eastAsia="zh-CN"/>
        </w:rPr>
      </w:pPr>
      <w:r>
        <w:rPr>
          <w:rFonts w:hint="eastAsia" w:ascii="Times New Roman" w:hAnsi="Times New Roman" w:eastAsia="方正仿宋_GBK" w:cs="Times New Roman"/>
          <w:color w:val="auto"/>
          <w:sz w:val="32"/>
          <w:szCs w:val="20"/>
          <w:highlight w:val="none"/>
        </w:rPr>
        <w:t>对纳入财政补贴险种的保险金额和费率，根据地域风险差异、历史赔付情况、农产品价格等因素，在充分听取财政部门、行业主管部门、保险监管部门、承保机构、农户代表和财政部重庆监管局意见基础上拟订。</w:t>
      </w:r>
      <w:r>
        <w:rPr>
          <w:rFonts w:hint="eastAsia" w:ascii="Times New Roman" w:hAnsi="Times New Roman" w:eastAsia="方正仿宋_GBK" w:cs="Times New Roman"/>
          <w:color w:val="auto"/>
          <w:sz w:val="32"/>
          <w:szCs w:val="20"/>
          <w:highlight w:val="none"/>
          <w:lang w:val="en-US" w:eastAsia="zh-CN"/>
        </w:rPr>
        <w:t>以下作为参考，具体以承保机构向保险监管部门备案为准。</w:t>
      </w:r>
    </w:p>
    <w:p>
      <w:pPr>
        <w:pStyle w:val="2"/>
        <w:rPr>
          <w:rFonts w:hint="eastAsia" w:ascii="Times New Roman" w:hAnsi="Times New Roman" w:eastAsia="方正仿宋_GBK" w:cs="Times New Roman"/>
          <w:color w:val="auto"/>
          <w:sz w:val="32"/>
          <w:szCs w:val="20"/>
          <w:highlight w:val="none"/>
          <w:lang w:val="en-US" w:eastAsia="zh-CN"/>
        </w:rPr>
      </w:pPr>
    </w:p>
    <w:p>
      <w:pPr>
        <w:pStyle w:val="2"/>
        <w:rPr>
          <w:rFonts w:hint="default" w:ascii="Times New Roman" w:hAnsi="Times New Roman" w:eastAsia="方正仿宋_GBK" w:cs="Times New Roman"/>
          <w:color w:val="auto"/>
          <w:sz w:val="32"/>
          <w:szCs w:val="20"/>
          <w:highlight w:val="none"/>
          <w:lang w:val="en-US" w:eastAsia="zh-CN"/>
        </w:rPr>
      </w:pP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51"/>
        <w:gridCol w:w="1520"/>
        <w:gridCol w:w="950"/>
        <w:gridCol w:w="2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872" w:type="dxa"/>
            <w:gridSpan w:val="4"/>
            <w:noWrap w:val="0"/>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auto"/>
                <w:sz w:val="44"/>
                <w:szCs w:val="44"/>
                <w:highlight w:val="none"/>
                <w:u w:val="none"/>
              </w:rPr>
            </w:pPr>
            <w:r>
              <w:rPr>
                <w:rFonts w:hint="eastAsia" w:ascii="Times New Roman" w:hAnsi="Times New Roman" w:eastAsia="方正黑体_GBK" w:cs="Times New Roman"/>
                <w:color w:val="auto"/>
                <w:sz w:val="32"/>
                <w:szCs w:val="32"/>
                <w:highlight w:val="none"/>
                <w:lang w:val="en-US" w:eastAsia="zh-CN"/>
              </w:rPr>
              <w:t>表：补贴险种保险金额及费率情况表</w:t>
            </w:r>
            <w:r>
              <w:rPr>
                <w:rFonts w:hint="eastAsia" w:ascii="方正小标宋_GBK" w:hAnsi="方正小标宋_GBK" w:eastAsia="方正小标宋_GBK" w:cs="方正小标宋_GBK"/>
                <w:i w:val="0"/>
                <w:color w:val="auto"/>
                <w:kern w:val="0"/>
                <w:sz w:val="44"/>
                <w:szCs w:val="44"/>
                <w:highlight w:val="none"/>
                <w:u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751" w:type="dxa"/>
            <w:noWrap w:val="0"/>
            <w:vAlign w:val="center"/>
          </w:tcPr>
          <w:p>
            <w:pPr>
              <w:jc w:val="center"/>
              <w:rPr>
                <w:rFonts w:hint="eastAsia" w:ascii="方正仿宋_GBK" w:hAnsi="方正仿宋_GBK" w:eastAsia="方正仿宋_GBK" w:cs="方正仿宋_GBK"/>
                <w:i w:val="0"/>
                <w:color w:val="auto"/>
                <w:sz w:val="24"/>
                <w:szCs w:val="24"/>
                <w:highlight w:val="none"/>
                <w:u w:val="none"/>
              </w:rPr>
            </w:pPr>
          </w:p>
        </w:tc>
        <w:tc>
          <w:tcPr>
            <w:tcW w:w="1520" w:type="dxa"/>
            <w:noWrap w:val="0"/>
            <w:vAlign w:val="center"/>
          </w:tcPr>
          <w:p>
            <w:pPr>
              <w:jc w:val="center"/>
              <w:rPr>
                <w:rFonts w:hint="eastAsia" w:ascii="方正仿宋_GBK" w:hAnsi="方正仿宋_GBK" w:eastAsia="方正仿宋_GBK" w:cs="方正仿宋_GBK"/>
                <w:i w:val="0"/>
                <w:color w:val="auto"/>
                <w:sz w:val="24"/>
                <w:szCs w:val="24"/>
                <w:highlight w:val="none"/>
                <w:u w:val="none"/>
              </w:rPr>
            </w:pPr>
          </w:p>
        </w:tc>
        <w:tc>
          <w:tcPr>
            <w:tcW w:w="3601" w:type="dxa"/>
            <w:gridSpan w:val="2"/>
            <w:tcBorders>
              <w:bottom w:val="single" w:color="000000" w:sz="4" w:space="0"/>
            </w:tcBorders>
            <w:noWrap w:val="0"/>
            <w:vAlign w:val="center"/>
          </w:tcPr>
          <w:p>
            <w:pPr>
              <w:keepNext w:val="0"/>
              <w:keepLines w:val="0"/>
              <w:widowControl/>
              <w:suppressLineNumbers w:val="0"/>
              <w:jc w:val="right"/>
              <w:textAlignment w:val="center"/>
              <w:rPr>
                <w:rFonts w:ascii="方正楷体_GBK" w:hAnsi="方正楷体_GBK" w:eastAsia="方正楷体_GBK" w:cs="方正楷体_GBK"/>
                <w:i w:val="0"/>
                <w:color w:val="auto"/>
                <w:sz w:val="24"/>
                <w:szCs w:val="24"/>
                <w:highlight w:val="none"/>
                <w:u w:val="none"/>
              </w:rPr>
            </w:pPr>
            <w:r>
              <w:rPr>
                <w:rFonts w:hint="eastAsia" w:ascii="方正楷体_GBK" w:hAnsi="方正楷体_GBK" w:eastAsia="方正楷体_GBK" w:cs="方正楷体_GBK"/>
                <w:i w:val="0"/>
                <w:color w:val="auto"/>
                <w:kern w:val="0"/>
                <w:sz w:val="24"/>
                <w:szCs w:val="24"/>
                <w:highlight w:val="none"/>
                <w:u w:val="none"/>
                <w:lang w:val="en-US" w:eastAsia="zh-CN" w:bidi="ar-SA"/>
              </w:rPr>
              <w:t>单位：元/亩、元/头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黑体_GBK" w:hAnsi="方正黑体_GBK" w:eastAsia="方正黑体_GBK" w:cs="方正黑体_GBK"/>
                <w:i w:val="0"/>
                <w:color w:val="auto"/>
                <w:sz w:val="28"/>
                <w:szCs w:val="28"/>
                <w:highlight w:val="none"/>
                <w:u w:val="none"/>
              </w:rPr>
            </w:pPr>
            <w:r>
              <w:rPr>
                <w:rFonts w:hint="eastAsia" w:ascii="方正黑体_GBK" w:hAnsi="方正黑体_GBK" w:eastAsia="方正黑体_GBK" w:cs="方正黑体_GBK"/>
                <w:i w:val="0"/>
                <w:color w:val="auto"/>
                <w:kern w:val="0"/>
                <w:sz w:val="28"/>
                <w:szCs w:val="28"/>
                <w:highlight w:val="none"/>
                <w:u w:val="none"/>
                <w:lang w:val="en-US" w:eastAsia="zh-CN" w:bidi="ar-SA"/>
              </w:rPr>
              <w:t>险种</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auto"/>
                <w:sz w:val="28"/>
                <w:szCs w:val="28"/>
                <w:highlight w:val="none"/>
                <w:u w:val="none"/>
              </w:rPr>
            </w:pPr>
            <w:r>
              <w:rPr>
                <w:rFonts w:hint="eastAsia" w:ascii="方正黑体_GBK" w:hAnsi="方正黑体_GBK" w:eastAsia="方正黑体_GBK" w:cs="方正黑体_GBK"/>
                <w:i w:val="0"/>
                <w:color w:val="auto"/>
                <w:kern w:val="0"/>
                <w:sz w:val="28"/>
                <w:szCs w:val="28"/>
                <w:highlight w:val="none"/>
                <w:u w:val="none"/>
                <w:lang w:val="en-US" w:eastAsia="zh-CN" w:bidi="ar-SA"/>
              </w:rPr>
              <w:t>保险金额</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auto"/>
                <w:sz w:val="28"/>
                <w:szCs w:val="28"/>
                <w:highlight w:val="none"/>
                <w:u w:val="none"/>
              </w:rPr>
            </w:pPr>
            <w:r>
              <w:rPr>
                <w:rFonts w:hint="eastAsia" w:ascii="方正黑体_GBK" w:hAnsi="方正黑体_GBK" w:eastAsia="方正黑体_GBK" w:cs="方正黑体_GBK"/>
                <w:i w:val="0"/>
                <w:color w:val="auto"/>
                <w:kern w:val="0"/>
                <w:sz w:val="28"/>
                <w:szCs w:val="28"/>
                <w:highlight w:val="none"/>
                <w:u w:val="none"/>
                <w:lang w:val="en-US" w:eastAsia="zh-CN" w:bidi="ar-SA"/>
              </w:rPr>
              <w:t>费率</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auto"/>
                <w:sz w:val="28"/>
                <w:szCs w:val="28"/>
                <w:highlight w:val="none"/>
                <w:u w:val="none"/>
              </w:rPr>
            </w:pPr>
            <w:r>
              <w:rPr>
                <w:rFonts w:hint="eastAsia" w:ascii="方正黑体_GBK" w:hAnsi="方正黑体_GBK" w:eastAsia="方正黑体_GBK" w:cs="方正黑体_GBK"/>
                <w:i w:val="0"/>
                <w:color w:val="auto"/>
                <w:kern w:val="0"/>
                <w:sz w:val="28"/>
                <w:szCs w:val="28"/>
                <w:highlight w:val="none"/>
                <w:u w:val="none"/>
                <w:lang w:val="en-US" w:eastAsia="zh-CN" w:bidi="ar-SA"/>
              </w:rPr>
              <w:t>保费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auto"/>
                <w:sz w:val="24"/>
                <w:szCs w:val="24"/>
                <w:highlight w:val="none"/>
                <w:u w:val="none"/>
              </w:rPr>
            </w:pPr>
            <w:r>
              <w:rPr>
                <w:rFonts w:hint="eastAsia" w:ascii="方正仿宋_GBK" w:hAnsi="方正仿宋_GBK" w:eastAsia="方正仿宋_GBK" w:cs="方正仿宋_GBK"/>
                <w:b/>
                <w:i w:val="0"/>
                <w:color w:val="auto"/>
                <w:kern w:val="0"/>
                <w:sz w:val="24"/>
                <w:szCs w:val="24"/>
                <w:highlight w:val="none"/>
                <w:u w:val="none"/>
                <w:lang w:val="en-US" w:eastAsia="zh-CN" w:bidi="ar-SA"/>
              </w:rPr>
              <w:t>一、中央补贴险种</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color w:val="auto"/>
                <w:sz w:val="28"/>
                <w:szCs w:val="28"/>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color w:val="auto"/>
                <w:sz w:val="28"/>
                <w:szCs w:val="28"/>
                <w:highlight w:val="none"/>
                <w:u w:val="none"/>
              </w:rPr>
            </w:pP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黑体_GBK" w:hAnsi="方正黑体_GBK" w:eastAsia="方正黑体_GBK" w:cs="方正黑体_GBK"/>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auto"/>
                <w:sz w:val="24"/>
                <w:szCs w:val="24"/>
                <w:highlight w:val="none"/>
                <w:u w:val="none"/>
              </w:rPr>
            </w:pPr>
            <w:r>
              <w:rPr>
                <w:rFonts w:hint="eastAsia" w:ascii="方正楷体_GBK" w:hAnsi="方正楷体_GBK" w:eastAsia="方正楷体_GBK" w:cs="方正楷体_GBK"/>
                <w:b/>
                <w:i w:val="0"/>
                <w:color w:val="auto"/>
                <w:kern w:val="0"/>
                <w:sz w:val="24"/>
                <w:szCs w:val="24"/>
                <w:highlight w:val="none"/>
                <w:u w:val="none"/>
                <w:lang w:val="en-US" w:eastAsia="zh-CN" w:bidi="ar-SA"/>
              </w:rPr>
              <w:t>（一）种植业</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4"/>
                <w:szCs w:val="24"/>
                <w:highlight w:val="none"/>
                <w:u w:val="none"/>
              </w:rPr>
            </w:pP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w:t>
            </w:r>
            <w:r>
              <w:rPr>
                <w:rFonts w:hint="eastAsia" w:ascii="方正仿宋_GBK" w:hAnsi="方正仿宋_GBK" w:eastAsia="方正仿宋_GBK" w:cs="方正仿宋_GBK"/>
                <w:i w:val="0"/>
                <w:color w:val="auto"/>
                <w:kern w:val="0"/>
                <w:sz w:val="24"/>
                <w:szCs w:val="24"/>
                <w:highlight w:val="none"/>
                <w:u w:val="none"/>
                <w:lang w:val="en-US" w:eastAsia="zh-CN" w:bidi="ar-SA"/>
              </w:rPr>
              <w:t>.稻谷</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600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6%</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2</w:t>
            </w:r>
            <w:r>
              <w:rPr>
                <w:rFonts w:hint="eastAsia" w:ascii="方正仿宋_GBK" w:hAnsi="方正仿宋_GBK" w:eastAsia="方正仿宋_GBK" w:cs="方正仿宋_GBK"/>
                <w:i w:val="0"/>
                <w:color w:val="auto"/>
                <w:kern w:val="0"/>
                <w:sz w:val="24"/>
                <w:szCs w:val="24"/>
                <w:highlight w:val="none"/>
                <w:u w:val="none"/>
                <w:lang w:val="en-US" w:eastAsia="zh-CN" w:bidi="ar-SA"/>
              </w:rPr>
              <w:t>.小麦</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600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6%</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3</w:t>
            </w:r>
            <w:r>
              <w:rPr>
                <w:rFonts w:hint="eastAsia" w:ascii="方正仿宋_GBK" w:hAnsi="方正仿宋_GBK" w:eastAsia="方正仿宋_GBK" w:cs="方正仿宋_GBK"/>
                <w:i w:val="0"/>
                <w:color w:val="auto"/>
                <w:kern w:val="0"/>
                <w:sz w:val="24"/>
                <w:szCs w:val="24"/>
                <w:highlight w:val="none"/>
                <w:u w:val="none"/>
                <w:lang w:val="en-US" w:eastAsia="zh-CN" w:bidi="ar-SA"/>
              </w:rPr>
              <w:t>.玉米</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600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6%</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4</w:t>
            </w:r>
            <w:r>
              <w:rPr>
                <w:rFonts w:hint="eastAsia" w:ascii="方正仿宋_GBK" w:hAnsi="方正仿宋_GBK" w:eastAsia="方正仿宋_GBK" w:cs="方正仿宋_GBK"/>
                <w:i w:val="0"/>
                <w:color w:val="auto"/>
                <w:kern w:val="0"/>
                <w:sz w:val="24"/>
                <w:szCs w:val="24"/>
                <w:highlight w:val="none"/>
                <w:u w:val="none"/>
                <w:lang w:val="en-US" w:eastAsia="zh-CN" w:bidi="ar-SA"/>
              </w:rPr>
              <w:t>.油菜</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600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5%</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5</w:t>
            </w:r>
            <w:r>
              <w:rPr>
                <w:rFonts w:hint="eastAsia" w:ascii="方正仿宋_GBK" w:hAnsi="方正仿宋_GBK" w:eastAsia="方正仿宋_GBK" w:cs="方正仿宋_GBK"/>
                <w:i w:val="0"/>
                <w:color w:val="auto"/>
                <w:kern w:val="0"/>
                <w:sz w:val="24"/>
                <w:szCs w:val="24"/>
                <w:highlight w:val="none"/>
                <w:u w:val="none"/>
                <w:lang w:val="en-US" w:eastAsia="zh-CN" w:bidi="ar-SA"/>
              </w:rPr>
              <w:t>.大豆</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500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5%</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6</w:t>
            </w:r>
            <w:r>
              <w:rPr>
                <w:rFonts w:hint="eastAsia" w:ascii="方正仿宋_GBK" w:hAnsi="方正仿宋_GBK" w:eastAsia="方正仿宋_GBK" w:cs="方正仿宋_GBK"/>
                <w:i w:val="0"/>
                <w:color w:val="auto"/>
                <w:kern w:val="0"/>
                <w:sz w:val="24"/>
                <w:szCs w:val="24"/>
                <w:highlight w:val="none"/>
                <w:u w:val="none"/>
                <w:lang w:val="en-US" w:eastAsia="zh-CN" w:bidi="ar-SA"/>
              </w:rPr>
              <w:t>.马铃薯</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600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5%</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7</w:t>
            </w:r>
            <w:r>
              <w:rPr>
                <w:rFonts w:hint="eastAsia" w:ascii="方正仿宋_GBK" w:hAnsi="方正仿宋_GBK" w:eastAsia="方正仿宋_GBK" w:cs="方正仿宋_GBK"/>
                <w:i w:val="0"/>
                <w:color w:val="auto"/>
                <w:kern w:val="0"/>
                <w:sz w:val="24"/>
                <w:szCs w:val="24"/>
                <w:highlight w:val="none"/>
                <w:u w:val="none"/>
                <w:lang w:val="en-US" w:eastAsia="zh-CN" w:bidi="ar-SA"/>
              </w:rPr>
              <w:t>.稻谷制种</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2000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8%</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8</w:t>
            </w:r>
            <w:r>
              <w:rPr>
                <w:rFonts w:hint="eastAsia" w:ascii="方正仿宋_GBK" w:hAnsi="方正仿宋_GBK" w:eastAsia="方正仿宋_GBK" w:cs="方正仿宋_GBK"/>
                <w:i w:val="0"/>
                <w:color w:val="auto"/>
                <w:kern w:val="0"/>
                <w:sz w:val="24"/>
                <w:szCs w:val="24"/>
                <w:highlight w:val="none"/>
                <w:u w:val="none"/>
                <w:lang w:val="en-US" w:eastAsia="zh-CN" w:bidi="ar-SA"/>
              </w:rPr>
              <w:t>.玉米制种</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2000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8%</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SA"/>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auto"/>
                <w:sz w:val="24"/>
                <w:szCs w:val="24"/>
                <w:highlight w:val="none"/>
                <w:u w:val="none"/>
              </w:rPr>
            </w:pPr>
            <w:r>
              <w:rPr>
                <w:rFonts w:hint="eastAsia" w:ascii="方正楷体_GBK" w:hAnsi="方正楷体_GBK" w:eastAsia="方正楷体_GBK" w:cs="方正楷体_GBK"/>
                <w:b/>
                <w:i w:val="0"/>
                <w:color w:val="auto"/>
                <w:kern w:val="0"/>
                <w:sz w:val="24"/>
                <w:szCs w:val="24"/>
                <w:highlight w:val="none"/>
                <w:u w:val="none"/>
                <w:lang w:val="en-US" w:eastAsia="zh-CN" w:bidi="ar-SA"/>
              </w:rPr>
              <w:t>（二）养殖业</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4"/>
                <w:szCs w:val="24"/>
                <w:highlight w:val="none"/>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9</w:t>
            </w:r>
            <w:r>
              <w:rPr>
                <w:rFonts w:hint="eastAsia" w:ascii="方正仿宋_GBK" w:hAnsi="方正仿宋_GBK" w:eastAsia="方正仿宋_GBK" w:cs="方正仿宋_GBK"/>
                <w:i w:val="0"/>
                <w:color w:val="auto"/>
                <w:kern w:val="0"/>
                <w:sz w:val="24"/>
                <w:szCs w:val="24"/>
                <w:highlight w:val="none"/>
                <w:u w:val="none"/>
                <w:lang w:val="en-US" w:eastAsia="zh-CN" w:bidi="ar-SA"/>
              </w:rPr>
              <w:t>.能繁母猪</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6</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10</w:t>
            </w:r>
            <w:r>
              <w:rPr>
                <w:rFonts w:hint="eastAsia" w:ascii="方正仿宋_GBK" w:hAnsi="方正仿宋_GBK" w:eastAsia="方正仿宋_GBK" w:cs="方正仿宋_GBK"/>
                <w:i w:val="0"/>
                <w:color w:val="auto"/>
                <w:kern w:val="0"/>
                <w:sz w:val="24"/>
                <w:szCs w:val="24"/>
                <w:highlight w:val="none"/>
                <w:u w:val="none"/>
                <w:lang w:val="en-US" w:eastAsia="zh-CN" w:bidi="ar-SA"/>
              </w:rPr>
              <w:t>.育肥猪</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6</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11</w:t>
            </w:r>
            <w:r>
              <w:rPr>
                <w:rFonts w:hint="eastAsia" w:ascii="方正仿宋_GBK" w:hAnsi="方正仿宋_GBK" w:eastAsia="方正仿宋_GBK" w:cs="方正仿宋_GBK"/>
                <w:i w:val="0"/>
                <w:color w:val="auto"/>
                <w:kern w:val="0"/>
                <w:sz w:val="24"/>
                <w:szCs w:val="24"/>
                <w:highlight w:val="none"/>
                <w:u w:val="none"/>
                <w:lang w:val="en-US" w:eastAsia="zh-CN" w:bidi="ar-SA"/>
              </w:rPr>
              <w:t>.奶牛</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15000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5</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auto"/>
                <w:sz w:val="24"/>
                <w:szCs w:val="24"/>
                <w:highlight w:val="none"/>
                <w:u w:val="none"/>
              </w:rPr>
            </w:pPr>
            <w:r>
              <w:rPr>
                <w:rFonts w:hint="eastAsia" w:ascii="方正楷体_GBK" w:hAnsi="方正楷体_GBK" w:eastAsia="方正楷体_GBK" w:cs="方正楷体_GBK"/>
                <w:b/>
                <w:i w:val="0"/>
                <w:color w:val="auto"/>
                <w:kern w:val="0"/>
                <w:sz w:val="24"/>
                <w:szCs w:val="24"/>
                <w:highlight w:val="none"/>
                <w:u w:val="none"/>
                <w:lang w:val="en-US" w:eastAsia="zh-CN" w:bidi="ar-SA"/>
              </w:rPr>
              <w:t>（三）林业</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4"/>
                <w:szCs w:val="24"/>
                <w:highlight w:val="none"/>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kern w:val="0"/>
                <w:sz w:val="24"/>
                <w:szCs w:val="24"/>
                <w:highlight w:val="none"/>
                <w:u w:val="none"/>
                <w:lang w:val="en-US" w:eastAsia="zh-CN" w:bidi="ar-SA"/>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12</w:t>
            </w:r>
            <w:r>
              <w:rPr>
                <w:rFonts w:hint="eastAsia" w:ascii="方正仿宋_GBK" w:hAnsi="方正仿宋_GBK" w:eastAsia="方正仿宋_GBK" w:cs="方正仿宋_GBK"/>
                <w:i w:val="0"/>
                <w:color w:val="auto"/>
                <w:kern w:val="0"/>
                <w:sz w:val="24"/>
                <w:szCs w:val="24"/>
                <w:highlight w:val="none"/>
                <w:u w:val="none"/>
                <w:lang w:val="en-US" w:eastAsia="zh-CN" w:bidi="ar-SA"/>
              </w:rPr>
              <w:t>.公益林</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800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25</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kern w:val="0"/>
                <w:sz w:val="24"/>
                <w:szCs w:val="24"/>
                <w:highlight w:val="none"/>
                <w:u w:val="none"/>
                <w:lang w:val="en-US" w:eastAsia="zh-CN" w:bidi="ar-SA"/>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13</w:t>
            </w:r>
            <w:r>
              <w:rPr>
                <w:rFonts w:hint="eastAsia" w:ascii="方正仿宋_GBK" w:hAnsi="方正仿宋_GBK" w:eastAsia="方正仿宋_GBK" w:cs="方正仿宋_GBK"/>
                <w:i w:val="0"/>
                <w:color w:val="auto"/>
                <w:kern w:val="0"/>
                <w:sz w:val="24"/>
                <w:szCs w:val="24"/>
                <w:highlight w:val="none"/>
                <w:u w:val="none"/>
                <w:lang w:val="en-US" w:eastAsia="zh-CN" w:bidi="ar-SA"/>
              </w:rPr>
              <w:t>.商品林</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800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3</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auto"/>
                <w:sz w:val="24"/>
                <w:szCs w:val="24"/>
                <w:highlight w:val="none"/>
                <w:u w:val="none"/>
              </w:rPr>
            </w:pPr>
            <w:r>
              <w:rPr>
                <w:rFonts w:hint="eastAsia" w:ascii="方正仿宋_GBK" w:hAnsi="方正仿宋_GBK" w:eastAsia="方正仿宋_GBK" w:cs="方正仿宋_GBK"/>
                <w:b/>
                <w:i w:val="0"/>
                <w:color w:val="auto"/>
                <w:kern w:val="0"/>
                <w:sz w:val="24"/>
                <w:szCs w:val="24"/>
                <w:highlight w:val="none"/>
                <w:u w:val="none"/>
                <w:lang w:val="en-US" w:eastAsia="zh-CN" w:bidi="ar-SA"/>
              </w:rPr>
              <w:t>二、市级补贴险种</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4"/>
                <w:szCs w:val="24"/>
                <w:highlight w:val="none"/>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4"/>
                <w:szCs w:val="24"/>
                <w:highlight w:val="none"/>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kern w:val="0"/>
                <w:sz w:val="24"/>
                <w:szCs w:val="24"/>
                <w:highlight w:val="none"/>
                <w:u w:val="none"/>
                <w:lang w:val="en-US" w:eastAsia="zh-CN" w:bidi="ar-SA"/>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14</w:t>
            </w:r>
            <w:r>
              <w:rPr>
                <w:rFonts w:hint="eastAsia" w:ascii="方正仿宋_GBK" w:hAnsi="方正仿宋_GBK" w:eastAsia="方正仿宋_GBK" w:cs="方正仿宋_GBK"/>
                <w:i w:val="0"/>
                <w:color w:val="auto"/>
                <w:kern w:val="0"/>
                <w:sz w:val="24"/>
                <w:szCs w:val="24"/>
                <w:highlight w:val="none"/>
                <w:u w:val="none"/>
                <w:lang w:val="en-US" w:eastAsia="zh-CN" w:bidi="ar-SA"/>
              </w:rPr>
              <w:t>.柑橘成本保险</w:t>
            </w:r>
          </w:p>
        </w:tc>
        <w:tc>
          <w:tcPr>
            <w:tcW w:w="15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1000</w:t>
            </w:r>
          </w:p>
        </w:tc>
        <w:tc>
          <w:tcPr>
            <w:tcW w:w="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27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kern w:val="0"/>
                <w:sz w:val="24"/>
                <w:szCs w:val="24"/>
                <w:highlight w:val="none"/>
                <w:u w:val="none"/>
                <w:lang w:val="en-US" w:eastAsia="zh-CN" w:bidi="ar-SA"/>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15</w:t>
            </w:r>
            <w:r>
              <w:rPr>
                <w:rFonts w:hint="eastAsia" w:ascii="方正仿宋_GBK" w:hAnsi="方正仿宋_GBK" w:eastAsia="方正仿宋_GBK" w:cs="方正仿宋_GBK"/>
                <w:i w:val="0"/>
                <w:color w:val="auto"/>
                <w:kern w:val="0"/>
                <w:sz w:val="24"/>
                <w:szCs w:val="24"/>
                <w:highlight w:val="none"/>
                <w:u w:val="none"/>
                <w:lang w:val="en-US" w:eastAsia="zh-CN" w:bidi="ar-SA"/>
              </w:rPr>
              <w:t>.生猪收益保险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1400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5</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5</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kern w:val="0"/>
                <w:sz w:val="24"/>
                <w:szCs w:val="24"/>
                <w:highlight w:val="none"/>
                <w:u w:val="none"/>
                <w:lang w:val="en-US" w:eastAsia="zh-CN" w:bidi="ar-SA"/>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16</w:t>
            </w:r>
            <w:r>
              <w:rPr>
                <w:rFonts w:hint="eastAsia" w:ascii="方正仿宋_GBK" w:hAnsi="方正仿宋_GBK" w:eastAsia="方正仿宋_GBK" w:cs="方正仿宋_GBK"/>
                <w:i w:val="0"/>
                <w:color w:val="auto"/>
                <w:kern w:val="0"/>
                <w:sz w:val="24"/>
                <w:szCs w:val="24"/>
                <w:highlight w:val="none"/>
                <w:u w:val="none"/>
                <w:lang w:val="en-US" w:eastAsia="zh-CN" w:bidi="ar-SA"/>
              </w:rPr>
              <w:t>.稻谷完全成本补充保险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500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7</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13</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kern w:val="0"/>
                <w:sz w:val="24"/>
                <w:szCs w:val="24"/>
                <w:highlight w:val="none"/>
                <w:u w:val="none"/>
                <w:lang w:val="en-US" w:eastAsia="zh-CN" w:bidi="ar-SA"/>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17</w:t>
            </w:r>
            <w:r>
              <w:rPr>
                <w:rFonts w:hint="eastAsia" w:ascii="方正仿宋_GBK" w:hAnsi="方正仿宋_GBK" w:eastAsia="方正仿宋_GBK" w:cs="方正仿宋_GBK"/>
                <w:i w:val="0"/>
                <w:color w:val="auto"/>
                <w:kern w:val="0"/>
                <w:sz w:val="24"/>
                <w:szCs w:val="24"/>
                <w:highlight w:val="none"/>
                <w:u w:val="none"/>
                <w:lang w:val="en-US" w:eastAsia="zh-CN" w:bidi="ar-SA"/>
              </w:rPr>
              <w:t>.玉米完全成本补充保险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500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7</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13</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auto"/>
                <w:kern w:val="0"/>
                <w:sz w:val="24"/>
                <w:szCs w:val="24"/>
                <w:highlight w:val="none"/>
                <w:u w:val="none"/>
                <w:lang w:val="en-US" w:eastAsia="zh-CN" w:bidi="ar-SA"/>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18</w:t>
            </w:r>
            <w:r>
              <w:rPr>
                <w:rFonts w:hint="eastAsia" w:ascii="方正仿宋_GBK" w:hAnsi="方正仿宋_GBK" w:eastAsia="方正仿宋_GBK" w:cs="方正仿宋_GBK"/>
                <w:i w:val="0"/>
                <w:color w:val="auto"/>
                <w:kern w:val="0"/>
                <w:sz w:val="24"/>
                <w:szCs w:val="24"/>
                <w:highlight w:val="none"/>
                <w:u w:val="none"/>
                <w:lang w:val="en-US" w:eastAsia="zh-CN" w:bidi="ar-SA"/>
              </w:rPr>
              <w:t>.马铃薯完全成本补充保险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640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4</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25</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40" w:firstLineChars="100"/>
              <w:jc w:val="left"/>
              <w:textAlignment w:val="center"/>
              <w:rPr>
                <w:rFonts w:hint="default" w:ascii="方正仿宋_GBK" w:hAnsi="方正仿宋_GBK" w:eastAsia="方正仿宋_GBK" w:cs="方正仿宋_GBK"/>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19</w:t>
            </w:r>
            <w:r>
              <w:rPr>
                <w:rFonts w:hint="eastAsia" w:ascii="方正仿宋_GBK" w:hAnsi="方正仿宋_GBK" w:eastAsia="方正仿宋_GBK" w:cs="方正仿宋_GBK"/>
                <w:i w:val="0"/>
                <w:color w:val="auto"/>
                <w:kern w:val="0"/>
                <w:sz w:val="24"/>
                <w:szCs w:val="24"/>
                <w:highlight w:val="none"/>
                <w:u w:val="none"/>
                <w:lang w:val="en-US" w:eastAsia="zh-CN" w:bidi="ar-SA"/>
              </w:rPr>
              <w:t>.生态渔业保险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4000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5</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40" w:firstLineChars="100"/>
              <w:jc w:val="left"/>
              <w:textAlignment w:val="center"/>
              <w:rPr>
                <w:rFonts w:hint="default" w:ascii="方正仿宋_GBK" w:hAnsi="方正仿宋_GBK" w:eastAsia="方正仿宋_GBK" w:cs="方正仿宋_GBK"/>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20</w:t>
            </w:r>
            <w:r>
              <w:rPr>
                <w:rFonts w:hint="eastAsia" w:ascii="方正仿宋_GBK" w:hAnsi="方正仿宋_GBK" w:eastAsia="方正仿宋_GBK" w:cs="方正仿宋_GBK"/>
                <w:i w:val="0"/>
                <w:color w:val="auto"/>
                <w:kern w:val="0"/>
                <w:sz w:val="24"/>
                <w:szCs w:val="24"/>
                <w:highlight w:val="none"/>
                <w:u w:val="none"/>
                <w:lang w:val="en-US" w:eastAsia="zh-CN" w:bidi="ar-SA"/>
              </w:rPr>
              <w:t>.柑橘收益保险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2000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5</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40" w:firstLineChars="100"/>
              <w:jc w:val="left"/>
              <w:textAlignment w:val="center"/>
              <w:rPr>
                <w:rFonts w:hint="default" w:ascii="方正仿宋_GBK" w:hAnsi="方正仿宋_GBK" w:eastAsia="方正仿宋_GBK" w:cs="方正仿宋_GBK"/>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21</w:t>
            </w:r>
            <w:r>
              <w:rPr>
                <w:rFonts w:hint="eastAsia" w:ascii="方正仿宋_GBK" w:hAnsi="方正仿宋_GBK" w:eastAsia="方正仿宋_GBK" w:cs="方正仿宋_GBK"/>
                <w:i w:val="0"/>
                <w:color w:val="auto"/>
                <w:kern w:val="0"/>
                <w:sz w:val="24"/>
                <w:szCs w:val="24"/>
                <w:highlight w:val="none"/>
                <w:u w:val="none"/>
                <w:lang w:val="en-US" w:eastAsia="zh-CN" w:bidi="ar-SA"/>
              </w:rPr>
              <w:t>.蛋鸡养殖保险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6</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40" w:firstLineChars="100"/>
              <w:jc w:val="left"/>
              <w:textAlignment w:val="center"/>
              <w:rPr>
                <w:rFonts w:hint="default" w:ascii="方正仿宋_GBK" w:hAnsi="方正仿宋_GBK" w:eastAsia="方正仿宋_GBK" w:cs="方正仿宋_GBK"/>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22</w:t>
            </w:r>
            <w:r>
              <w:rPr>
                <w:rFonts w:hint="eastAsia" w:ascii="方正仿宋_GBK" w:hAnsi="方正仿宋_GBK" w:eastAsia="方正仿宋_GBK" w:cs="方正仿宋_GBK"/>
                <w:i w:val="0"/>
                <w:color w:val="auto"/>
                <w:kern w:val="0"/>
                <w:sz w:val="24"/>
                <w:szCs w:val="24"/>
                <w:highlight w:val="none"/>
                <w:u w:val="none"/>
                <w:lang w:val="en-US" w:eastAsia="zh-CN" w:bidi="ar-SA"/>
              </w:rPr>
              <w:t>.鸡蛋期货保险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8000</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10000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3</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5</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5</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40" w:firstLineChars="100"/>
              <w:jc w:val="left"/>
              <w:textAlignment w:val="center"/>
              <w:rPr>
                <w:rFonts w:hint="default" w:ascii="方正仿宋_GBK" w:hAnsi="方正仿宋_GBK" w:eastAsia="方正仿宋_GBK" w:cs="方正仿宋_GBK"/>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23</w:t>
            </w:r>
            <w:r>
              <w:rPr>
                <w:rFonts w:hint="eastAsia" w:ascii="方正仿宋_GBK" w:hAnsi="方正仿宋_GBK" w:eastAsia="方正仿宋_GBK" w:cs="方正仿宋_GBK"/>
                <w:i w:val="0"/>
                <w:color w:val="auto"/>
                <w:kern w:val="0"/>
                <w:sz w:val="24"/>
                <w:szCs w:val="24"/>
                <w:highlight w:val="none"/>
                <w:u w:val="none"/>
                <w:lang w:val="en-US" w:eastAsia="zh-CN" w:bidi="ar-SA"/>
              </w:rPr>
              <w:t>.长寿湖渔业保险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800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3</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highlight w:val="none"/>
                <w:u w:val="none"/>
                <w:lang w:val="en-US" w:eastAsia="zh-CN" w:bidi="ar-SA"/>
              </w:rPr>
            </w:pPr>
            <w:r>
              <w:rPr>
                <w:rFonts w:hint="eastAsia" w:ascii="方正仿宋_GBK" w:hAnsi="方正仿宋_GBK" w:eastAsia="方正仿宋_GBK" w:cs="方正仿宋_GBK"/>
                <w:b/>
                <w:i w:val="0"/>
                <w:color w:val="auto"/>
                <w:kern w:val="0"/>
                <w:sz w:val="24"/>
                <w:szCs w:val="24"/>
                <w:highlight w:val="none"/>
                <w:u w:val="none"/>
                <w:lang w:val="en-US" w:eastAsia="zh-CN" w:bidi="ar-SA"/>
              </w:rPr>
              <w:t>三、区级补贴险种</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7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方正仿宋_GBK" w:hAnsi="方正仿宋_GBK" w:eastAsia="方正仿宋_GBK" w:cs="方正仿宋_GBK"/>
                <w:b/>
                <w:i w:val="0"/>
                <w:color w:val="auto"/>
                <w:kern w:val="0"/>
                <w:sz w:val="24"/>
                <w:szCs w:val="24"/>
                <w:highlight w:val="none"/>
                <w:u w:val="none"/>
                <w:lang w:val="en-US" w:eastAsia="zh-CN" w:bidi="ar-SA"/>
              </w:rPr>
            </w:pPr>
            <w:r>
              <w:rPr>
                <w:rFonts w:hint="eastAsia" w:ascii="方正仿宋_GBK" w:hAnsi="方正仿宋_GBK" w:eastAsia="方正仿宋_GBK" w:cs="方正仿宋_GBK"/>
                <w:i w:val="0"/>
                <w:color w:val="auto"/>
                <w:kern w:val="0"/>
                <w:sz w:val="24"/>
                <w:szCs w:val="24"/>
                <w:highlight w:val="none"/>
                <w:u w:val="none"/>
                <w:lang w:val="en-US" w:eastAsia="zh-CN" w:bidi="ar-SA"/>
              </w:rPr>
              <w:t xml:space="preserve">  </w:t>
            </w:r>
            <w:r>
              <w:rPr>
                <w:rFonts w:hint="default" w:ascii="Times New Roman" w:hAnsi="Times New Roman" w:eastAsia="方正仿宋_GBK" w:cs="Times New Roman"/>
                <w:i w:val="0"/>
                <w:color w:val="auto"/>
                <w:kern w:val="0"/>
                <w:sz w:val="24"/>
                <w:szCs w:val="24"/>
                <w:highlight w:val="none"/>
                <w:u w:val="none"/>
                <w:lang w:val="en-US" w:eastAsia="zh-CN" w:bidi="ar-SA"/>
              </w:rPr>
              <w:t>24</w:t>
            </w:r>
            <w:r>
              <w:rPr>
                <w:rFonts w:hint="eastAsia" w:ascii="方正仿宋_GBK" w:hAnsi="方正仿宋_GBK" w:eastAsia="方正仿宋_GBK" w:cs="方正仿宋_GBK"/>
                <w:i w:val="0"/>
                <w:color w:val="auto"/>
                <w:kern w:val="0"/>
                <w:sz w:val="24"/>
                <w:szCs w:val="24"/>
                <w:highlight w:val="none"/>
                <w:u w:val="none"/>
                <w:lang w:val="en-US" w:eastAsia="zh-CN" w:bidi="ar-SA"/>
              </w:rPr>
              <w:t>.一村一品产业保险</w:t>
            </w:r>
          </w:p>
        </w:tc>
        <w:tc>
          <w:tcPr>
            <w:tcW w:w="1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1500</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2000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5</w:t>
            </w:r>
            <w:r>
              <w:rPr>
                <w:rFonts w:hint="eastAsia" w:ascii="Times New Roman" w:hAnsi="Times New Roman" w:eastAsia="方正仿宋_GBK" w:cs="Times New Roman"/>
                <w:i w:val="0"/>
                <w:color w:val="auto"/>
                <w:kern w:val="0"/>
                <w:sz w:val="24"/>
                <w:szCs w:val="24"/>
                <w:highlight w:val="none"/>
                <w:u w:val="none"/>
                <w:lang w:val="en-US" w:eastAsia="zh-CN" w:bidi="ar-SA"/>
              </w:rPr>
              <w:t>%</w:t>
            </w:r>
          </w:p>
        </w:tc>
        <w:tc>
          <w:tcPr>
            <w:tcW w:w="26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SA"/>
              </w:rPr>
            </w:pPr>
            <w:r>
              <w:rPr>
                <w:rFonts w:hint="default" w:ascii="Times New Roman" w:hAnsi="Times New Roman" w:eastAsia="方正仿宋_GBK" w:cs="Times New Roman"/>
                <w:i w:val="0"/>
                <w:color w:val="auto"/>
                <w:kern w:val="0"/>
                <w:sz w:val="24"/>
                <w:szCs w:val="24"/>
                <w:highlight w:val="none"/>
                <w:u w:val="none"/>
                <w:lang w:val="en-US" w:eastAsia="zh-CN" w:bidi="ar-SA"/>
              </w:rPr>
              <w:t>75</w:t>
            </w:r>
            <w:r>
              <w:rPr>
                <w:rFonts w:hint="eastAsia" w:ascii="Times New Roman" w:hAnsi="Times New Roman" w:eastAsia="方正仿宋_GBK" w:cs="Times New Roman"/>
                <w:i w:val="0"/>
                <w:color w:val="auto"/>
                <w:kern w:val="0"/>
                <w:sz w:val="24"/>
                <w:szCs w:val="24"/>
                <w:highlight w:val="none"/>
                <w:u w:val="none"/>
                <w:lang w:val="en-US" w:eastAsia="zh-CN" w:bidi="ar-SA"/>
              </w:rPr>
              <w:t>-</w:t>
            </w:r>
            <w:r>
              <w:rPr>
                <w:rFonts w:hint="default" w:ascii="Times New Roman" w:hAnsi="Times New Roman" w:eastAsia="方正仿宋_GBK" w:cs="Times New Roman"/>
                <w:i w:val="0"/>
                <w:color w:val="auto"/>
                <w:kern w:val="0"/>
                <w:sz w:val="24"/>
                <w:szCs w:val="24"/>
                <w:highlight w:val="none"/>
                <w:u w:val="none"/>
                <w:lang w:val="en-US" w:eastAsia="zh-CN" w:bidi="ar-SA"/>
              </w:rPr>
              <w:t>100</w:t>
            </w:r>
          </w:p>
        </w:tc>
      </w:tr>
    </w:tbl>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val="en-US" w:eastAsia="zh-CN"/>
        </w:rPr>
        <w:t>八</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补贴险种的保险责任涵盖我</w:t>
      </w:r>
      <w:r>
        <w:rPr>
          <w:rFonts w:hint="eastAsia" w:ascii="Times New Roman" w:hAnsi="Times New Roman" w:eastAsia="方正仿宋_GBK" w:cs="Times New Roman"/>
          <w:color w:val="auto"/>
          <w:sz w:val="32"/>
          <w:szCs w:val="20"/>
          <w:highlight w:val="none"/>
          <w:lang w:eastAsia="zh-CN"/>
        </w:rPr>
        <w:t>区</w:t>
      </w:r>
      <w:r>
        <w:rPr>
          <w:rFonts w:hint="eastAsia" w:ascii="Times New Roman" w:hAnsi="Times New Roman" w:eastAsia="方正仿宋_GBK" w:cs="Times New Roman"/>
          <w:color w:val="auto"/>
          <w:sz w:val="32"/>
          <w:szCs w:val="20"/>
          <w:highlight w:val="none"/>
        </w:rPr>
        <w:t>主要的自然灾害、重大病虫鼠害、动物疾病疫病、意外事故、野生动物毁损等风险；</w:t>
      </w:r>
      <w:r>
        <w:rPr>
          <w:rFonts w:hint="eastAsia" w:ascii="Times New Roman" w:hAnsi="Times New Roman" w:eastAsia="方正仿宋_GBK" w:cs="Times New Roman"/>
          <w:color w:val="auto"/>
          <w:sz w:val="32"/>
          <w:szCs w:val="20"/>
          <w:highlight w:val="none"/>
          <w:lang w:eastAsia="zh-CN"/>
        </w:rPr>
        <w:t>同时</w:t>
      </w:r>
      <w:r>
        <w:rPr>
          <w:rFonts w:hint="eastAsia" w:ascii="Times New Roman" w:hAnsi="Times New Roman" w:eastAsia="方正仿宋_GBK" w:cs="Times New Roman"/>
          <w:color w:val="auto"/>
          <w:sz w:val="32"/>
          <w:szCs w:val="20"/>
          <w:highlight w:val="none"/>
        </w:rPr>
        <w:t>可稳步探索将价格、产量、气象等变动因素作为保险责任。</w:t>
      </w:r>
    </w:p>
    <w:p>
      <w:pPr>
        <w:spacing w:line="578" w:lineRule="exact"/>
        <w:ind w:firstLine="640" w:firstLineChars="200"/>
        <w:rPr>
          <w:rFonts w:hint="eastAsia" w:ascii="Times New Roman" w:hAnsi="Times New Roman" w:eastAsia="方正仿宋_GBK" w:cs="Times New Roman"/>
          <w:color w:val="auto"/>
          <w:sz w:val="32"/>
          <w:szCs w:val="20"/>
          <w:highlight w:val="none"/>
          <w:lang w:eastAsia="zh-CN"/>
        </w:rPr>
      </w:pP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val="en-US" w:eastAsia="zh-CN"/>
        </w:rPr>
        <w:t>九</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鼓励承保机构根据本地实际，</w:t>
      </w:r>
      <w:r>
        <w:rPr>
          <w:rFonts w:hint="eastAsia" w:ascii="Times New Roman" w:hAnsi="Times New Roman" w:eastAsia="方正仿宋_GBK" w:cs="Times New Roman"/>
          <w:color w:val="auto"/>
          <w:sz w:val="32"/>
          <w:szCs w:val="20"/>
          <w:highlight w:val="none"/>
          <w:lang w:eastAsia="zh-CN"/>
        </w:rPr>
        <w:t>不断创新保险产品，区财政根据实际情况，可提供一定的补贴。</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eastAsia="zh-CN"/>
        </w:rPr>
        <w:t>十</w:t>
      </w:r>
      <w:r>
        <w:rPr>
          <w:rFonts w:hint="eastAsia" w:ascii="Times New Roman" w:hAnsi="Times New Roman" w:eastAsia="方正黑体_GBK" w:cs="Times New Roman"/>
          <w:color w:val="auto"/>
          <w:sz w:val="32"/>
          <w:szCs w:val="20"/>
          <w:highlight w:val="none"/>
        </w:rPr>
        <w:t xml:space="preserve">条 </w:t>
      </w:r>
      <w:r>
        <w:rPr>
          <w:rFonts w:hint="eastAsia" w:ascii="Times New Roman" w:hAnsi="Times New Roman" w:eastAsia="方正仿宋_GBK" w:cs="Times New Roman"/>
          <w:color w:val="auto"/>
          <w:sz w:val="32"/>
          <w:szCs w:val="20"/>
          <w:highlight w:val="none"/>
        </w:rPr>
        <w:t xml:space="preserve"> 承保机构应当合理设置补贴险种赔付标准，维护投保农户合法权益，不得设置绝对免赔，科学合理设置相对免赔。</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第十</w:t>
      </w:r>
      <w:r>
        <w:rPr>
          <w:rFonts w:hint="eastAsia" w:ascii="Times New Roman" w:hAnsi="Times New Roman" w:eastAsia="方正黑体_GBK" w:cs="Times New Roman"/>
          <w:color w:val="auto"/>
          <w:sz w:val="32"/>
          <w:szCs w:val="20"/>
          <w:highlight w:val="none"/>
          <w:lang w:val="en-US" w:eastAsia="zh-CN"/>
        </w:rPr>
        <w:t>一</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补贴险种的保险条款应当通俗易懂、表述清晰，保单上应当载明农业保险标的位置和农户、农业生产经营组织，以及中央、市级、区</w:t>
      </w:r>
      <w:r>
        <w:rPr>
          <w:rFonts w:hint="eastAsia" w:ascii="Times New Roman" w:hAnsi="Times New Roman" w:eastAsia="方正仿宋_GBK" w:cs="Times New Roman"/>
          <w:color w:val="auto"/>
          <w:sz w:val="32"/>
          <w:szCs w:val="20"/>
          <w:highlight w:val="none"/>
          <w:lang w:eastAsia="zh-CN"/>
        </w:rPr>
        <w:t>级</w:t>
      </w:r>
      <w:r>
        <w:rPr>
          <w:rFonts w:hint="eastAsia" w:ascii="Times New Roman" w:hAnsi="Times New Roman" w:eastAsia="方正仿宋_GBK" w:cs="Times New Roman"/>
          <w:color w:val="auto"/>
          <w:sz w:val="32"/>
          <w:szCs w:val="20"/>
          <w:highlight w:val="none"/>
        </w:rPr>
        <w:t>财政等各方承担的保费比例及金额。其中，对市级补贴险种的保单不需单独载明中央财政承担比例，但需体现“在中央财政奖补政策支持下”等字样。</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第十</w:t>
      </w:r>
      <w:r>
        <w:rPr>
          <w:rFonts w:hint="eastAsia" w:ascii="Times New Roman" w:hAnsi="Times New Roman" w:eastAsia="方正黑体_GBK" w:cs="Times New Roman"/>
          <w:color w:val="auto"/>
          <w:sz w:val="32"/>
          <w:szCs w:val="20"/>
          <w:highlight w:val="none"/>
          <w:lang w:val="en-US" w:eastAsia="zh-CN"/>
        </w:rPr>
        <w:t>二</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承保机构</w:t>
      </w:r>
      <w:r>
        <w:rPr>
          <w:rFonts w:hint="eastAsia" w:ascii="Times New Roman" w:hAnsi="Times New Roman" w:eastAsia="方正仿宋_GBK" w:cs="Times New Roman"/>
          <w:color w:val="auto"/>
          <w:sz w:val="32"/>
          <w:szCs w:val="20"/>
          <w:highlight w:val="none"/>
        </w:rPr>
        <w:t>参考中国农业再保险股份有限公司发布的农业保险风险区划和风险费率，逐步建立农业保险费率动态调整机制，合理确定补贴险种的保险金额、费率水平。</w:t>
      </w:r>
    </w:p>
    <w:p>
      <w:pPr>
        <w:spacing w:line="578" w:lineRule="exact"/>
        <w:ind w:firstLine="640" w:firstLineChars="200"/>
        <w:rPr>
          <w:rFonts w:hint="eastAsia" w:ascii="Times New Roman" w:hAnsi="Times New Roman" w:eastAsia="方正仿宋_GBK" w:cs="Times New Roman"/>
          <w:color w:val="auto"/>
          <w:sz w:val="32"/>
          <w:szCs w:val="20"/>
          <w:highlight w:val="none"/>
        </w:rPr>
      </w:pPr>
    </w:p>
    <w:p>
      <w:pPr>
        <w:numPr>
          <w:ilvl w:val="0"/>
          <w:numId w:val="1"/>
        </w:numPr>
        <w:spacing w:line="578" w:lineRule="exact"/>
        <w:ind w:left="0" w:leftChars="0" w:firstLine="0" w:firstLineChars="0"/>
        <w:jc w:val="center"/>
        <w:rPr>
          <w:rFonts w:hint="eastAsia" w:ascii="Times New Roman" w:hAnsi="Times New Roman" w:eastAsia="方正黑体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 xml:space="preserve"> 补贴资金管理</w:t>
      </w:r>
    </w:p>
    <w:p>
      <w:pPr>
        <w:pStyle w:val="2"/>
        <w:numPr>
          <w:ilvl w:val="0"/>
          <w:numId w:val="0"/>
        </w:numPr>
        <w:ind w:leftChars="0"/>
      </w:pP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第十</w:t>
      </w:r>
      <w:r>
        <w:rPr>
          <w:rFonts w:hint="eastAsia" w:ascii="Times New Roman" w:hAnsi="Times New Roman" w:eastAsia="方正黑体_GBK" w:cs="Times New Roman"/>
          <w:color w:val="auto"/>
          <w:sz w:val="32"/>
          <w:szCs w:val="20"/>
          <w:highlight w:val="none"/>
          <w:lang w:val="en-US" w:eastAsia="zh-CN"/>
        </w:rPr>
        <w:t>三</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保费补贴资金实行专项管理、分账核算。</w:t>
      </w:r>
      <w:r>
        <w:rPr>
          <w:rFonts w:hint="eastAsia" w:ascii="Times New Roman" w:hAnsi="Times New Roman" w:eastAsia="方正仿宋_GBK" w:cs="Times New Roman"/>
          <w:color w:val="auto"/>
          <w:sz w:val="32"/>
          <w:szCs w:val="20"/>
          <w:highlight w:val="none"/>
          <w:lang w:eastAsia="zh-CN"/>
        </w:rPr>
        <w:t>区级财政将</w:t>
      </w:r>
      <w:r>
        <w:rPr>
          <w:rFonts w:hint="eastAsia" w:ascii="Times New Roman" w:hAnsi="Times New Roman" w:eastAsia="方正仿宋_GBK" w:cs="Times New Roman"/>
          <w:color w:val="auto"/>
          <w:sz w:val="32"/>
          <w:szCs w:val="20"/>
          <w:highlight w:val="none"/>
        </w:rPr>
        <w:t>根据全年参保计划，将本级应承担的保费补贴资金，足额列入本级年度预算。</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第十</w:t>
      </w:r>
      <w:r>
        <w:rPr>
          <w:rFonts w:hint="eastAsia" w:ascii="Times New Roman" w:hAnsi="Times New Roman" w:eastAsia="方正黑体_GBK" w:cs="Times New Roman"/>
          <w:color w:val="auto"/>
          <w:sz w:val="32"/>
          <w:szCs w:val="20"/>
          <w:highlight w:val="none"/>
          <w:lang w:val="en-US" w:eastAsia="zh-CN"/>
        </w:rPr>
        <w:t>四</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保费补贴资金实行专款专用、据实结算。</w:t>
      </w:r>
      <w:r>
        <w:rPr>
          <w:rFonts w:hint="eastAsia" w:ascii="Times New Roman" w:hAnsi="Times New Roman" w:eastAsia="方正仿宋_GBK" w:cs="Times New Roman"/>
          <w:color w:val="auto"/>
          <w:sz w:val="32"/>
          <w:szCs w:val="20"/>
          <w:highlight w:val="none"/>
          <w:lang w:eastAsia="zh-CN"/>
        </w:rPr>
        <w:t>区级年初预算下达资金，在年末存在结余的，将统一收回区财政。</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第十</w:t>
      </w:r>
      <w:r>
        <w:rPr>
          <w:rFonts w:hint="eastAsia" w:ascii="Times New Roman" w:hAnsi="Times New Roman" w:eastAsia="方正黑体_GBK" w:cs="Times New Roman"/>
          <w:color w:val="auto"/>
          <w:sz w:val="32"/>
          <w:szCs w:val="20"/>
          <w:highlight w:val="none"/>
          <w:lang w:val="en-US" w:eastAsia="zh-CN"/>
        </w:rPr>
        <w:t>五</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承保机构应加强对承保标的的核验，对承保理赔数据的真实性负责。承保机构签订保单后，应当按季向行业主管部门报送《农业保险保费补贴资金申请表》（附件</w:t>
      </w:r>
      <w:r>
        <w:rPr>
          <w:rFonts w:hint="default" w:ascii="Times New Roman" w:hAnsi="Times New Roman" w:eastAsia="方正仿宋_GBK" w:cs="Times New Roman"/>
          <w:color w:val="auto"/>
          <w:sz w:val="32"/>
          <w:szCs w:val="20"/>
          <w:highlight w:val="none"/>
          <w:lang w:val="en-US" w:eastAsia="zh-CN"/>
        </w:rPr>
        <w:t>1</w:t>
      </w:r>
      <w:r>
        <w:rPr>
          <w:rFonts w:hint="eastAsia" w:ascii="Times New Roman" w:hAnsi="Times New Roman" w:eastAsia="方正仿宋_GBK" w:cs="Times New Roman"/>
          <w:color w:val="auto"/>
          <w:sz w:val="32"/>
          <w:szCs w:val="20"/>
          <w:highlight w:val="none"/>
        </w:rPr>
        <w:t>）；行业主管部门会同</w:t>
      </w:r>
      <w:r>
        <w:rPr>
          <w:rFonts w:hint="eastAsia" w:ascii="Times New Roman" w:hAnsi="Times New Roman" w:eastAsia="方正仿宋_GBK" w:cs="Times New Roman"/>
          <w:color w:val="auto"/>
          <w:sz w:val="32"/>
          <w:szCs w:val="20"/>
          <w:highlight w:val="none"/>
          <w:lang w:val="en-US" w:eastAsia="zh-CN"/>
        </w:rPr>
        <w:t>街镇等</w:t>
      </w:r>
      <w:r>
        <w:rPr>
          <w:rFonts w:hint="eastAsia" w:ascii="Times New Roman" w:hAnsi="Times New Roman" w:eastAsia="方正仿宋_GBK" w:cs="Times New Roman"/>
          <w:color w:val="auto"/>
          <w:sz w:val="32"/>
          <w:szCs w:val="20"/>
          <w:highlight w:val="none"/>
        </w:rPr>
        <w:t>相关部门</w:t>
      </w:r>
      <w:r>
        <w:rPr>
          <w:rFonts w:hint="eastAsia" w:ascii="Times New Roman" w:hAnsi="Times New Roman" w:eastAsia="方正仿宋_GBK" w:cs="Times New Roman"/>
          <w:color w:val="auto"/>
          <w:sz w:val="32"/>
          <w:szCs w:val="20"/>
          <w:highlight w:val="none"/>
          <w:lang w:val="en-US" w:eastAsia="zh-CN"/>
        </w:rPr>
        <w:t>对</w:t>
      </w:r>
      <w:r>
        <w:rPr>
          <w:rFonts w:hint="eastAsia" w:ascii="Times New Roman" w:hAnsi="Times New Roman" w:eastAsia="方正仿宋_GBK" w:cs="Times New Roman"/>
          <w:color w:val="auto"/>
          <w:sz w:val="32"/>
          <w:szCs w:val="20"/>
          <w:highlight w:val="none"/>
        </w:rPr>
        <w:t>补贴险种参保情况</w:t>
      </w:r>
      <w:r>
        <w:rPr>
          <w:rFonts w:hint="eastAsia" w:ascii="Times New Roman" w:hAnsi="Times New Roman" w:eastAsia="方正仿宋_GBK" w:cs="Times New Roman"/>
          <w:color w:val="auto"/>
          <w:sz w:val="32"/>
          <w:szCs w:val="20"/>
          <w:highlight w:val="none"/>
          <w:lang w:val="en-US" w:eastAsia="zh-CN"/>
        </w:rPr>
        <w:t>进行抽查</w:t>
      </w:r>
      <w:r>
        <w:rPr>
          <w:rFonts w:hint="eastAsia" w:ascii="Times New Roman" w:hAnsi="Times New Roman" w:eastAsia="方正仿宋_GBK" w:cs="Times New Roman"/>
          <w:color w:val="auto"/>
          <w:sz w:val="32"/>
          <w:szCs w:val="20"/>
          <w:highlight w:val="none"/>
        </w:rPr>
        <w:t>，并对参保数量等基础数据进行审核。</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第十</w:t>
      </w:r>
      <w:r>
        <w:rPr>
          <w:rFonts w:hint="eastAsia" w:ascii="Times New Roman" w:hAnsi="Times New Roman" w:eastAsia="方正黑体_GBK" w:cs="Times New Roman"/>
          <w:color w:val="auto"/>
          <w:sz w:val="32"/>
          <w:szCs w:val="20"/>
          <w:highlight w:val="none"/>
          <w:lang w:val="en-US" w:eastAsia="zh-CN"/>
        </w:rPr>
        <w:t>六</w:t>
      </w:r>
      <w:r>
        <w:rPr>
          <w:rFonts w:hint="eastAsia" w:ascii="Times New Roman" w:hAnsi="Times New Roman" w:eastAsia="方正黑体_GBK" w:cs="Times New Roman"/>
          <w:color w:val="auto"/>
          <w:sz w:val="32"/>
          <w:szCs w:val="20"/>
          <w:highlight w:val="none"/>
        </w:rPr>
        <w:t xml:space="preserve">条 </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区财政</w:t>
      </w:r>
      <w:r>
        <w:rPr>
          <w:rFonts w:hint="eastAsia" w:ascii="Times New Roman" w:hAnsi="Times New Roman" w:eastAsia="方正仿宋_GBK" w:cs="Times New Roman"/>
          <w:color w:val="auto"/>
          <w:sz w:val="32"/>
          <w:szCs w:val="20"/>
          <w:highlight w:val="none"/>
        </w:rPr>
        <w:t>在审核保费补贴资金时，会同行业主管部门要求承保机构提供对应业务的保单级数据。保单级数据</w:t>
      </w:r>
      <w:r>
        <w:rPr>
          <w:rFonts w:hint="eastAsia" w:ascii="Times New Roman" w:hAnsi="Times New Roman" w:eastAsia="方正仿宋_GBK" w:cs="Times New Roman"/>
          <w:color w:val="auto"/>
          <w:sz w:val="32"/>
          <w:szCs w:val="20"/>
          <w:highlight w:val="none"/>
          <w:lang w:val="en-US" w:eastAsia="zh-CN"/>
        </w:rPr>
        <w:t>和资金拨付申请资料</w:t>
      </w:r>
      <w:r>
        <w:rPr>
          <w:rFonts w:hint="eastAsia" w:ascii="Times New Roman" w:hAnsi="Times New Roman" w:eastAsia="方正仿宋_GBK" w:cs="Times New Roman"/>
          <w:color w:val="auto"/>
          <w:sz w:val="32"/>
          <w:szCs w:val="20"/>
          <w:highlight w:val="none"/>
        </w:rPr>
        <w:t>由行业主管部门留存，且至少保存</w:t>
      </w:r>
      <w:r>
        <w:rPr>
          <w:rFonts w:hint="default" w:ascii="Times New Roman" w:hAnsi="Times New Roman" w:eastAsia="方正仿宋_GBK" w:cs="Times New Roman"/>
          <w:color w:val="auto"/>
          <w:sz w:val="32"/>
          <w:szCs w:val="20"/>
          <w:highlight w:val="none"/>
        </w:rPr>
        <w:t>10</w:t>
      </w:r>
      <w:r>
        <w:rPr>
          <w:rFonts w:hint="eastAsia" w:ascii="Times New Roman" w:hAnsi="Times New Roman" w:eastAsia="方正仿宋_GBK" w:cs="Times New Roman"/>
          <w:color w:val="auto"/>
          <w:sz w:val="32"/>
          <w:szCs w:val="20"/>
          <w:highlight w:val="none"/>
        </w:rPr>
        <w:t>年。保单级数据要做到可核验、可追溯、可追责。</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第十</w:t>
      </w:r>
      <w:r>
        <w:rPr>
          <w:rFonts w:hint="eastAsia" w:ascii="Times New Roman" w:hAnsi="Times New Roman" w:eastAsia="方正黑体_GBK" w:cs="Times New Roman"/>
          <w:color w:val="auto"/>
          <w:sz w:val="32"/>
          <w:szCs w:val="20"/>
          <w:highlight w:val="none"/>
          <w:lang w:val="en-US" w:eastAsia="zh-CN"/>
        </w:rPr>
        <w:t>七</w:t>
      </w:r>
      <w:r>
        <w:rPr>
          <w:rFonts w:hint="eastAsia" w:ascii="Times New Roman" w:hAnsi="Times New Roman" w:eastAsia="方正黑体_GBK" w:cs="Times New Roman"/>
          <w:color w:val="auto"/>
          <w:sz w:val="32"/>
          <w:szCs w:val="20"/>
          <w:highlight w:val="none"/>
        </w:rPr>
        <w:t xml:space="preserve">条 </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行业主管部门</w:t>
      </w:r>
      <w:r>
        <w:rPr>
          <w:rFonts w:hint="eastAsia" w:ascii="Times New Roman" w:hAnsi="Times New Roman" w:eastAsia="方正仿宋_GBK" w:cs="Times New Roman"/>
          <w:color w:val="auto"/>
          <w:sz w:val="32"/>
          <w:szCs w:val="20"/>
          <w:highlight w:val="none"/>
        </w:rPr>
        <w:t>在收到承保机构保费补贴资金申请后，原则上应在一个季度内完成审核和资金</w:t>
      </w:r>
      <w:r>
        <w:rPr>
          <w:rFonts w:hint="eastAsia" w:ascii="Times New Roman" w:hAnsi="Times New Roman" w:eastAsia="方正仿宋_GBK" w:cs="Times New Roman"/>
          <w:color w:val="auto"/>
          <w:sz w:val="32"/>
          <w:szCs w:val="20"/>
          <w:highlight w:val="none"/>
          <w:lang w:eastAsia="zh-CN"/>
        </w:rPr>
        <w:t>申请</w:t>
      </w:r>
      <w:r>
        <w:rPr>
          <w:rFonts w:hint="eastAsia" w:ascii="Times New Roman" w:hAnsi="Times New Roman" w:eastAsia="方正仿宋_GBK" w:cs="Times New Roman"/>
          <w:color w:val="auto"/>
          <w:sz w:val="32"/>
          <w:szCs w:val="20"/>
          <w:highlight w:val="none"/>
        </w:rPr>
        <w:t>拨付工作，超过一个季度仍未</w:t>
      </w:r>
      <w:r>
        <w:rPr>
          <w:rFonts w:hint="eastAsia" w:ascii="Times New Roman" w:hAnsi="Times New Roman" w:eastAsia="方正仿宋_GBK" w:cs="Times New Roman"/>
          <w:color w:val="auto"/>
          <w:sz w:val="32"/>
          <w:szCs w:val="20"/>
          <w:highlight w:val="none"/>
          <w:lang w:eastAsia="zh-CN"/>
        </w:rPr>
        <w:t>提交到区财政的，</w:t>
      </w:r>
      <w:r>
        <w:rPr>
          <w:rFonts w:hint="eastAsia" w:ascii="Times New Roman" w:hAnsi="Times New Roman" w:eastAsia="方正仿宋_GBK" w:cs="Times New Roman"/>
          <w:color w:val="auto"/>
          <w:sz w:val="32"/>
          <w:szCs w:val="20"/>
          <w:highlight w:val="none"/>
        </w:rPr>
        <w:t>应</w:t>
      </w:r>
      <w:r>
        <w:rPr>
          <w:rFonts w:hint="eastAsia" w:ascii="Times New Roman" w:hAnsi="Times New Roman" w:eastAsia="方正仿宋_GBK" w:cs="Times New Roman"/>
          <w:color w:val="auto"/>
          <w:sz w:val="32"/>
          <w:szCs w:val="20"/>
          <w:highlight w:val="none"/>
          <w:lang w:eastAsia="zh-CN"/>
        </w:rPr>
        <w:t>作</w:t>
      </w:r>
      <w:r>
        <w:rPr>
          <w:rFonts w:hint="eastAsia" w:ascii="Times New Roman" w:hAnsi="Times New Roman" w:eastAsia="方正仿宋_GBK" w:cs="Times New Roman"/>
          <w:color w:val="auto"/>
          <w:sz w:val="32"/>
          <w:szCs w:val="20"/>
          <w:highlight w:val="none"/>
        </w:rPr>
        <w:t>书面说明。</w:t>
      </w:r>
      <w:r>
        <w:rPr>
          <w:rFonts w:hint="eastAsia" w:ascii="Times New Roman" w:hAnsi="Times New Roman" w:eastAsia="方正仿宋_GBK" w:cs="Times New Roman"/>
          <w:color w:val="auto"/>
          <w:sz w:val="32"/>
          <w:szCs w:val="20"/>
          <w:highlight w:val="none"/>
          <w:lang w:eastAsia="zh-CN"/>
        </w:rPr>
        <w:t>区财政将根据</w:t>
      </w:r>
      <w:r>
        <w:rPr>
          <w:rFonts w:hint="eastAsia" w:ascii="Times New Roman" w:hAnsi="Times New Roman" w:eastAsia="方正仿宋_GBK" w:cs="Times New Roman"/>
          <w:color w:val="auto"/>
          <w:sz w:val="32"/>
          <w:szCs w:val="20"/>
          <w:highlight w:val="none"/>
        </w:rPr>
        <w:t>承保进度及签单情况，按照预算管理和国库集中支付有关规定，</w:t>
      </w:r>
      <w:r>
        <w:rPr>
          <w:rFonts w:hint="eastAsia" w:ascii="Times New Roman" w:hAnsi="Times New Roman" w:eastAsia="方正仿宋_GBK" w:cs="Times New Roman"/>
          <w:color w:val="auto"/>
          <w:sz w:val="32"/>
          <w:szCs w:val="20"/>
          <w:highlight w:val="none"/>
          <w:lang w:eastAsia="zh-CN"/>
        </w:rPr>
        <w:t>确保</w:t>
      </w:r>
      <w:r>
        <w:rPr>
          <w:rFonts w:hint="eastAsia" w:ascii="Times New Roman" w:hAnsi="Times New Roman" w:eastAsia="方正仿宋_GBK" w:cs="Times New Roman"/>
          <w:color w:val="auto"/>
          <w:sz w:val="32"/>
          <w:szCs w:val="20"/>
          <w:highlight w:val="none"/>
        </w:rPr>
        <w:t>保费补贴资金及时足额拨付</w:t>
      </w:r>
      <w:r>
        <w:rPr>
          <w:rFonts w:hint="eastAsia" w:ascii="Times New Roman" w:hAnsi="Times New Roman" w:eastAsia="方正仿宋_GBK" w:cs="Times New Roman"/>
          <w:color w:val="auto"/>
          <w:sz w:val="32"/>
          <w:szCs w:val="20"/>
          <w:highlight w:val="none"/>
          <w:lang w:eastAsia="zh-CN"/>
        </w:rPr>
        <w:t>，</w:t>
      </w:r>
      <w:r>
        <w:rPr>
          <w:rFonts w:hint="eastAsia" w:ascii="Times New Roman" w:hAnsi="Times New Roman" w:eastAsia="方正仿宋_GBK" w:cs="Times New Roman"/>
          <w:color w:val="auto"/>
          <w:sz w:val="32"/>
          <w:szCs w:val="20"/>
          <w:highlight w:val="none"/>
        </w:rPr>
        <w:t>年度终了</w:t>
      </w:r>
      <w:r>
        <w:rPr>
          <w:rFonts w:hint="eastAsia" w:ascii="Times New Roman" w:hAnsi="Times New Roman" w:eastAsia="方正仿宋_GBK" w:cs="Times New Roman"/>
          <w:color w:val="auto"/>
          <w:sz w:val="32"/>
          <w:szCs w:val="20"/>
          <w:highlight w:val="none"/>
          <w:lang w:eastAsia="zh-CN"/>
        </w:rPr>
        <w:t>时，</w:t>
      </w:r>
      <w:r>
        <w:rPr>
          <w:rFonts w:hint="eastAsia" w:ascii="Times New Roman" w:hAnsi="Times New Roman" w:eastAsia="方正仿宋_GBK" w:cs="Times New Roman"/>
          <w:color w:val="auto"/>
          <w:sz w:val="32"/>
          <w:szCs w:val="20"/>
          <w:highlight w:val="none"/>
        </w:rPr>
        <w:t>全面、准确地向承保机构结算保费补贴资金。</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eastAsia="zh-CN"/>
        </w:rPr>
        <w:t>十</w:t>
      </w:r>
      <w:r>
        <w:rPr>
          <w:rFonts w:hint="eastAsia" w:ascii="Times New Roman" w:hAnsi="Times New Roman" w:eastAsia="方正黑体_GBK" w:cs="Times New Roman"/>
          <w:color w:val="auto"/>
          <w:sz w:val="32"/>
          <w:szCs w:val="20"/>
          <w:highlight w:val="none"/>
          <w:lang w:val="en-US" w:eastAsia="zh-CN"/>
        </w:rPr>
        <w:t>八</w:t>
      </w:r>
      <w:r>
        <w:rPr>
          <w:rFonts w:hint="eastAsia" w:ascii="Times New Roman" w:hAnsi="Times New Roman" w:eastAsia="方正黑体_GBK" w:cs="Times New Roman"/>
          <w:color w:val="auto"/>
          <w:sz w:val="32"/>
          <w:szCs w:val="20"/>
          <w:highlight w:val="none"/>
        </w:rPr>
        <w:t xml:space="preserve">条 </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各行业主管部门</w:t>
      </w:r>
      <w:r>
        <w:rPr>
          <w:rFonts w:hint="eastAsia" w:ascii="Times New Roman" w:hAnsi="Times New Roman" w:eastAsia="方正仿宋_GBK" w:cs="Times New Roman"/>
          <w:color w:val="auto"/>
          <w:sz w:val="32"/>
          <w:szCs w:val="20"/>
          <w:highlight w:val="none"/>
        </w:rPr>
        <w:t>每年</w:t>
      </w:r>
      <w:r>
        <w:rPr>
          <w:rFonts w:hint="default" w:ascii="Times New Roman" w:hAnsi="Times New Roman" w:eastAsia="方正仿宋_GBK" w:cs="Times New Roman"/>
          <w:color w:val="auto"/>
          <w:sz w:val="32"/>
          <w:szCs w:val="20"/>
          <w:highlight w:val="none"/>
          <w:lang w:val="en-US" w:eastAsia="zh-CN"/>
        </w:rPr>
        <w:t>1</w:t>
      </w:r>
      <w:r>
        <w:rPr>
          <w:rFonts w:hint="eastAsia" w:ascii="Times New Roman" w:hAnsi="Times New Roman" w:eastAsia="方正仿宋_GBK" w:cs="Times New Roman"/>
          <w:color w:val="auto"/>
          <w:sz w:val="32"/>
          <w:szCs w:val="20"/>
          <w:highlight w:val="none"/>
        </w:rPr>
        <w:t>月</w:t>
      </w:r>
      <w:r>
        <w:rPr>
          <w:rFonts w:hint="eastAsia" w:ascii="Times New Roman" w:hAnsi="Times New Roman" w:eastAsia="方正仿宋_GBK" w:cs="Times New Roman"/>
          <w:color w:val="auto"/>
          <w:sz w:val="32"/>
          <w:szCs w:val="20"/>
          <w:highlight w:val="none"/>
          <w:lang w:val="en-US" w:eastAsia="zh-CN"/>
        </w:rPr>
        <w:t>初</w:t>
      </w:r>
      <w:r>
        <w:rPr>
          <w:rFonts w:hint="eastAsia" w:ascii="Times New Roman" w:hAnsi="Times New Roman" w:eastAsia="方正仿宋_GBK" w:cs="Times New Roman"/>
          <w:color w:val="auto"/>
          <w:sz w:val="32"/>
          <w:szCs w:val="20"/>
          <w:highlight w:val="none"/>
        </w:rPr>
        <w:t>编制上年度</w:t>
      </w:r>
      <w:r>
        <w:rPr>
          <w:rFonts w:hint="eastAsia" w:ascii="Times New Roman" w:hAnsi="Times New Roman" w:eastAsia="方正仿宋_GBK" w:cs="Times New Roman"/>
          <w:color w:val="auto"/>
          <w:sz w:val="32"/>
          <w:szCs w:val="20"/>
          <w:highlight w:val="none"/>
          <w:lang w:eastAsia="zh-CN"/>
        </w:rPr>
        <w:t>农业保险</w:t>
      </w:r>
      <w:r>
        <w:rPr>
          <w:rFonts w:hint="eastAsia" w:ascii="Times New Roman" w:hAnsi="Times New Roman" w:eastAsia="方正仿宋_GBK" w:cs="Times New Roman"/>
          <w:color w:val="auto"/>
          <w:sz w:val="32"/>
          <w:szCs w:val="20"/>
          <w:highlight w:val="none"/>
        </w:rPr>
        <w:t>财政保费补贴资金结算报告、当年保费补贴申请报告，报告内容包括但不限于资金管理和使用、补贴标准及范围、保险金额及费率、保障措施、生产成本收益数据和相关表格</w:t>
      </w:r>
      <w:r>
        <w:rPr>
          <w:rFonts w:hint="eastAsia" w:ascii="Times New Roman" w:hAnsi="Times New Roman" w:eastAsia="方正仿宋_GBK" w:cs="Times New Roman"/>
          <w:color w:val="auto"/>
          <w:sz w:val="32"/>
          <w:szCs w:val="20"/>
          <w:highlight w:val="none"/>
          <w:lang w:eastAsia="zh-CN"/>
        </w:rPr>
        <w:t>等</w:t>
      </w:r>
      <w:r>
        <w:rPr>
          <w:rFonts w:hint="eastAsia" w:ascii="Times New Roman" w:hAnsi="Times New Roman" w:eastAsia="方正仿宋_GBK" w:cs="Times New Roman"/>
          <w:color w:val="auto"/>
          <w:sz w:val="32"/>
          <w:szCs w:val="20"/>
          <w:highlight w:val="none"/>
        </w:rPr>
        <w:t>（附件</w:t>
      </w:r>
      <w:r>
        <w:rPr>
          <w:rFonts w:hint="default" w:ascii="Times New Roman" w:hAnsi="Times New Roman" w:eastAsia="方正仿宋_GBK" w:cs="Times New Roman"/>
          <w:color w:val="auto"/>
          <w:sz w:val="32"/>
          <w:szCs w:val="20"/>
          <w:highlight w:val="none"/>
          <w:lang w:val="en-US" w:eastAsia="zh-CN"/>
        </w:rPr>
        <w:t>2</w:t>
      </w:r>
      <w:r>
        <w:rPr>
          <w:rFonts w:hint="eastAsia" w:ascii="Times New Roman" w:hAnsi="Times New Roman" w:eastAsia="方正仿宋_GBK" w:cs="Times New Roman"/>
          <w:color w:val="auto"/>
          <w:sz w:val="32"/>
          <w:szCs w:val="20"/>
          <w:highlight w:val="none"/>
        </w:rPr>
        <w:t>）。</w:t>
      </w:r>
      <w:r>
        <w:rPr>
          <w:rFonts w:hint="eastAsia" w:ascii="Times New Roman" w:hAnsi="Times New Roman" w:eastAsia="方正仿宋_GBK" w:cs="Times New Roman"/>
          <w:color w:val="auto"/>
          <w:sz w:val="32"/>
          <w:szCs w:val="20"/>
          <w:highlight w:val="none"/>
          <w:lang w:eastAsia="zh-CN"/>
        </w:rPr>
        <w:t>区财政局汇总分析后报市财政局。</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rPr>
        <w:t>同时，</w:t>
      </w:r>
      <w:r>
        <w:rPr>
          <w:rFonts w:hint="eastAsia" w:ascii="Times New Roman" w:hAnsi="Times New Roman" w:eastAsia="方正仿宋_GBK" w:cs="Times New Roman"/>
          <w:color w:val="auto"/>
          <w:sz w:val="32"/>
          <w:szCs w:val="20"/>
          <w:highlight w:val="none"/>
          <w:lang w:eastAsia="zh-CN"/>
        </w:rPr>
        <w:t>区财政将</w:t>
      </w:r>
      <w:r>
        <w:rPr>
          <w:rFonts w:hint="eastAsia" w:ascii="Times New Roman" w:hAnsi="Times New Roman" w:eastAsia="方正仿宋_GBK" w:cs="Times New Roman"/>
          <w:color w:val="auto"/>
          <w:sz w:val="32"/>
          <w:szCs w:val="20"/>
          <w:highlight w:val="none"/>
        </w:rPr>
        <w:t>会同有关部门，对照农业保险保费补贴综合绩效评价指标表（附件</w:t>
      </w:r>
      <w:r>
        <w:rPr>
          <w:rFonts w:hint="default" w:ascii="Times New Roman" w:hAnsi="Times New Roman" w:eastAsia="方正仿宋_GBK" w:cs="Times New Roman"/>
          <w:color w:val="auto"/>
          <w:sz w:val="32"/>
          <w:szCs w:val="20"/>
          <w:highlight w:val="none"/>
          <w:lang w:val="en-US" w:eastAsia="zh-CN"/>
        </w:rPr>
        <w:t>4</w:t>
      </w:r>
      <w:r>
        <w:rPr>
          <w:rFonts w:hint="eastAsia" w:ascii="Times New Roman" w:hAnsi="Times New Roman" w:eastAsia="方正仿宋_GBK" w:cs="Times New Roman"/>
          <w:color w:val="auto"/>
          <w:sz w:val="32"/>
          <w:szCs w:val="20"/>
          <w:highlight w:val="none"/>
        </w:rPr>
        <w:t>）进行绩效自评，并形成上年度保费补贴综合绩效自评报告，报送市财政局。报告内容包括但不限于各项综合绩效评价指标完成情况、未完成绩效指标的原因和改进措施</w:t>
      </w:r>
      <w:r>
        <w:rPr>
          <w:rFonts w:hint="eastAsia" w:ascii="Times New Roman" w:hAnsi="Times New Roman" w:eastAsia="方正仿宋_GBK" w:cs="Times New Roman"/>
          <w:color w:val="auto"/>
          <w:sz w:val="32"/>
          <w:szCs w:val="20"/>
          <w:highlight w:val="none"/>
          <w:lang w:eastAsia="zh-CN"/>
        </w:rPr>
        <w:t>以及相关表格等</w:t>
      </w:r>
      <w:r>
        <w:rPr>
          <w:rFonts w:hint="eastAsia" w:ascii="Times New Roman" w:hAnsi="Times New Roman" w:eastAsia="方正仿宋_GBK" w:cs="Times New Roman"/>
          <w:color w:val="auto"/>
          <w:sz w:val="32"/>
          <w:szCs w:val="20"/>
          <w:highlight w:val="none"/>
        </w:rPr>
        <w:t>。</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val="en-US" w:eastAsia="zh-CN"/>
        </w:rPr>
        <w:t>十九</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val="en-US" w:eastAsia="zh-CN"/>
        </w:rPr>
        <w:t>行业主管部门、承保公司</w:t>
      </w:r>
      <w:r>
        <w:rPr>
          <w:rFonts w:hint="eastAsia" w:ascii="Times New Roman" w:hAnsi="Times New Roman" w:eastAsia="方正仿宋_GBK" w:cs="Times New Roman"/>
          <w:color w:val="auto"/>
          <w:sz w:val="32"/>
          <w:szCs w:val="20"/>
          <w:highlight w:val="none"/>
        </w:rPr>
        <w:t>根据补贴险种的投保面积、投保数量、保险金额、保险费率和保费补贴比例等情况，测算下一年度各级财政应当承担的保费补贴资金，填报农业保险保费补贴资金测算表（附件</w:t>
      </w:r>
      <w:r>
        <w:rPr>
          <w:rFonts w:hint="default" w:ascii="Times New Roman" w:hAnsi="Times New Roman" w:eastAsia="方正仿宋_GBK" w:cs="Times New Roman"/>
          <w:color w:val="auto"/>
          <w:sz w:val="32"/>
          <w:szCs w:val="20"/>
          <w:highlight w:val="none"/>
          <w:lang w:val="en-US" w:eastAsia="zh-CN"/>
        </w:rPr>
        <w:t>3</w:t>
      </w:r>
      <w:r>
        <w:rPr>
          <w:rFonts w:hint="eastAsia" w:ascii="Times New Roman" w:hAnsi="Times New Roman" w:eastAsia="方正仿宋_GBK" w:cs="Times New Roman"/>
          <w:color w:val="auto"/>
          <w:sz w:val="32"/>
          <w:szCs w:val="20"/>
          <w:highlight w:val="none"/>
        </w:rPr>
        <w:t>），</w:t>
      </w:r>
      <w:r>
        <w:rPr>
          <w:rFonts w:hint="eastAsia" w:ascii="Times New Roman" w:hAnsi="Times New Roman" w:eastAsia="方正仿宋_GBK" w:cs="Times New Roman"/>
          <w:color w:val="auto"/>
          <w:sz w:val="32"/>
          <w:szCs w:val="20"/>
          <w:highlight w:val="none"/>
          <w:lang w:val="en-US" w:eastAsia="zh-CN"/>
        </w:rPr>
        <w:t>于每年</w:t>
      </w:r>
      <w:r>
        <w:rPr>
          <w:rFonts w:hint="default" w:ascii="Times New Roman" w:hAnsi="Times New Roman" w:eastAsia="方正仿宋_GBK" w:cs="Times New Roman"/>
          <w:color w:val="auto"/>
          <w:sz w:val="32"/>
          <w:szCs w:val="20"/>
          <w:highlight w:val="none"/>
          <w:lang w:val="en-US" w:eastAsia="zh-CN"/>
        </w:rPr>
        <w:t>6</w:t>
      </w:r>
      <w:r>
        <w:rPr>
          <w:rFonts w:hint="eastAsia" w:ascii="Times New Roman" w:hAnsi="Times New Roman" w:eastAsia="方正仿宋_GBK" w:cs="Times New Roman"/>
          <w:color w:val="auto"/>
          <w:sz w:val="32"/>
          <w:szCs w:val="20"/>
          <w:highlight w:val="none"/>
          <w:lang w:val="en-US" w:eastAsia="zh-CN"/>
        </w:rPr>
        <w:t>月</w:t>
      </w:r>
      <w:r>
        <w:rPr>
          <w:rFonts w:hint="default" w:ascii="Times New Roman" w:hAnsi="Times New Roman" w:eastAsia="方正仿宋_GBK" w:cs="Times New Roman"/>
          <w:color w:val="auto"/>
          <w:sz w:val="32"/>
          <w:szCs w:val="20"/>
          <w:highlight w:val="none"/>
          <w:lang w:val="en-US" w:eastAsia="zh-CN"/>
        </w:rPr>
        <w:t>30</w:t>
      </w:r>
      <w:r>
        <w:rPr>
          <w:rFonts w:hint="eastAsia" w:ascii="Times New Roman" w:hAnsi="Times New Roman" w:eastAsia="方正仿宋_GBK" w:cs="Times New Roman"/>
          <w:color w:val="auto"/>
          <w:sz w:val="32"/>
          <w:szCs w:val="20"/>
          <w:highlight w:val="none"/>
          <w:lang w:val="en-US" w:eastAsia="zh-CN"/>
        </w:rPr>
        <w:t>日之前报区财政局，</w:t>
      </w:r>
      <w:r>
        <w:rPr>
          <w:rFonts w:hint="eastAsia" w:ascii="Times New Roman" w:hAnsi="Times New Roman" w:eastAsia="方正仿宋_GBK" w:cs="Times New Roman"/>
          <w:color w:val="auto"/>
          <w:sz w:val="32"/>
          <w:szCs w:val="20"/>
          <w:highlight w:val="none"/>
          <w:lang w:eastAsia="zh-CN"/>
        </w:rPr>
        <w:t>区财政将</w:t>
      </w:r>
      <w:r>
        <w:rPr>
          <w:rFonts w:hint="eastAsia" w:ascii="Times New Roman" w:hAnsi="Times New Roman" w:eastAsia="方正仿宋_GBK" w:cs="Times New Roman"/>
          <w:color w:val="auto"/>
          <w:sz w:val="32"/>
          <w:szCs w:val="20"/>
          <w:highlight w:val="none"/>
        </w:rPr>
        <w:t>加强和完善预算编制工作，于每年</w:t>
      </w:r>
      <w:r>
        <w:rPr>
          <w:rFonts w:hint="default" w:ascii="Times New Roman" w:hAnsi="Times New Roman" w:eastAsia="方正仿宋_GBK" w:cs="Times New Roman"/>
          <w:color w:val="auto"/>
          <w:sz w:val="32"/>
          <w:szCs w:val="20"/>
          <w:highlight w:val="none"/>
        </w:rPr>
        <w:t>7</w:t>
      </w:r>
      <w:r>
        <w:rPr>
          <w:rFonts w:hint="eastAsia" w:ascii="Times New Roman" w:hAnsi="Times New Roman" w:eastAsia="方正仿宋_GBK" w:cs="Times New Roman"/>
          <w:color w:val="auto"/>
          <w:sz w:val="32"/>
          <w:szCs w:val="20"/>
          <w:highlight w:val="none"/>
        </w:rPr>
        <w:t>月</w:t>
      </w:r>
      <w:r>
        <w:rPr>
          <w:rFonts w:hint="default" w:ascii="Times New Roman" w:hAnsi="Times New Roman" w:eastAsia="方正仿宋_GBK" w:cs="Times New Roman"/>
          <w:color w:val="auto"/>
          <w:sz w:val="32"/>
          <w:szCs w:val="20"/>
          <w:highlight w:val="none"/>
        </w:rPr>
        <w:t>30</w:t>
      </w:r>
      <w:r>
        <w:rPr>
          <w:rFonts w:hint="eastAsia" w:ascii="Times New Roman" w:hAnsi="Times New Roman" w:eastAsia="方正仿宋_GBK" w:cs="Times New Roman"/>
          <w:color w:val="auto"/>
          <w:sz w:val="32"/>
          <w:szCs w:val="20"/>
          <w:highlight w:val="none"/>
        </w:rPr>
        <w:t>日前形成正式文件报送市财政局。</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第二十条</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区</w:t>
      </w:r>
      <w:r>
        <w:rPr>
          <w:rFonts w:hint="eastAsia" w:ascii="Times New Roman" w:hAnsi="Times New Roman" w:eastAsia="方正仿宋_GBK" w:cs="Times New Roman"/>
          <w:color w:val="auto"/>
          <w:sz w:val="32"/>
          <w:szCs w:val="20"/>
          <w:highlight w:val="none"/>
        </w:rPr>
        <w:t>财政根据</w:t>
      </w:r>
      <w:r>
        <w:rPr>
          <w:rFonts w:hint="eastAsia" w:ascii="Times New Roman" w:hAnsi="Times New Roman" w:eastAsia="方正仿宋_GBK" w:cs="Times New Roman"/>
          <w:color w:val="auto"/>
          <w:sz w:val="32"/>
          <w:szCs w:val="20"/>
          <w:highlight w:val="none"/>
          <w:lang w:eastAsia="zh-CN"/>
        </w:rPr>
        <w:t>上年度投保情况，</w:t>
      </w:r>
      <w:r>
        <w:rPr>
          <w:rFonts w:hint="eastAsia" w:ascii="Times New Roman" w:hAnsi="Times New Roman" w:eastAsia="方正仿宋_GBK" w:cs="Times New Roman"/>
          <w:color w:val="auto"/>
          <w:sz w:val="32"/>
          <w:szCs w:val="20"/>
          <w:highlight w:val="none"/>
        </w:rPr>
        <w:t>结合预算下达、资金拨付、</w:t>
      </w:r>
      <w:r>
        <w:rPr>
          <w:rFonts w:hint="eastAsia" w:ascii="Times New Roman" w:hAnsi="Times New Roman" w:eastAsia="方正仿宋_GBK" w:cs="Times New Roman"/>
          <w:color w:val="auto"/>
          <w:sz w:val="32"/>
          <w:szCs w:val="20"/>
          <w:highlight w:val="none"/>
          <w:lang w:eastAsia="zh-CN"/>
        </w:rPr>
        <w:t>市财政局</w:t>
      </w:r>
      <w:r>
        <w:rPr>
          <w:rFonts w:hint="eastAsia" w:ascii="Times New Roman" w:hAnsi="Times New Roman" w:eastAsia="方正仿宋_GBK" w:cs="Times New Roman"/>
          <w:color w:val="auto"/>
          <w:sz w:val="32"/>
          <w:szCs w:val="20"/>
          <w:highlight w:val="none"/>
        </w:rPr>
        <w:t>审核结果等，</w:t>
      </w:r>
      <w:r>
        <w:rPr>
          <w:rFonts w:hint="eastAsia" w:ascii="Times New Roman" w:hAnsi="Times New Roman" w:eastAsia="方正仿宋_GBK" w:cs="Times New Roman"/>
          <w:color w:val="auto"/>
          <w:sz w:val="32"/>
          <w:szCs w:val="20"/>
          <w:highlight w:val="none"/>
          <w:lang w:eastAsia="zh-CN"/>
        </w:rPr>
        <w:t>与行业主管部门清理</w:t>
      </w:r>
      <w:r>
        <w:rPr>
          <w:rFonts w:hint="eastAsia" w:ascii="Times New Roman" w:hAnsi="Times New Roman" w:eastAsia="方正仿宋_GBK" w:cs="Times New Roman"/>
          <w:color w:val="auto"/>
          <w:sz w:val="32"/>
          <w:szCs w:val="20"/>
          <w:highlight w:val="none"/>
        </w:rPr>
        <w:t>上年度保费补贴资金，</w:t>
      </w:r>
      <w:r>
        <w:rPr>
          <w:rFonts w:hint="eastAsia" w:ascii="Times New Roman" w:hAnsi="Times New Roman" w:eastAsia="方正仿宋_GBK" w:cs="Times New Roman"/>
          <w:color w:val="auto"/>
          <w:sz w:val="32"/>
          <w:szCs w:val="20"/>
          <w:highlight w:val="none"/>
          <w:lang w:eastAsia="zh-CN"/>
        </w:rPr>
        <w:t>同时及时</w:t>
      </w:r>
      <w:r>
        <w:rPr>
          <w:rFonts w:hint="eastAsia" w:ascii="Times New Roman" w:hAnsi="Times New Roman" w:eastAsia="方正仿宋_GBK" w:cs="Times New Roman"/>
          <w:color w:val="auto"/>
          <w:sz w:val="32"/>
          <w:szCs w:val="20"/>
          <w:highlight w:val="none"/>
        </w:rPr>
        <w:t>下达当年保费补贴资金预算。</w:t>
      </w:r>
    </w:p>
    <w:p>
      <w:pPr>
        <w:spacing w:line="578" w:lineRule="exact"/>
        <w:rPr>
          <w:rFonts w:hint="eastAsia" w:ascii="Times New Roman" w:hAnsi="Times New Roman" w:eastAsia="方正仿宋_GBK" w:cs="Times New Roman"/>
          <w:color w:val="auto"/>
          <w:sz w:val="32"/>
          <w:szCs w:val="20"/>
          <w:highlight w:val="none"/>
        </w:rPr>
      </w:pPr>
    </w:p>
    <w:p>
      <w:pPr>
        <w:numPr>
          <w:ilvl w:val="0"/>
          <w:numId w:val="1"/>
        </w:numPr>
        <w:spacing w:line="578" w:lineRule="exact"/>
        <w:ind w:left="0" w:leftChars="0" w:firstLine="0" w:firstLineChars="0"/>
        <w:jc w:val="center"/>
        <w:rPr>
          <w:rFonts w:hint="eastAsia" w:ascii="Times New Roman" w:hAnsi="Times New Roman" w:eastAsia="方正黑体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 xml:space="preserve"> 承保机构管理</w:t>
      </w:r>
    </w:p>
    <w:p>
      <w:pPr>
        <w:pStyle w:val="2"/>
        <w:numPr>
          <w:ilvl w:val="0"/>
          <w:numId w:val="0"/>
        </w:numPr>
        <w:ind w:leftChars="0"/>
      </w:pPr>
    </w:p>
    <w:p>
      <w:pPr>
        <w:spacing w:line="578" w:lineRule="exact"/>
        <w:ind w:firstLine="640" w:firstLineChars="200"/>
        <w:rPr>
          <w:rFonts w:hint="eastAsia" w:ascii="Times New Roman" w:hAnsi="Times New Roman" w:eastAsia="方正仿宋_GBK" w:cs="Times New Roman"/>
          <w:color w:val="auto"/>
          <w:sz w:val="32"/>
          <w:szCs w:val="20"/>
          <w:highlight w:val="none"/>
          <w:lang w:eastAsia="zh-CN"/>
        </w:rPr>
      </w:pPr>
      <w:r>
        <w:rPr>
          <w:rFonts w:hint="eastAsia" w:ascii="Times New Roman" w:hAnsi="Times New Roman" w:eastAsia="方正黑体_GBK" w:cs="Times New Roman"/>
          <w:color w:val="auto"/>
          <w:sz w:val="32"/>
          <w:szCs w:val="20"/>
          <w:highlight w:val="none"/>
        </w:rPr>
        <w:t>第二十</w:t>
      </w:r>
      <w:r>
        <w:rPr>
          <w:rFonts w:hint="eastAsia" w:ascii="Times New Roman" w:hAnsi="Times New Roman" w:eastAsia="方正黑体_GBK" w:cs="Times New Roman"/>
          <w:color w:val="auto"/>
          <w:sz w:val="32"/>
          <w:szCs w:val="20"/>
          <w:highlight w:val="none"/>
          <w:lang w:val="en-US" w:eastAsia="zh-CN"/>
        </w:rPr>
        <w:t>一</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区财政</w:t>
      </w:r>
      <w:r>
        <w:rPr>
          <w:rFonts w:hint="eastAsia" w:ascii="Times New Roman" w:hAnsi="Times New Roman" w:eastAsia="方正仿宋_GBK" w:cs="Times New Roman"/>
          <w:color w:val="auto"/>
          <w:sz w:val="32"/>
          <w:szCs w:val="20"/>
          <w:highlight w:val="none"/>
        </w:rPr>
        <w:t>根据</w:t>
      </w:r>
      <w:r>
        <w:rPr>
          <w:rFonts w:hint="eastAsia" w:ascii="Times New Roman" w:hAnsi="Times New Roman" w:eastAsia="方正仿宋_GBK" w:cs="Times New Roman"/>
          <w:color w:val="auto"/>
          <w:sz w:val="32"/>
          <w:szCs w:val="20"/>
          <w:highlight w:val="none"/>
          <w:lang w:eastAsia="zh-CN"/>
        </w:rPr>
        <w:t>中央、市级财政关于</w:t>
      </w:r>
      <w:r>
        <w:rPr>
          <w:rFonts w:hint="eastAsia" w:ascii="Times New Roman" w:hAnsi="Times New Roman" w:eastAsia="方正仿宋_GBK" w:cs="Times New Roman"/>
          <w:color w:val="auto"/>
          <w:sz w:val="32"/>
          <w:szCs w:val="20"/>
          <w:highlight w:val="none"/>
        </w:rPr>
        <w:t>政策性农业保险承保机构遴选管理工作相关规定</w:t>
      </w:r>
      <w:r>
        <w:rPr>
          <w:rFonts w:hint="eastAsia" w:ascii="Times New Roman" w:hAnsi="Times New Roman" w:eastAsia="方正仿宋_GBK" w:cs="Times New Roman"/>
          <w:color w:val="auto"/>
          <w:sz w:val="32"/>
          <w:szCs w:val="20"/>
          <w:highlight w:val="none"/>
          <w:lang w:eastAsia="zh-CN"/>
        </w:rPr>
        <w:t>和要求</w:t>
      </w:r>
      <w:r>
        <w:rPr>
          <w:rFonts w:hint="eastAsia" w:ascii="Times New Roman" w:hAnsi="Times New Roman" w:eastAsia="方正仿宋_GBK" w:cs="Times New Roman"/>
          <w:color w:val="auto"/>
          <w:sz w:val="32"/>
          <w:szCs w:val="20"/>
          <w:highlight w:val="none"/>
        </w:rPr>
        <w:t>，结合实际，做好补贴险种承保机构遴选、管理、考核等工作，按照公平、公正、公开和优胜劣汰的原则，依法依规确定符合条件的承保机构，承保机构要履行社会责任，把社会效益放在首位，兼顾经济效益，不断提高农业保险服务水平与质量</w:t>
      </w:r>
      <w:r>
        <w:rPr>
          <w:rFonts w:hint="eastAsia" w:ascii="Times New Roman" w:hAnsi="Times New Roman" w:eastAsia="方正仿宋_GBK" w:cs="Times New Roman"/>
          <w:color w:val="auto"/>
          <w:sz w:val="32"/>
          <w:szCs w:val="20"/>
          <w:highlight w:val="none"/>
          <w:lang w:eastAsia="zh-CN"/>
        </w:rPr>
        <w:t>。</w:t>
      </w:r>
    </w:p>
    <w:p>
      <w:pPr>
        <w:spacing w:line="578" w:lineRule="exact"/>
        <w:ind w:firstLine="640" w:firstLineChars="200"/>
        <w:rPr>
          <w:rFonts w:hint="default" w:ascii="Times New Roman" w:hAnsi="Times New Roman" w:eastAsia="方正仿宋_GBK" w:cs="Times New Roman"/>
          <w:color w:val="auto"/>
          <w:sz w:val="32"/>
          <w:szCs w:val="20"/>
          <w:highlight w:val="none"/>
          <w:lang w:val="en-US"/>
        </w:rPr>
      </w:pPr>
      <w:r>
        <w:rPr>
          <w:rFonts w:hint="eastAsia" w:ascii="Times New Roman" w:hAnsi="Times New Roman" w:eastAsia="方正黑体_GBK" w:cs="Times New Roman"/>
          <w:color w:val="auto"/>
          <w:sz w:val="32"/>
          <w:szCs w:val="20"/>
          <w:highlight w:val="none"/>
        </w:rPr>
        <w:t>第二十</w:t>
      </w:r>
      <w:r>
        <w:rPr>
          <w:rFonts w:hint="eastAsia" w:ascii="Times New Roman" w:hAnsi="Times New Roman" w:eastAsia="方正黑体_GBK" w:cs="Times New Roman"/>
          <w:color w:val="auto"/>
          <w:sz w:val="32"/>
          <w:szCs w:val="20"/>
          <w:highlight w:val="none"/>
          <w:lang w:val="en-US" w:eastAsia="zh-CN"/>
        </w:rPr>
        <w:t>二</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区</w:t>
      </w:r>
      <w:r>
        <w:rPr>
          <w:rFonts w:hint="eastAsia" w:ascii="Times New Roman" w:hAnsi="Times New Roman" w:eastAsia="方正仿宋_GBK" w:cs="Times New Roman"/>
          <w:color w:val="auto"/>
          <w:sz w:val="32"/>
          <w:szCs w:val="20"/>
          <w:highlight w:val="none"/>
        </w:rPr>
        <w:t>财政</w:t>
      </w:r>
      <w:r>
        <w:rPr>
          <w:rFonts w:hint="eastAsia" w:ascii="Times New Roman" w:hAnsi="Times New Roman" w:eastAsia="方正仿宋_GBK" w:cs="Times New Roman"/>
          <w:color w:val="auto"/>
          <w:sz w:val="32"/>
          <w:szCs w:val="20"/>
          <w:highlight w:val="none"/>
          <w:lang w:eastAsia="zh-CN"/>
        </w:rPr>
        <w:t>将</w:t>
      </w:r>
      <w:r>
        <w:rPr>
          <w:rFonts w:hint="eastAsia" w:ascii="Times New Roman" w:hAnsi="Times New Roman" w:eastAsia="方正仿宋_GBK" w:cs="Times New Roman"/>
          <w:color w:val="auto"/>
          <w:sz w:val="32"/>
          <w:szCs w:val="20"/>
          <w:highlight w:val="none"/>
        </w:rPr>
        <w:t>会同行业主管部门等，将纳入中央、市级</w:t>
      </w:r>
      <w:r>
        <w:rPr>
          <w:rFonts w:hint="eastAsia" w:ascii="Times New Roman" w:hAnsi="Times New Roman" w:eastAsia="方正仿宋_GBK" w:cs="Times New Roman"/>
          <w:color w:val="auto"/>
          <w:sz w:val="32"/>
          <w:szCs w:val="20"/>
          <w:highlight w:val="none"/>
          <w:lang w:eastAsia="zh-CN"/>
        </w:rPr>
        <w:t>、区级</w:t>
      </w:r>
      <w:r>
        <w:rPr>
          <w:rFonts w:hint="eastAsia" w:ascii="Times New Roman" w:hAnsi="Times New Roman" w:eastAsia="方正仿宋_GBK" w:cs="Times New Roman"/>
          <w:color w:val="auto"/>
          <w:sz w:val="32"/>
          <w:szCs w:val="20"/>
          <w:highlight w:val="none"/>
        </w:rPr>
        <w:t>财政保费补贴范围的种植业、养殖业、林业等险种，在市级遴选的承保机构确定名单中</w:t>
      </w:r>
      <w:r>
        <w:rPr>
          <w:rFonts w:hint="eastAsia" w:ascii="Times New Roman" w:hAnsi="Times New Roman" w:eastAsia="方正仿宋_GBK" w:cs="Times New Roman"/>
          <w:color w:val="auto"/>
          <w:sz w:val="32"/>
          <w:szCs w:val="20"/>
          <w:highlight w:val="none"/>
          <w:lang w:eastAsia="zh-CN"/>
        </w:rPr>
        <w:t>进行遴选，积极落实市财政局</w:t>
      </w:r>
      <w:r>
        <w:rPr>
          <w:rFonts w:hint="eastAsia" w:ascii="Times New Roman" w:hAnsi="Times New Roman" w:eastAsia="方正仿宋_GBK" w:cs="Times New Roman"/>
          <w:color w:val="auto"/>
          <w:sz w:val="32"/>
          <w:szCs w:val="20"/>
          <w:highlight w:val="none"/>
          <w:lang w:val="en-US" w:eastAsia="zh-CN"/>
        </w:rPr>
        <w:t>关于机构数量的规定。在满足绩效评价要求的前提下，承保机构应保持相对稳定，一经确定原则上不少于</w:t>
      </w:r>
      <w:r>
        <w:rPr>
          <w:rFonts w:hint="default" w:ascii="Times New Roman" w:hAnsi="Times New Roman" w:eastAsia="方正仿宋_GBK" w:cs="Times New Roman"/>
          <w:color w:val="auto"/>
          <w:sz w:val="32"/>
          <w:szCs w:val="20"/>
          <w:highlight w:val="none"/>
          <w:lang w:val="en-US" w:eastAsia="zh-CN"/>
        </w:rPr>
        <w:t>3</w:t>
      </w:r>
      <w:r>
        <w:rPr>
          <w:rFonts w:hint="eastAsia" w:ascii="Times New Roman" w:hAnsi="Times New Roman" w:eastAsia="方正仿宋_GBK" w:cs="Times New Roman"/>
          <w:color w:val="auto"/>
          <w:sz w:val="32"/>
          <w:szCs w:val="20"/>
          <w:highlight w:val="none"/>
          <w:lang w:val="en-US" w:eastAsia="zh-CN"/>
        </w:rPr>
        <w:t>年。</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第二十</w:t>
      </w:r>
      <w:r>
        <w:rPr>
          <w:rFonts w:hint="eastAsia" w:ascii="Times New Roman" w:hAnsi="Times New Roman" w:eastAsia="方正黑体_GBK" w:cs="Times New Roman"/>
          <w:color w:val="auto"/>
          <w:sz w:val="32"/>
          <w:szCs w:val="20"/>
          <w:highlight w:val="none"/>
          <w:lang w:val="en-US" w:eastAsia="zh-CN"/>
        </w:rPr>
        <w:t>三</w:t>
      </w:r>
      <w:r>
        <w:rPr>
          <w:rFonts w:hint="eastAsia" w:ascii="Times New Roman" w:hAnsi="Times New Roman" w:eastAsia="方正黑体_GBK" w:cs="Times New Roman"/>
          <w:color w:val="auto"/>
          <w:sz w:val="32"/>
          <w:szCs w:val="20"/>
          <w:highlight w:val="none"/>
        </w:rPr>
        <w:t xml:space="preserve">条 </w:t>
      </w:r>
      <w:r>
        <w:rPr>
          <w:rFonts w:hint="eastAsia" w:ascii="Times New Roman" w:hAnsi="Times New Roman" w:eastAsia="方正仿宋_GBK" w:cs="Times New Roman"/>
          <w:color w:val="auto"/>
          <w:sz w:val="32"/>
          <w:szCs w:val="20"/>
          <w:highlight w:val="none"/>
        </w:rPr>
        <w:t xml:space="preserve"> 承保机构应当按照有关规定，及时、足额计提农业保险大灾风险准备金，逐年滚存，逐步建立应对农业大灾风险的长效机制；同时，应于每年</w:t>
      </w:r>
      <w:r>
        <w:rPr>
          <w:rFonts w:hint="default" w:ascii="Times New Roman" w:hAnsi="Times New Roman" w:eastAsia="方正仿宋_GBK" w:cs="Times New Roman"/>
          <w:color w:val="auto"/>
          <w:sz w:val="32"/>
          <w:szCs w:val="20"/>
          <w:highlight w:val="none"/>
        </w:rPr>
        <w:t>5</w:t>
      </w:r>
      <w:r>
        <w:rPr>
          <w:rFonts w:hint="eastAsia" w:ascii="Times New Roman" w:hAnsi="Times New Roman" w:eastAsia="方正仿宋_GBK" w:cs="Times New Roman"/>
          <w:color w:val="auto"/>
          <w:sz w:val="32"/>
          <w:szCs w:val="20"/>
          <w:highlight w:val="none"/>
        </w:rPr>
        <w:t>月</w:t>
      </w:r>
      <w:r>
        <w:rPr>
          <w:rFonts w:hint="default" w:ascii="Times New Roman" w:hAnsi="Times New Roman" w:eastAsia="方正仿宋_GBK" w:cs="Times New Roman"/>
          <w:color w:val="auto"/>
          <w:sz w:val="32"/>
          <w:szCs w:val="20"/>
          <w:highlight w:val="none"/>
        </w:rPr>
        <w:t>31</w:t>
      </w:r>
      <w:r>
        <w:rPr>
          <w:rFonts w:hint="eastAsia" w:ascii="Times New Roman" w:hAnsi="Times New Roman" w:eastAsia="方正仿宋_GBK" w:cs="Times New Roman"/>
          <w:color w:val="auto"/>
          <w:sz w:val="32"/>
          <w:szCs w:val="20"/>
          <w:highlight w:val="none"/>
        </w:rPr>
        <w:t>日前将上年度农业保险大灾风险准备金提取、使用情况报送</w:t>
      </w:r>
      <w:r>
        <w:rPr>
          <w:rFonts w:hint="eastAsia" w:ascii="Times New Roman" w:hAnsi="Times New Roman" w:eastAsia="方正仿宋_GBK" w:cs="Times New Roman"/>
          <w:color w:val="auto"/>
          <w:sz w:val="32"/>
          <w:szCs w:val="20"/>
          <w:highlight w:val="none"/>
          <w:lang w:eastAsia="zh-CN"/>
        </w:rPr>
        <w:t>区</w:t>
      </w:r>
      <w:r>
        <w:rPr>
          <w:rFonts w:hint="eastAsia" w:ascii="Times New Roman" w:hAnsi="Times New Roman" w:eastAsia="方正仿宋_GBK" w:cs="Times New Roman"/>
          <w:color w:val="auto"/>
          <w:sz w:val="32"/>
          <w:szCs w:val="20"/>
          <w:highlight w:val="none"/>
        </w:rPr>
        <w:t>财政局。</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第二十</w:t>
      </w:r>
      <w:r>
        <w:rPr>
          <w:rFonts w:hint="eastAsia" w:ascii="Times New Roman" w:hAnsi="Times New Roman" w:eastAsia="方正黑体_GBK" w:cs="Times New Roman"/>
          <w:color w:val="auto"/>
          <w:sz w:val="32"/>
          <w:szCs w:val="20"/>
          <w:highlight w:val="none"/>
          <w:lang w:val="en-US" w:eastAsia="zh-CN"/>
        </w:rPr>
        <w:t>四</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承保机构不得引入保险中介机构为农户与承保机构办理补贴险种合同签订等有关事宜。保费及其补贴资金，不得用于向保险中介机构支付手续费或佣金。</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eastAsia="zh-CN"/>
        </w:rPr>
        <w:t>二十</w:t>
      </w:r>
      <w:r>
        <w:rPr>
          <w:rFonts w:hint="eastAsia" w:ascii="Times New Roman" w:hAnsi="Times New Roman" w:eastAsia="方正黑体_GBK" w:cs="Times New Roman"/>
          <w:color w:val="auto"/>
          <w:sz w:val="32"/>
          <w:szCs w:val="20"/>
          <w:highlight w:val="none"/>
          <w:lang w:val="en-US" w:eastAsia="zh-CN"/>
        </w:rPr>
        <w:t>五</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承保机构应于每年</w:t>
      </w:r>
      <w:r>
        <w:rPr>
          <w:rFonts w:hint="default" w:ascii="Times New Roman" w:hAnsi="Times New Roman" w:eastAsia="方正仿宋_GBK" w:cs="Times New Roman"/>
          <w:color w:val="auto"/>
          <w:sz w:val="32"/>
          <w:szCs w:val="20"/>
          <w:highlight w:val="none"/>
        </w:rPr>
        <w:t>1</w:t>
      </w:r>
      <w:r>
        <w:rPr>
          <w:rFonts w:hint="eastAsia" w:ascii="Times New Roman" w:hAnsi="Times New Roman" w:eastAsia="方正仿宋_GBK" w:cs="Times New Roman"/>
          <w:color w:val="auto"/>
          <w:sz w:val="32"/>
          <w:szCs w:val="20"/>
          <w:highlight w:val="none"/>
        </w:rPr>
        <w:t>月</w:t>
      </w:r>
      <w:r>
        <w:rPr>
          <w:rFonts w:hint="eastAsia" w:ascii="Times New Roman" w:hAnsi="Times New Roman" w:eastAsia="方正仿宋_GBK" w:cs="Times New Roman"/>
          <w:color w:val="auto"/>
          <w:sz w:val="32"/>
          <w:szCs w:val="20"/>
          <w:highlight w:val="none"/>
          <w:lang w:val="en-US" w:eastAsia="zh-CN"/>
        </w:rPr>
        <w:t>初</w:t>
      </w:r>
      <w:r>
        <w:rPr>
          <w:rFonts w:hint="eastAsia" w:ascii="Times New Roman" w:hAnsi="Times New Roman" w:eastAsia="方正仿宋_GBK" w:cs="Times New Roman"/>
          <w:color w:val="auto"/>
          <w:sz w:val="32"/>
          <w:szCs w:val="20"/>
          <w:highlight w:val="none"/>
        </w:rPr>
        <w:t>将上年度农业保险工作情况以正式文件报送</w:t>
      </w:r>
      <w:r>
        <w:rPr>
          <w:rFonts w:hint="eastAsia" w:ascii="Times New Roman" w:hAnsi="Times New Roman" w:eastAsia="方正仿宋_GBK" w:cs="Times New Roman"/>
          <w:color w:val="auto"/>
          <w:sz w:val="32"/>
          <w:szCs w:val="20"/>
          <w:highlight w:val="none"/>
          <w:lang w:eastAsia="zh-CN"/>
        </w:rPr>
        <w:t>区</w:t>
      </w:r>
      <w:r>
        <w:rPr>
          <w:rFonts w:hint="eastAsia" w:ascii="Times New Roman" w:hAnsi="Times New Roman" w:eastAsia="方正仿宋_GBK" w:cs="Times New Roman"/>
          <w:color w:val="auto"/>
          <w:sz w:val="32"/>
          <w:szCs w:val="20"/>
          <w:highlight w:val="none"/>
        </w:rPr>
        <w:t>财政局。工作情况包括但不限于业务开展、工作举措、机构网点建设、大灾风险准备金提取等基本情况，以及存在的主要问题、工作建议、下一步工作打算和相关表格（附件</w:t>
      </w:r>
      <w:r>
        <w:rPr>
          <w:rFonts w:hint="default" w:ascii="Times New Roman" w:hAnsi="Times New Roman" w:eastAsia="方正仿宋_GBK" w:cs="Times New Roman"/>
          <w:color w:val="auto"/>
          <w:sz w:val="32"/>
          <w:szCs w:val="20"/>
          <w:highlight w:val="none"/>
          <w:lang w:val="en-US" w:eastAsia="zh-CN"/>
        </w:rPr>
        <w:t>5</w:t>
      </w:r>
      <w:r>
        <w:rPr>
          <w:rFonts w:hint="eastAsia" w:ascii="Times New Roman" w:hAnsi="Times New Roman" w:eastAsia="方正仿宋_GBK" w:cs="Times New Roman"/>
          <w:color w:val="auto"/>
          <w:sz w:val="32"/>
          <w:szCs w:val="20"/>
          <w:highlight w:val="none"/>
        </w:rPr>
        <w:t>）。</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lang w:eastAsia="zh-CN"/>
        </w:rPr>
        <w:t>第二十</w:t>
      </w:r>
      <w:r>
        <w:rPr>
          <w:rFonts w:hint="eastAsia" w:ascii="Times New Roman" w:hAnsi="Times New Roman" w:eastAsia="方正黑体_GBK" w:cs="Times New Roman"/>
          <w:color w:val="auto"/>
          <w:sz w:val="32"/>
          <w:szCs w:val="20"/>
          <w:highlight w:val="none"/>
          <w:lang w:val="en-US" w:eastAsia="zh-CN"/>
        </w:rPr>
        <w:t>六</w:t>
      </w:r>
      <w:r>
        <w:rPr>
          <w:rFonts w:hint="eastAsia" w:ascii="Times New Roman" w:hAnsi="Times New Roman" w:eastAsia="方正黑体_GBK" w:cs="Times New Roman"/>
          <w:color w:val="auto"/>
          <w:sz w:val="32"/>
          <w:szCs w:val="20"/>
          <w:highlight w:val="none"/>
          <w:lang w:eastAsia="zh-CN"/>
        </w:rPr>
        <w:t>条</w:t>
      </w:r>
      <w:r>
        <w:rPr>
          <w:rFonts w:hint="eastAsia" w:ascii="Times New Roman" w:hAnsi="Times New Roman" w:eastAsia="方正黑体_GBK" w:cs="Times New Roman"/>
          <w:color w:val="auto"/>
          <w:sz w:val="32"/>
          <w:szCs w:val="20"/>
          <w:highlight w:val="none"/>
          <w:lang w:val="en-US" w:eastAsia="zh-CN"/>
        </w:rPr>
        <w:t xml:space="preserve">  </w:t>
      </w:r>
      <w:r>
        <w:rPr>
          <w:rFonts w:hint="eastAsia" w:ascii="Times New Roman" w:hAnsi="Times New Roman" w:eastAsia="方正仿宋_GBK" w:cs="Times New Roman"/>
          <w:color w:val="auto"/>
          <w:sz w:val="32"/>
          <w:szCs w:val="20"/>
          <w:highlight w:val="none"/>
          <w:lang w:val="en-US" w:eastAsia="zh-CN"/>
        </w:rPr>
        <w:t>承保机构可建立协保员管理制度，按流程设立、公示、聘请、培训协保员，指导协保员开展相关工作。</w:t>
      </w:r>
      <w:r>
        <w:rPr>
          <w:rFonts w:hint="eastAsia" w:ascii="Times New Roman" w:hAnsi="Times New Roman" w:eastAsia="方正仿宋_GBK" w:cs="Times New Roman"/>
          <w:color w:val="auto"/>
          <w:sz w:val="32"/>
          <w:szCs w:val="20"/>
          <w:highlight w:val="none"/>
        </w:rPr>
        <w:t>对</w:t>
      </w:r>
      <w:r>
        <w:rPr>
          <w:rFonts w:hint="eastAsia" w:ascii="Times New Roman" w:hAnsi="Times New Roman" w:eastAsia="方正仿宋_GBK" w:cs="Times New Roman"/>
          <w:color w:val="auto"/>
          <w:sz w:val="32"/>
          <w:szCs w:val="20"/>
          <w:highlight w:val="none"/>
          <w:lang w:eastAsia="zh-CN"/>
        </w:rPr>
        <w:t>街镇</w:t>
      </w:r>
      <w:r>
        <w:rPr>
          <w:rFonts w:hint="eastAsia" w:ascii="Times New Roman" w:hAnsi="Times New Roman" w:eastAsia="方正仿宋_GBK" w:cs="Times New Roman"/>
          <w:color w:val="auto"/>
          <w:sz w:val="32"/>
          <w:szCs w:val="20"/>
          <w:highlight w:val="none"/>
        </w:rPr>
        <w:t>及以上农业保险协办业务的管理，按照《关于进一步规范农业保险工作费用管理使用的通知》（渝财金〔</w:t>
      </w:r>
      <w:r>
        <w:rPr>
          <w:rFonts w:hint="default" w:ascii="Times New Roman" w:hAnsi="Times New Roman" w:eastAsia="方正仿宋_GBK" w:cs="Times New Roman"/>
          <w:color w:val="auto"/>
          <w:sz w:val="32"/>
          <w:szCs w:val="20"/>
          <w:highlight w:val="none"/>
        </w:rPr>
        <w:t>2021</w:t>
      </w:r>
      <w:r>
        <w:rPr>
          <w:rFonts w:hint="eastAsia" w:ascii="Times New Roman" w:hAnsi="Times New Roman" w:eastAsia="方正仿宋_GBK" w:cs="Times New Roman"/>
          <w:color w:val="auto"/>
          <w:sz w:val="32"/>
          <w:szCs w:val="20"/>
          <w:highlight w:val="none"/>
        </w:rPr>
        <w:t>〕</w:t>
      </w:r>
      <w:r>
        <w:rPr>
          <w:rFonts w:hint="default" w:ascii="Times New Roman" w:hAnsi="Times New Roman" w:eastAsia="方正仿宋_GBK" w:cs="Times New Roman"/>
          <w:color w:val="auto"/>
          <w:sz w:val="32"/>
          <w:szCs w:val="20"/>
          <w:highlight w:val="none"/>
        </w:rPr>
        <w:t>61</w:t>
      </w:r>
      <w:r>
        <w:rPr>
          <w:rFonts w:hint="eastAsia" w:ascii="Times New Roman" w:hAnsi="Times New Roman" w:eastAsia="方正仿宋_GBK" w:cs="Times New Roman"/>
          <w:color w:val="auto"/>
          <w:sz w:val="32"/>
          <w:szCs w:val="20"/>
          <w:highlight w:val="none"/>
        </w:rPr>
        <w:t>号）相关规定执行。</w:t>
      </w:r>
    </w:p>
    <w:p>
      <w:pPr>
        <w:spacing w:line="578" w:lineRule="exact"/>
        <w:rPr>
          <w:rFonts w:hint="default" w:ascii="Times New Roman" w:hAnsi="Times New Roman" w:eastAsia="方正仿宋_GBK" w:cs="Times New Roman"/>
          <w:color w:val="auto"/>
          <w:sz w:val="32"/>
          <w:szCs w:val="20"/>
          <w:highlight w:val="none"/>
          <w:lang w:val="en-US" w:eastAsia="zh-CN"/>
        </w:rPr>
      </w:pPr>
      <w:r>
        <w:rPr>
          <w:rFonts w:hint="eastAsia" w:ascii="Times New Roman" w:hAnsi="Times New Roman" w:eastAsia="方正黑体_GBK" w:cs="Times New Roman"/>
          <w:color w:val="auto"/>
          <w:sz w:val="32"/>
          <w:szCs w:val="20"/>
          <w:highlight w:val="none"/>
          <w:lang w:val="en-US" w:eastAsia="zh-CN"/>
        </w:rPr>
        <w:t xml:space="preserve">    </w:t>
      </w: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val="en-US" w:eastAsia="zh-CN"/>
        </w:rPr>
        <w:t>二十七</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val="en-US" w:eastAsia="zh-CN"/>
        </w:rPr>
        <w:t>承保机构应当根据有关规定，做好补贴险种的承保、查勘、定损、理赔等工作，切实维护投保农户合法权益。</w:t>
      </w:r>
    </w:p>
    <w:p>
      <w:pPr>
        <w:spacing w:line="578" w:lineRule="exact"/>
        <w:ind w:firstLine="640" w:firstLineChars="200"/>
        <w:rPr>
          <w:rFonts w:hint="eastAsia" w:ascii="Times New Roman" w:hAnsi="Times New Roman" w:eastAsia="方正仿宋_GBK" w:cs="Times New Roman"/>
          <w:color w:val="auto"/>
          <w:sz w:val="32"/>
          <w:szCs w:val="20"/>
          <w:highlight w:val="none"/>
          <w:lang w:eastAsia="zh-CN"/>
        </w:rPr>
      </w:pP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val="en-US" w:eastAsia="zh-CN"/>
        </w:rPr>
        <w:t>二十八</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承保机构要会同</w:t>
      </w:r>
      <w:r>
        <w:rPr>
          <w:rFonts w:hint="eastAsia" w:ascii="Times New Roman" w:hAnsi="Times New Roman" w:eastAsia="方正仿宋_GBK" w:cs="Times New Roman"/>
          <w:color w:val="auto"/>
          <w:sz w:val="32"/>
          <w:szCs w:val="20"/>
          <w:highlight w:val="none"/>
          <w:lang w:eastAsia="zh-CN"/>
        </w:rPr>
        <w:t>行业主管部门、街镇</w:t>
      </w:r>
      <w:r>
        <w:rPr>
          <w:rFonts w:hint="eastAsia" w:ascii="Times New Roman" w:hAnsi="Times New Roman" w:eastAsia="方正仿宋_GBK" w:cs="Times New Roman"/>
          <w:color w:val="auto"/>
          <w:sz w:val="32"/>
          <w:szCs w:val="20"/>
          <w:highlight w:val="none"/>
        </w:rPr>
        <w:t>，做好政策的宣传工作，做到惠农政策、承保情况、理赔结果、服务标准、监管要求“五公开”，做到定损到户、理赔到户，不惜赔、不拖赔，确保农业保险工作公开透明</w:t>
      </w:r>
      <w:r>
        <w:rPr>
          <w:rFonts w:hint="eastAsia" w:ascii="Times New Roman" w:hAnsi="Times New Roman" w:eastAsia="方正仿宋_GBK" w:cs="Times New Roman"/>
          <w:color w:val="auto"/>
          <w:sz w:val="32"/>
          <w:szCs w:val="20"/>
          <w:highlight w:val="none"/>
          <w:lang w:eastAsia="zh-CN"/>
        </w:rPr>
        <w:t>。</w:t>
      </w:r>
    </w:p>
    <w:p>
      <w:pPr>
        <w:spacing w:line="578" w:lineRule="exact"/>
        <w:rPr>
          <w:rFonts w:hint="eastAsia" w:ascii="Times New Roman" w:hAnsi="Times New Roman" w:eastAsia="方正仿宋_GBK" w:cs="Times New Roman"/>
          <w:color w:val="auto"/>
          <w:sz w:val="32"/>
          <w:szCs w:val="20"/>
          <w:highlight w:val="none"/>
        </w:rPr>
      </w:pPr>
    </w:p>
    <w:p>
      <w:pPr>
        <w:numPr>
          <w:ilvl w:val="0"/>
          <w:numId w:val="1"/>
        </w:numPr>
        <w:spacing w:line="578" w:lineRule="exact"/>
        <w:ind w:left="0" w:leftChars="0" w:firstLine="0" w:firstLineChars="0"/>
        <w:jc w:val="center"/>
        <w:rPr>
          <w:rFonts w:hint="eastAsia" w:ascii="Times New Roman" w:hAnsi="Times New Roman" w:eastAsia="方正黑体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 xml:space="preserve"> 绩效管理和监督检查</w:t>
      </w:r>
    </w:p>
    <w:p>
      <w:pPr>
        <w:pStyle w:val="2"/>
        <w:numPr>
          <w:ilvl w:val="0"/>
          <w:numId w:val="0"/>
        </w:numPr>
        <w:ind w:leftChars="0"/>
      </w:pP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w:t>
      </w:r>
      <w:r>
        <w:rPr>
          <w:rFonts w:hint="eastAsia" w:ascii="Times New Roman" w:hAnsi="Times New Roman" w:eastAsia="方正黑体_GBK" w:cs="Times New Roman"/>
          <w:color w:val="auto"/>
          <w:sz w:val="32"/>
          <w:szCs w:val="20"/>
          <w:highlight w:val="none"/>
          <w:lang w:val="en-US" w:eastAsia="zh-CN"/>
        </w:rPr>
        <w:t>二十九</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区财政将</w:t>
      </w:r>
      <w:r>
        <w:rPr>
          <w:rFonts w:hint="eastAsia" w:ascii="Times New Roman" w:hAnsi="Times New Roman" w:eastAsia="方正仿宋_GBK" w:cs="Times New Roman"/>
          <w:color w:val="auto"/>
          <w:sz w:val="32"/>
          <w:szCs w:val="20"/>
          <w:highlight w:val="none"/>
        </w:rPr>
        <w:t>按照全面实施预算绩效管理有关规定，对照绩效目标，开展绩效运行监控，全面掌握农业保险有关情况，确保绩效评价结果真实、全面、准确、有效。注重绩效评价结果运用，将评价结果与遴选承保机构等工作有机结合，提高业务操作规范性和财政资金使用绩效。</w:t>
      </w:r>
    </w:p>
    <w:p>
      <w:pPr>
        <w:spacing w:line="578" w:lineRule="exact"/>
        <w:ind w:firstLine="640" w:firstLineChars="200"/>
        <w:rPr>
          <w:rFonts w:hint="eastAsia" w:ascii="Times New Roman" w:hAnsi="Times New Roman" w:eastAsia="方正仿宋_GBK" w:cs="Times New Roman"/>
          <w:color w:val="auto"/>
          <w:sz w:val="32"/>
          <w:szCs w:val="20"/>
          <w:highlight w:val="none"/>
          <w:lang w:eastAsia="zh-CN"/>
        </w:rPr>
      </w:pPr>
      <w:r>
        <w:rPr>
          <w:rFonts w:hint="eastAsia" w:ascii="Times New Roman" w:hAnsi="Times New Roman" w:eastAsia="方正黑体_GBK" w:cs="Times New Roman"/>
          <w:color w:val="auto"/>
          <w:sz w:val="32"/>
          <w:szCs w:val="20"/>
          <w:highlight w:val="none"/>
        </w:rPr>
        <w:t>第三十条</w:t>
      </w:r>
      <w:r>
        <w:rPr>
          <w:rFonts w:hint="eastAsia" w:ascii="Times New Roman" w:hAnsi="Times New Roman" w:eastAsia="方正黑体_GBK" w:cs="Times New Roman"/>
          <w:color w:val="auto"/>
          <w:sz w:val="32"/>
          <w:szCs w:val="20"/>
          <w:highlight w:val="none"/>
          <w:lang w:val="en-US" w:eastAsia="zh-CN"/>
        </w:rPr>
        <w:t xml:space="preserve"> </w:t>
      </w:r>
      <w:r>
        <w:rPr>
          <w:rFonts w:hint="eastAsia" w:ascii="Times New Roman" w:hAnsi="Times New Roman" w:eastAsia="方正仿宋_GBK" w:cs="Times New Roman"/>
          <w:color w:val="auto"/>
          <w:sz w:val="32"/>
          <w:szCs w:val="20"/>
          <w:highlight w:val="none"/>
          <w:lang w:val="en-US" w:eastAsia="zh-CN"/>
        </w:rPr>
        <w:t xml:space="preserve"> 区财政会同有关部门</w:t>
      </w:r>
      <w:r>
        <w:rPr>
          <w:rFonts w:hint="eastAsia" w:ascii="Times New Roman" w:hAnsi="Times New Roman" w:eastAsia="方正仿宋_GBK" w:cs="Times New Roman"/>
          <w:color w:val="auto"/>
          <w:sz w:val="32"/>
          <w:szCs w:val="20"/>
          <w:highlight w:val="none"/>
          <w:lang w:eastAsia="zh-CN"/>
        </w:rPr>
        <w:t>严格按照《重庆市政策性农业保险承保机构绩效评价管理办法》（渝财金〔</w:t>
      </w:r>
      <w:r>
        <w:rPr>
          <w:rFonts w:hint="default" w:ascii="Times New Roman" w:hAnsi="Times New Roman" w:eastAsia="方正仿宋_GBK" w:cs="Times New Roman"/>
          <w:color w:val="auto"/>
          <w:sz w:val="32"/>
          <w:szCs w:val="20"/>
          <w:highlight w:val="none"/>
          <w:lang w:eastAsia="zh-CN"/>
        </w:rPr>
        <w:t>2021</w:t>
      </w:r>
      <w:r>
        <w:rPr>
          <w:rFonts w:hint="eastAsia" w:ascii="Times New Roman" w:hAnsi="Times New Roman" w:eastAsia="方正仿宋_GBK" w:cs="Times New Roman"/>
          <w:color w:val="auto"/>
          <w:sz w:val="32"/>
          <w:szCs w:val="20"/>
          <w:highlight w:val="none"/>
          <w:lang w:eastAsia="zh-CN"/>
        </w:rPr>
        <w:t>〕</w:t>
      </w:r>
      <w:r>
        <w:rPr>
          <w:rFonts w:hint="default" w:ascii="Times New Roman" w:hAnsi="Times New Roman" w:eastAsia="方正仿宋_GBK" w:cs="Times New Roman"/>
          <w:color w:val="auto"/>
          <w:sz w:val="32"/>
          <w:szCs w:val="20"/>
          <w:highlight w:val="none"/>
          <w:lang w:eastAsia="zh-CN"/>
        </w:rPr>
        <w:t>74</w:t>
      </w:r>
      <w:r>
        <w:rPr>
          <w:rFonts w:hint="eastAsia" w:ascii="Times New Roman" w:hAnsi="Times New Roman" w:eastAsia="方正仿宋_GBK" w:cs="Times New Roman"/>
          <w:color w:val="auto"/>
          <w:sz w:val="32"/>
          <w:szCs w:val="20"/>
          <w:highlight w:val="none"/>
          <w:lang w:eastAsia="zh-CN"/>
        </w:rPr>
        <w:t>号）要求，每年对承保机构开展绩效评价，绩效评价得分与其承保资格相挂钩。对在服务期限内连续两年绩效评价评定等次为“基本合格”或单次绩效评价评定等次为“不合格”的，取消该承保机构在本辖区内剩余服务期限内的承保资格。其剩余服务期限内的承保业务，由区财政局会同相关部门，研究在已遴选出的其他承保机构承担。</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第三十</w:t>
      </w:r>
      <w:r>
        <w:rPr>
          <w:rFonts w:hint="eastAsia" w:ascii="Times New Roman" w:hAnsi="Times New Roman" w:eastAsia="方正黑体_GBK" w:cs="Times New Roman"/>
          <w:color w:val="auto"/>
          <w:sz w:val="32"/>
          <w:szCs w:val="20"/>
          <w:highlight w:val="none"/>
          <w:lang w:val="en-US" w:eastAsia="zh-CN"/>
        </w:rPr>
        <w:t>一</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eastAsia="zh-CN"/>
        </w:rPr>
        <w:t>区财政将</w:t>
      </w:r>
      <w:r>
        <w:rPr>
          <w:rFonts w:hint="eastAsia" w:ascii="Times New Roman" w:hAnsi="Times New Roman" w:eastAsia="方正仿宋_GBK" w:cs="Times New Roman"/>
          <w:color w:val="auto"/>
          <w:sz w:val="32"/>
          <w:szCs w:val="20"/>
          <w:highlight w:val="none"/>
        </w:rPr>
        <w:t>建立健全保费补贴资金执行情况动态监控机制，</w:t>
      </w:r>
      <w:r>
        <w:rPr>
          <w:rFonts w:hint="eastAsia" w:ascii="Times New Roman" w:hAnsi="Times New Roman" w:eastAsia="方正仿宋_GBK" w:cs="Times New Roman"/>
          <w:color w:val="auto"/>
          <w:sz w:val="32"/>
          <w:szCs w:val="20"/>
          <w:highlight w:val="none"/>
          <w:lang w:val="en-US" w:eastAsia="zh-CN"/>
        </w:rPr>
        <w:t>联合主管部门</w:t>
      </w:r>
      <w:r>
        <w:rPr>
          <w:rFonts w:hint="eastAsia" w:ascii="Times New Roman" w:hAnsi="Times New Roman" w:eastAsia="方正仿宋_GBK" w:cs="Times New Roman"/>
          <w:color w:val="auto"/>
          <w:sz w:val="32"/>
          <w:szCs w:val="20"/>
          <w:highlight w:val="none"/>
        </w:rPr>
        <w:t>定期或不定期自查保费补贴工作</w:t>
      </w:r>
      <w:r>
        <w:rPr>
          <w:rFonts w:hint="eastAsia" w:ascii="Times New Roman" w:hAnsi="Times New Roman" w:eastAsia="方正仿宋_GBK" w:cs="Times New Roman"/>
          <w:color w:val="auto"/>
          <w:sz w:val="32"/>
          <w:szCs w:val="20"/>
          <w:highlight w:val="none"/>
          <w:lang w:eastAsia="zh-CN"/>
        </w:rPr>
        <w:t>。</w:t>
      </w:r>
      <w:r>
        <w:rPr>
          <w:rFonts w:hint="eastAsia" w:ascii="Times New Roman" w:hAnsi="Times New Roman" w:eastAsia="方正仿宋_GBK" w:cs="Times New Roman"/>
          <w:color w:val="auto"/>
          <w:sz w:val="32"/>
          <w:szCs w:val="20"/>
          <w:highlight w:val="none"/>
        </w:rPr>
        <w:t>对存在挤占、挪用保费补贴资金，及拖欠</w:t>
      </w:r>
      <w:r>
        <w:rPr>
          <w:rFonts w:hint="eastAsia" w:ascii="Times New Roman" w:hAnsi="Times New Roman" w:eastAsia="方正仿宋_GBK" w:cs="Times New Roman"/>
          <w:color w:val="auto"/>
          <w:sz w:val="32"/>
          <w:szCs w:val="20"/>
          <w:highlight w:val="none"/>
          <w:lang w:eastAsia="zh-CN"/>
        </w:rPr>
        <w:t>承保机构申请的</w:t>
      </w:r>
      <w:r>
        <w:rPr>
          <w:rFonts w:hint="eastAsia" w:ascii="Times New Roman" w:hAnsi="Times New Roman" w:eastAsia="方正仿宋_GBK" w:cs="Times New Roman"/>
          <w:color w:val="auto"/>
          <w:sz w:val="32"/>
          <w:szCs w:val="20"/>
          <w:highlight w:val="none"/>
        </w:rPr>
        <w:t>，通过适当方式公开通报、督办。</w:t>
      </w:r>
    </w:p>
    <w:p>
      <w:pPr>
        <w:spacing w:line="578" w:lineRule="exact"/>
        <w:ind w:firstLine="640" w:firstLineChars="200"/>
        <w:rPr>
          <w:rFonts w:hint="eastAsia" w:ascii="Times New Roman" w:hAnsi="Times New Roman" w:eastAsia="方正仿宋_GBK" w:cs="Times New Roman"/>
          <w:color w:val="auto"/>
          <w:sz w:val="32"/>
          <w:szCs w:val="20"/>
          <w:highlight w:val="none"/>
          <w:lang w:eastAsia="zh-CN"/>
        </w:rPr>
      </w:pPr>
      <w:r>
        <w:rPr>
          <w:rFonts w:hint="eastAsia" w:ascii="Times New Roman" w:hAnsi="Times New Roman" w:eastAsia="方正黑体_GBK" w:cs="Times New Roman"/>
          <w:color w:val="auto"/>
          <w:sz w:val="32"/>
          <w:szCs w:val="20"/>
          <w:highlight w:val="none"/>
        </w:rPr>
        <w:t>第三十</w:t>
      </w:r>
      <w:r>
        <w:rPr>
          <w:rFonts w:hint="eastAsia" w:ascii="Times New Roman" w:hAnsi="Times New Roman" w:eastAsia="方正黑体_GBK" w:cs="Times New Roman"/>
          <w:color w:val="auto"/>
          <w:sz w:val="32"/>
          <w:szCs w:val="20"/>
          <w:highlight w:val="none"/>
          <w:lang w:val="en-US" w:eastAsia="zh-CN"/>
        </w:rPr>
        <w:t>二</w:t>
      </w:r>
      <w:r>
        <w:rPr>
          <w:rFonts w:hint="eastAsia" w:ascii="Times New Roman" w:hAnsi="Times New Roman" w:eastAsia="方正黑体_GBK" w:cs="Times New Roman"/>
          <w:color w:val="auto"/>
          <w:sz w:val="32"/>
          <w:szCs w:val="20"/>
          <w:highlight w:val="none"/>
        </w:rPr>
        <w:t xml:space="preserve">条 </w:t>
      </w:r>
      <w:r>
        <w:rPr>
          <w:rFonts w:hint="eastAsia" w:ascii="Times New Roman" w:hAnsi="Times New Roman" w:eastAsia="方正仿宋_GBK" w:cs="Times New Roman"/>
          <w:color w:val="auto"/>
          <w:sz w:val="32"/>
          <w:szCs w:val="20"/>
          <w:highlight w:val="none"/>
        </w:rPr>
        <w:t xml:space="preserve"> </w:t>
      </w:r>
      <w:r>
        <w:rPr>
          <w:rFonts w:hint="eastAsia" w:ascii="Times New Roman" w:hAnsi="Times New Roman" w:eastAsia="方正仿宋_GBK" w:cs="Times New Roman"/>
          <w:color w:val="auto"/>
          <w:sz w:val="32"/>
          <w:szCs w:val="20"/>
          <w:highlight w:val="none"/>
          <w:lang w:val="en-US" w:eastAsia="zh-CN"/>
        </w:rPr>
        <w:t>区财政将会同有关部门、承保机构，建立健全激励约束机制，采取有效措施，</w:t>
      </w:r>
      <w:r>
        <w:rPr>
          <w:rFonts w:hint="eastAsia" w:ascii="Times New Roman" w:hAnsi="Times New Roman" w:eastAsia="方正仿宋_GBK" w:cs="Times New Roman"/>
          <w:color w:val="auto"/>
          <w:sz w:val="32"/>
          <w:szCs w:val="20"/>
          <w:highlight w:val="none"/>
        </w:rPr>
        <w:t>严防个人或单位（组织）虚构、虚增保险标的，以及以同一保险标的进行多次投保等各类骗取保费补贴资金的违法行为发生</w:t>
      </w:r>
      <w:r>
        <w:rPr>
          <w:rFonts w:hint="eastAsia" w:ascii="Times New Roman" w:hAnsi="Times New Roman" w:eastAsia="方正仿宋_GBK" w:cs="Times New Roman"/>
          <w:color w:val="auto"/>
          <w:sz w:val="32"/>
          <w:szCs w:val="20"/>
          <w:highlight w:val="none"/>
          <w:lang w:eastAsia="zh-CN"/>
        </w:rPr>
        <w:t>。</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lang w:val="en-US" w:eastAsia="zh-CN"/>
        </w:rPr>
        <w:t>第三十三条</w:t>
      </w:r>
      <w:r>
        <w:rPr>
          <w:rFonts w:hint="eastAsia" w:ascii="Times New Roman" w:hAnsi="Times New Roman" w:eastAsia="方正仿宋_GBK" w:cs="Times New Roman"/>
          <w:color w:val="auto"/>
          <w:sz w:val="32"/>
          <w:szCs w:val="20"/>
          <w:highlight w:val="none"/>
          <w:lang w:val="en-US" w:eastAsia="zh-CN"/>
        </w:rPr>
        <w:t xml:space="preserve">  </w:t>
      </w:r>
      <w:r>
        <w:rPr>
          <w:rFonts w:hint="eastAsia" w:ascii="Times New Roman" w:hAnsi="Times New Roman" w:eastAsia="方正仿宋_GBK" w:cs="Times New Roman"/>
          <w:color w:val="auto"/>
          <w:sz w:val="32"/>
          <w:szCs w:val="20"/>
          <w:highlight w:val="none"/>
        </w:rPr>
        <w:t>对于有关部门、承保机构以任何方式骗取保费补贴资金的，</w:t>
      </w:r>
      <w:r>
        <w:rPr>
          <w:rFonts w:hint="eastAsia" w:ascii="Times New Roman" w:hAnsi="Times New Roman" w:eastAsia="方正仿宋_GBK" w:cs="Times New Roman"/>
          <w:color w:val="auto"/>
          <w:sz w:val="32"/>
          <w:szCs w:val="20"/>
          <w:highlight w:val="none"/>
          <w:lang w:eastAsia="zh-CN"/>
        </w:rPr>
        <w:t>区</w:t>
      </w:r>
      <w:r>
        <w:rPr>
          <w:rFonts w:hint="eastAsia" w:ascii="Times New Roman" w:hAnsi="Times New Roman" w:eastAsia="方正仿宋_GBK" w:cs="Times New Roman"/>
          <w:color w:val="auto"/>
          <w:sz w:val="32"/>
          <w:szCs w:val="20"/>
          <w:highlight w:val="none"/>
        </w:rPr>
        <w:t>财政将会同监管部门责令其改正并追回相应保费补贴资金，情节严重的，依法依规予以处罚。对承保机构存在骗取保费补贴资金的，还将视情况限制其业务范围、责令停止接受新业务或者取消一定年度财政补贴险种业务资格。</w:t>
      </w: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第三十</w:t>
      </w:r>
      <w:r>
        <w:rPr>
          <w:rFonts w:hint="eastAsia" w:ascii="Times New Roman" w:hAnsi="Times New Roman" w:eastAsia="方正黑体_GBK" w:cs="Times New Roman"/>
          <w:color w:val="auto"/>
          <w:sz w:val="32"/>
          <w:szCs w:val="20"/>
          <w:highlight w:val="none"/>
          <w:lang w:val="en-US" w:eastAsia="zh-CN"/>
        </w:rPr>
        <w:t>四</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有关部门及其工作人员在保费补贴资金管理工作中，存在违反本</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规定以及其他滥用职权、玩忽职守、徇私舞弊等违法违规行为的，依法追究相应责任；涉嫌犯罪的，依法移送有关机关处理。</w:t>
      </w:r>
    </w:p>
    <w:p>
      <w:pPr>
        <w:spacing w:line="578" w:lineRule="exact"/>
        <w:ind w:firstLine="640" w:firstLineChars="200"/>
        <w:rPr>
          <w:rFonts w:hint="eastAsia" w:ascii="Times New Roman" w:hAnsi="Times New Roman" w:eastAsia="方正仿宋_GBK" w:cs="Times New Roman"/>
          <w:color w:val="auto"/>
          <w:sz w:val="32"/>
          <w:szCs w:val="20"/>
          <w:highlight w:val="none"/>
        </w:rPr>
      </w:pPr>
    </w:p>
    <w:p>
      <w:pPr>
        <w:numPr>
          <w:ilvl w:val="0"/>
          <w:numId w:val="1"/>
        </w:numPr>
        <w:spacing w:line="578" w:lineRule="exact"/>
        <w:ind w:left="0" w:leftChars="0" w:firstLine="0" w:firstLineChars="0"/>
        <w:jc w:val="center"/>
        <w:rPr>
          <w:rFonts w:hint="eastAsia" w:ascii="Times New Roman" w:hAnsi="Times New Roman" w:eastAsia="方正黑体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 xml:space="preserve"> 附则</w:t>
      </w:r>
    </w:p>
    <w:p>
      <w:pPr>
        <w:pStyle w:val="2"/>
        <w:numPr>
          <w:ilvl w:val="0"/>
          <w:numId w:val="0"/>
        </w:numPr>
        <w:ind w:leftChars="0"/>
      </w:pP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sz w:val="32"/>
          <w:szCs w:val="20"/>
          <w:highlight w:val="none"/>
        </w:rPr>
        <w:t>第三十</w:t>
      </w:r>
      <w:r>
        <w:rPr>
          <w:rFonts w:hint="eastAsia" w:ascii="Times New Roman" w:hAnsi="Times New Roman" w:eastAsia="方正黑体_GBK" w:cs="Times New Roman"/>
          <w:color w:val="auto"/>
          <w:sz w:val="32"/>
          <w:szCs w:val="20"/>
          <w:highlight w:val="none"/>
          <w:lang w:val="en-US" w:eastAsia="zh-CN"/>
        </w:rPr>
        <w:t>五</w:t>
      </w:r>
      <w:r>
        <w:rPr>
          <w:rFonts w:hint="eastAsia" w:ascii="Times New Roman" w:hAnsi="Times New Roman" w:eastAsia="方正黑体_GBK" w:cs="Times New Roman"/>
          <w:color w:val="auto"/>
          <w:sz w:val="32"/>
          <w:szCs w:val="20"/>
          <w:highlight w:val="none"/>
        </w:rPr>
        <w:t>条</w:t>
      </w:r>
      <w:r>
        <w:rPr>
          <w:rFonts w:hint="eastAsia" w:ascii="Times New Roman" w:hAnsi="Times New Roman" w:eastAsia="方正仿宋_GBK" w:cs="Times New Roman"/>
          <w:color w:val="auto"/>
          <w:sz w:val="32"/>
          <w:szCs w:val="20"/>
          <w:highlight w:val="none"/>
        </w:rPr>
        <w:t xml:space="preserve">  对未纳入本</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补贴险种政策支持范围，但享有</w:t>
      </w:r>
      <w:r>
        <w:rPr>
          <w:rFonts w:hint="eastAsia" w:ascii="Times New Roman" w:hAnsi="Times New Roman" w:eastAsia="方正仿宋_GBK" w:cs="Times New Roman"/>
          <w:color w:val="auto"/>
          <w:sz w:val="32"/>
          <w:szCs w:val="20"/>
          <w:highlight w:val="none"/>
          <w:lang w:eastAsia="zh-CN"/>
        </w:rPr>
        <w:t>区级</w:t>
      </w:r>
      <w:r>
        <w:rPr>
          <w:rFonts w:hint="eastAsia" w:ascii="Times New Roman" w:hAnsi="Times New Roman" w:eastAsia="方正仿宋_GBK" w:cs="Times New Roman"/>
          <w:color w:val="auto"/>
          <w:sz w:val="32"/>
          <w:szCs w:val="20"/>
          <w:highlight w:val="none"/>
        </w:rPr>
        <w:t>财政补贴支持的农</w:t>
      </w:r>
      <w:bookmarkStart w:id="0" w:name="_GoBack"/>
      <w:bookmarkEnd w:id="0"/>
      <w:r>
        <w:rPr>
          <w:rFonts w:hint="eastAsia" w:ascii="Times New Roman" w:hAnsi="Times New Roman" w:eastAsia="方正仿宋_GBK" w:cs="Times New Roman"/>
          <w:color w:val="auto"/>
          <w:sz w:val="32"/>
          <w:szCs w:val="20"/>
          <w:highlight w:val="none"/>
        </w:rPr>
        <w:t>业保险业务，可参照本</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执行。</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rPr>
        <w:t>对纳入本</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的补贴险种，承保机构已在</w:t>
      </w:r>
      <w:r>
        <w:rPr>
          <w:rFonts w:hint="default" w:ascii="Times New Roman" w:hAnsi="Times New Roman" w:eastAsia="方正仿宋_GBK" w:cs="Times New Roman"/>
          <w:color w:val="auto"/>
          <w:sz w:val="32"/>
          <w:szCs w:val="20"/>
          <w:highlight w:val="none"/>
        </w:rPr>
        <w:t>2022</w:t>
      </w:r>
      <w:r>
        <w:rPr>
          <w:rFonts w:hint="eastAsia" w:ascii="Times New Roman" w:hAnsi="Times New Roman" w:eastAsia="方正仿宋_GBK" w:cs="Times New Roman"/>
          <w:color w:val="auto"/>
          <w:sz w:val="32"/>
          <w:szCs w:val="20"/>
          <w:highlight w:val="none"/>
        </w:rPr>
        <w:t>年签单生效的业务，参照本</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8" w:lineRule="exact"/>
        <w:ind w:left="0" w:leftChars="0" w:right="0" w:rightChars="0" w:firstLine="0"/>
        <w:jc w:val="left"/>
        <w:textAlignment w:val="auto"/>
        <w:outlineLvl w:val="9"/>
        <w:rPr>
          <w:rFonts w:hint="default" w:ascii="Times New Roman" w:hAnsi="Times New Roman" w:eastAsia="方正仿宋_GBK" w:cs="Times New Roman"/>
          <w:color w:val="auto"/>
          <w:kern w:val="2"/>
          <w:sz w:val="32"/>
          <w:highlight w:val="none"/>
          <w:lang w:val="en-US" w:eastAsia="zh-CN" w:bidi="ar-SA"/>
        </w:rPr>
      </w:pPr>
      <w:r>
        <w:rPr>
          <w:rFonts w:hint="eastAsia" w:ascii="Times New Roman" w:hAnsi="Times New Roman" w:eastAsia="方正黑体_GBK" w:cs="Times New Roman"/>
          <w:color w:val="auto"/>
          <w:kern w:val="2"/>
          <w:sz w:val="32"/>
          <w:highlight w:val="none"/>
          <w:lang w:val="en-US" w:eastAsia="zh-CN" w:bidi="ar-SA"/>
        </w:rPr>
        <w:t xml:space="preserve">    第三十六条  </w:t>
      </w:r>
      <w:r>
        <w:rPr>
          <w:rFonts w:hint="eastAsia" w:ascii="Times New Roman" w:hAnsi="Times New Roman" w:eastAsia="方正仿宋_GBK" w:cs="Times New Roman"/>
          <w:color w:val="auto"/>
          <w:kern w:val="2"/>
          <w:sz w:val="32"/>
          <w:highlight w:val="none"/>
          <w:lang w:val="en-US" w:eastAsia="zh-CN" w:bidi="ar-SA"/>
        </w:rPr>
        <w:t>本实施细则由区财政局负责解释。</w:t>
      </w:r>
      <w:r>
        <w:rPr>
          <w:rFonts w:hint="default" w:ascii="Times New Roman" w:hAnsi="Times New Roman" w:eastAsia="方正仿宋_GBK" w:cs="Times New Roman"/>
          <w:color w:val="auto"/>
          <w:kern w:val="2"/>
          <w:sz w:val="32"/>
          <w:highlight w:val="none"/>
          <w:lang w:val="en-US" w:eastAsia="zh-CN" w:bidi="ar-SA"/>
        </w:rPr>
        <w:t>本相关法律法规、政策依据变化或有效期届满时，根据实际情况适时修订。</w:t>
      </w:r>
      <w:r>
        <w:rPr>
          <w:rFonts w:hint="eastAsia" w:ascii="Times New Roman" w:hAnsi="Times New Roman" w:eastAsia="方正仿宋_GBK" w:cs="Times New Roman"/>
          <w:color w:val="auto"/>
          <w:kern w:val="2"/>
          <w:sz w:val="32"/>
          <w:highlight w:val="none"/>
          <w:lang w:val="en-US" w:eastAsia="zh-CN" w:bidi="ar-SA"/>
        </w:rPr>
        <w:t>若遇上级政策调整变化，以最新政策为准。</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Times New Roman" w:hAnsi="Times New Roman" w:eastAsia="方正仿宋_GBK" w:cs="Times New Roman"/>
          <w:color w:val="auto"/>
          <w:sz w:val="32"/>
          <w:szCs w:val="20"/>
          <w:highlight w:val="none"/>
        </w:rPr>
      </w:pPr>
      <w:r>
        <w:rPr>
          <w:rFonts w:hint="eastAsia" w:ascii="Times New Roman" w:hAnsi="Times New Roman" w:eastAsia="方正黑体_GBK" w:cs="Times New Roman"/>
          <w:color w:val="auto"/>
          <w:kern w:val="2"/>
          <w:sz w:val="32"/>
          <w:szCs w:val="20"/>
          <w:highlight w:val="none"/>
          <w:lang w:val="en-US" w:eastAsia="zh-CN" w:bidi="ar-SA"/>
        </w:rPr>
        <w:t xml:space="preserve">第三十七条 </w:t>
      </w:r>
      <w:r>
        <w:rPr>
          <w:rFonts w:hint="eastAsia" w:ascii="Times New Roman" w:hAnsi="Times New Roman" w:eastAsia="方正仿宋_GBK" w:cs="Times New Roman"/>
          <w:color w:val="auto"/>
          <w:sz w:val="32"/>
          <w:szCs w:val="20"/>
          <w:highlight w:val="none"/>
        </w:rPr>
        <w:t xml:space="preserve"> 本</w:t>
      </w:r>
      <w:r>
        <w:rPr>
          <w:rFonts w:hint="eastAsia" w:ascii="Times New Roman" w:hAnsi="Times New Roman" w:eastAsia="方正仿宋_GBK" w:cs="Times New Roman"/>
          <w:color w:val="auto"/>
          <w:sz w:val="32"/>
          <w:szCs w:val="20"/>
          <w:highlight w:val="none"/>
          <w:lang w:eastAsia="zh-CN"/>
        </w:rPr>
        <w:t>实施细则</w:t>
      </w:r>
      <w:r>
        <w:rPr>
          <w:rFonts w:hint="eastAsia" w:ascii="Times New Roman" w:hAnsi="Times New Roman" w:eastAsia="方正仿宋_GBK" w:cs="Times New Roman"/>
          <w:color w:val="auto"/>
          <w:sz w:val="32"/>
          <w:szCs w:val="20"/>
          <w:highlight w:val="none"/>
        </w:rPr>
        <w:t>自印发之日起施行。</w:t>
      </w:r>
    </w:p>
    <w:p>
      <w:pPr>
        <w:spacing w:line="578" w:lineRule="exact"/>
        <w:ind w:firstLine="640" w:firstLineChars="200"/>
        <w:rPr>
          <w:rFonts w:hint="eastAsia" w:ascii="Times New Roman" w:hAnsi="Times New Roman" w:eastAsia="方正仿宋_GBK" w:cs="Times New Roman"/>
          <w:color w:val="auto"/>
          <w:sz w:val="32"/>
          <w:szCs w:val="20"/>
          <w:highlight w:val="none"/>
        </w:rPr>
      </w:pPr>
    </w:p>
    <w:p>
      <w:pPr>
        <w:spacing w:line="578" w:lineRule="exact"/>
        <w:ind w:firstLine="640" w:firstLineChars="200"/>
        <w:rPr>
          <w:rFonts w:hint="eastAsia" w:ascii="Times New Roman" w:hAnsi="Times New Roman" w:eastAsia="方正仿宋_GBK" w:cs="Times New Roman"/>
          <w:color w:val="auto"/>
          <w:sz w:val="32"/>
          <w:szCs w:val="20"/>
          <w:highlight w:val="none"/>
        </w:rPr>
      </w:pPr>
      <w:r>
        <w:rPr>
          <w:rFonts w:hint="eastAsia" w:ascii="Times New Roman" w:hAnsi="Times New Roman" w:eastAsia="方正仿宋_GBK" w:cs="Times New Roman"/>
          <w:color w:val="auto"/>
          <w:sz w:val="32"/>
          <w:szCs w:val="20"/>
          <w:highlight w:val="none"/>
        </w:rPr>
        <w:t>附件：</w:t>
      </w:r>
      <w:r>
        <w:rPr>
          <w:rFonts w:hint="default" w:ascii="Times New Roman" w:hAnsi="Times New Roman" w:eastAsia="方正仿宋_GBK" w:cs="Times New Roman"/>
          <w:color w:val="auto"/>
          <w:sz w:val="32"/>
          <w:szCs w:val="20"/>
          <w:highlight w:val="none"/>
          <w:lang w:val="en-US" w:eastAsia="zh-CN"/>
        </w:rPr>
        <w:t>1</w:t>
      </w:r>
      <w:r>
        <w:rPr>
          <w:rFonts w:hint="eastAsia" w:ascii="Times New Roman" w:hAnsi="Times New Roman" w:eastAsia="方正仿宋_GBK" w:cs="Times New Roman"/>
          <w:color w:val="auto"/>
          <w:sz w:val="32"/>
          <w:szCs w:val="20"/>
          <w:highlight w:val="none"/>
        </w:rPr>
        <w:t>.农业保险保费补贴资金申请表</w:t>
      </w:r>
    </w:p>
    <w:p>
      <w:pPr>
        <w:spacing w:line="578" w:lineRule="exact"/>
        <w:ind w:firstLine="1600" w:firstLineChars="5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lang w:val="en-US" w:eastAsia="zh-CN"/>
        </w:rPr>
        <w:t>2</w:t>
      </w:r>
      <w:r>
        <w:rPr>
          <w:rFonts w:hint="eastAsia" w:ascii="Times New Roman" w:hAnsi="Times New Roman" w:eastAsia="方正仿宋_GBK" w:cs="Times New Roman"/>
          <w:color w:val="auto"/>
          <w:sz w:val="32"/>
          <w:szCs w:val="20"/>
          <w:highlight w:val="none"/>
        </w:rPr>
        <w:t>.农业保险保费补贴资金结算套表</w:t>
      </w:r>
    </w:p>
    <w:p>
      <w:pPr>
        <w:spacing w:line="578" w:lineRule="exact"/>
        <w:ind w:firstLine="1600" w:firstLineChars="5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lang w:val="en-US" w:eastAsia="zh-CN"/>
        </w:rPr>
        <w:t>3</w:t>
      </w:r>
      <w:r>
        <w:rPr>
          <w:rFonts w:hint="eastAsia" w:ascii="Times New Roman" w:hAnsi="Times New Roman" w:eastAsia="方正仿宋_GBK" w:cs="Times New Roman"/>
          <w:color w:val="auto"/>
          <w:sz w:val="32"/>
          <w:szCs w:val="20"/>
          <w:highlight w:val="none"/>
        </w:rPr>
        <w:t>.农业保险保费补贴资金测算表</w:t>
      </w:r>
    </w:p>
    <w:p>
      <w:pPr>
        <w:spacing w:line="578" w:lineRule="exact"/>
        <w:ind w:firstLine="1600" w:firstLineChars="5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lang w:val="en-US" w:eastAsia="zh-CN"/>
        </w:rPr>
        <w:t>4</w:t>
      </w:r>
      <w:r>
        <w:rPr>
          <w:rFonts w:hint="eastAsia" w:ascii="Times New Roman" w:hAnsi="Times New Roman" w:eastAsia="方正仿宋_GBK" w:cs="Times New Roman"/>
          <w:color w:val="auto"/>
          <w:sz w:val="32"/>
          <w:szCs w:val="20"/>
          <w:highlight w:val="none"/>
        </w:rPr>
        <w:t>.农业保险保费补贴综合绩效评价指标表</w:t>
      </w:r>
    </w:p>
    <w:p>
      <w:pPr>
        <w:spacing w:line="578" w:lineRule="exact"/>
        <w:ind w:firstLine="1600" w:firstLineChars="500"/>
        <w:rPr>
          <w:rFonts w:hint="eastAsia" w:ascii="Times New Roman" w:hAnsi="Times New Roman" w:eastAsia="方正仿宋_GBK" w:cs="Times New Roman"/>
          <w:color w:val="auto"/>
          <w:sz w:val="32"/>
          <w:szCs w:val="20"/>
          <w:highlight w:val="none"/>
        </w:rPr>
      </w:pPr>
      <w:r>
        <w:rPr>
          <w:rFonts w:hint="default" w:ascii="Times New Roman" w:hAnsi="Times New Roman" w:eastAsia="方正仿宋_GBK" w:cs="Times New Roman"/>
          <w:color w:val="auto"/>
          <w:sz w:val="32"/>
          <w:szCs w:val="20"/>
          <w:highlight w:val="none"/>
          <w:lang w:val="en-US" w:eastAsia="zh-CN"/>
        </w:rPr>
        <w:t>5</w:t>
      </w:r>
      <w:r>
        <w:rPr>
          <w:rFonts w:hint="eastAsia" w:ascii="Times New Roman" w:hAnsi="Times New Roman" w:eastAsia="方正仿宋_GBK" w:cs="Times New Roman"/>
          <w:color w:val="auto"/>
          <w:sz w:val="32"/>
          <w:szCs w:val="20"/>
          <w:highlight w:val="none"/>
        </w:rPr>
        <w:t>.农业保险承保理赔统计情况套表</w:t>
      </w:r>
    </w:p>
    <w:p>
      <w:pPr>
        <w:pStyle w:val="2"/>
        <w:rPr>
          <w:rFonts w:hint="eastAsia" w:ascii="Times New Roman" w:hAnsi="Times New Roman" w:eastAsia="方正仿宋_GBK" w:cs="Times New Roman"/>
          <w:color w:val="auto"/>
          <w:sz w:val="32"/>
          <w:szCs w:val="20"/>
          <w:highlight w:val="none"/>
        </w:rPr>
      </w:pPr>
    </w:p>
    <w:p>
      <w:pPr>
        <w:pStyle w:val="2"/>
        <w:rPr>
          <w:rFonts w:hint="eastAsia" w:ascii="Times New Roman" w:hAnsi="Times New Roman" w:eastAsia="方正仿宋_GBK" w:cs="Times New Roman"/>
          <w:color w:val="auto"/>
          <w:sz w:val="32"/>
          <w:szCs w:val="20"/>
          <w:highlight w:val="none"/>
        </w:rPr>
      </w:pPr>
    </w:p>
    <w:tbl>
      <w:tblPr>
        <w:tblStyle w:val="9"/>
        <w:tblW w:w="76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0"/>
        <w:gridCol w:w="4235"/>
        <w:gridCol w:w="3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95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32"/>
                <w:szCs w:val="32"/>
                <w:u w:val="none"/>
                <w:lang w:val="en-US" w:eastAsia="zh-CN" w:bidi="ar"/>
              </w:rPr>
              <w:t>附件1</w:t>
            </w:r>
          </w:p>
        </w:tc>
        <w:tc>
          <w:tcPr>
            <w:tcW w:w="3199" w:type="dxa"/>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3482" w:type="dxa"/>
            <w:tcBorders>
              <w:top w:val="nil"/>
              <w:left w:val="nil"/>
              <w:bottom w:val="nil"/>
              <w:right w:val="nil"/>
            </w:tcBorders>
            <w:shd w:val="clear" w:color="auto" w:fill="auto"/>
            <w:noWrap/>
            <w:vAlign w:val="center"/>
          </w:tcPr>
          <w:p>
            <w:pP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农业保险保费补贴资金申请表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楷体_GBK" w:hAnsi="方正楷体_GBK" w:eastAsia="方正楷体_GBK" w:cs="方正楷体_GBK"/>
                <w:i w:val="0"/>
                <w:iCs w:val="0"/>
                <w:color w:val="000000"/>
                <w:sz w:val="22"/>
                <w:szCs w:val="22"/>
                <w:u w:val="none"/>
              </w:rPr>
            </w:pPr>
            <w:r>
              <w:rPr>
                <w:rFonts w:hint="eastAsia" w:ascii="方正楷体_GBK" w:hAnsi="方正楷体_GBK" w:eastAsia="方正楷体_GBK" w:cs="方正楷体_GBK"/>
                <w:i w:val="0"/>
                <w:iCs w:val="0"/>
                <w:color w:val="000000"/>
                <w:kern w:val="0"/>
                <w:sz w:val="22"/>
                <w:szCs w:val="22"/>
                <w:u w:val="none"/>
                <w:lang w:val="en-US" w:eastAsia="zh-CN" w:bidi="ar"/>
              </w:rPr>
              <w:t>填报时间：</w:t>
            </w:r>
          </w:p>
        </w:tc>
        <w:tc>
          <w:tcPr>
            <w:tcW w:w="0" w:type="auto"/>
            <w:tcBorders>
              <w:top w:val="nil"/>
              <w:left w:val="nil"/>
              <w:bottom w:val="nil"/>
              <w:right w:val="nil"/>
            </w:tcBorders>
            <w:shd w:val="clear" w:color="auto" w:fill="auto"/>
            <w:noWrap/>
            <w:vAlign w:val="center"/>
          </w:tcPr>
          <w:p>
            <w:pPr>
              <w:jc w:val="right"/>
              <w:rPr>
                <w:rFonts w:hint="eastAsia" w:ascii="方正楷体_GBK" w:hAnsi="方正楷体_GBK" w:eastAsia="方正楷体_GBK" w:cs="方正楷体_GBK"/>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方正楷体_GBK" w:hAnsi="方正楷体_GBK" w:eastAsia="方正楷体_GBK" w:cs="方正楷体_GBK"/>
                <w:i w:val="0"/>
                <w:iCs w:val="0"/>
                <w:color w:val="000000"/>
                <w:sz w:val="22"/>
                <w:szCs w:val="22"/>
                <w:u w:val="none"/>
              </w:rPr>
            </w:pPr>
            <w:r>
              <w:rPr>
                <w:rFonts w:hint="eastAsia" w:ascii="方正楷体_GBK" w:hAnsi="方正楷体_GBK" w:eastAsia="方正楷体_GBK" w:cs="方正楷体_GBK"/>
                <w:i w:val="0"/>
                <w:iCs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承保机构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保单签订期间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当期保单签订笔数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当期签单保费数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其中：已收取农户应缴保费数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其中：脱贫户、监测户应缴保费数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保费收入资金匹配申请数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其中：中央财政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市级财政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95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区级财政</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0" w:type="auto"/>
            <w:gridSpan w:val="2"/>
            <w:tcBorders>
              <w:top w:val="single" w:color="auto" w:sz="4" w:space="0"/>
              <w:left w:val="single" w:color="auto" w:sz="4" w:space="0"/>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auto" w:sz="4" w:space="0"/>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0" w:type="auto"/>
            <w:gridSpan w:val="2"/>
            <w:tcBorders>
              <w:top w:val="nil"/>
              <w:left w:val="single" w:color="auto"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承保机构申请意见</w:t>
            </w:r>
          </w:p>
        </w:tc>
        <w:tc>
          <w:tcPr>
            <w:tcW w:w="0" w:type="auto"/>
            <w:tcBorders>
              <w:top w:val="nil"/>
              <w:left w:val="nil"/>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0" w:type="auto"/>
            <w:gridSpan w:val="2"/>
            <w:tcBorders>
              <w:top w:val="nil"/>
              <w:left w:val="single" w:color="auto" w:sz="4" w:space="0"/>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部门（科室）有关负责人: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auto" w:sz="4" w:space="0"/>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（签章）</w:t>
            </w:r>
          </w:p>
        </w:tc>
        <w:tc>
          <w:tcPr>
            <w:tcW w:w="0" w:type="auto"/>
            <w:tcBorders>
              <w:top w:val="nil"/>
              <w:left w:val="nil"/>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0" w:type="auto"/>
            <w:gridSpan w:val="2"/>
            <w:tcBorders>
              <w:top w:val="nil"/>
              <w:left w:val="single" w:color="auto" w:sz="4" w:space="0"/>
              <w:bottom w:val="nil"/>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单位有关负责人: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0" w:type="auto"/>
            <w:gridSpan w:val="2"/>
            <w:tcBorders>
              <w:top w:val="nil"/>
              <w:left w:val="single" w:color="auto" w:sz="4" w:space="0"/>
              <w:bottom w:val="single" w:color="auto" w:sz="4" w:space="0"/>
              <w:right w:val="nil"/>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0" w:type="auto"/>
            <w:gridSpan w:val="2"/>
            <w:tcBorders>
              <w:top w:val="single" w:color="auto"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主管部门审核意见</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科室有关负责人: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（签章）</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单位有关负责人: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0" w:type="auto"/>
            <w:gridSpan w:val="2"/>
            <w:tcBorders>
              <w:top w:val="single" w:color="000000" w:sz="4" w:space="0"/>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财政部门资金拨付意见</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科室有关负责人: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（签章）</w:t>
            </w: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0" w:type="auto"/>
            <w:gridSpan w:val="2"/>
            <w:tcBorders>
              <w:top w:val="nil"/>
              <w:left w:val="single" w:color="000000" w:sz="4" w:space="0"/>
              <w:bottom w:val="nil"/>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单位有关负责人: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bl>
    <w:p>
      <w:pPr>
        <w:pStyle w:val="2"/>
        <w:rPr>
          <w:rFonts w:hint="eastAsia" w:ascii="Times New Roman" w:hAnsi="Times New Roman" w:eastAsia="方正仿宋_GBK" w:cs="Times New Roman"/>
          <w:color w:val="auto"/>
          <w:sz w:val="32"/>
          <w:szCs w:val="20"/>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578" w:lineRule="exact"/>
        <w:rPr>
          <w:color w:val="auto"/>
          <w:highlight w:val="none"/>
        </w:rPr>
      </w:pPr>
    </w:p>
    <w:tbl>
      <w:tblPr>
        <w:tblStyle w:val="9"/>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46"/>
        <w:gridCol w:w="433"/>
        <w:gridCol w:w="433"/>
        <w:gridCol w:w="433"/>
        <w:gridCol w:w="433"/>
        <w:gridCol w:w="433"/>
        <w:gridCol w:w="433"/>
        <w:gridCol w:w="3344"/>
        <w:gridCol w:w="433"/>
        <w:gridCol w:w="433"/>
        <w:gridCol w:w="433"/>
        <w:gridCol w:w="433"/>
        <w:gridCol w:w="433"/>
        <w:gridCol w:w="433"/>
        <w:gridCol w:w="434"/>
        <w:gridCol w:w="1122"/>
        <w:gridCol w:w="434"/>
        <w:gridCol w:w="434"/>
        <w:gridCol w:w="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9" w:type="pct"/>
            <w:tcBorders>
              <w:top w:val="nil"/>
              <w:left w:val="nil"/>
              <w:bottom w:val="nil"/>
              <w:right w:val="nil"/>
            </w:tcBorders>
            <w:noWrap/>
            <w:vAlign w:val="bottom"/>
          </w:tcPr>
          <w:p>
            <w:pPr>
              <w:keepNext w:val="0"/>
              <w:keepLines w:val="0"/>
              <w:widowControl/>
              <w:suppressLineNumbers w:val="0"/>
              <w:jc w:val="left"/>
              <w:textAlignment w:val="bottom"/>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32"/>
                <w:szCs w:val="32"/>
                <w:u w:val="none"/>
                <w:lang w:val="en-US" w:eastAsia="zh-CN" w:bidi="ar"/>
              </w:rPr>
              <w:t>附件2-1</w:t>
            </w:r>
          </w:p>
        </w:tc>
        <w:tc>
          <w:tcPr>
            <w:tcW w:w="307"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307"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82"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9"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9"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9"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752"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9"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9"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9"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4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70"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000" w:type="pct"/>
            <w:gridSpan w:val="19"/>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农业保险保费补贴结算表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99" w:type="pct"/>
            <w:tcBorders>
              <w:top w:val="nil"/>
              <w:left w:val="nil"/>
              <w:bottom w:val="nil"/>
              <w:right w:val="nil"/>
            </w:tcBorders>
            <w:noWrap/>
            <w:vAlign w:val="center"/>
          </w:tcPr>
          <w:p>
            <w:pPr>
              <w:keepNext w:val="0"/>
              <w:keepLines w:val="0"/>
              <w:widowControl/>
              <w:suppressLineNumbers w:val="0"/>
              <w:jc w:val="left"/>
              <w:textAlignment w:val="center"/>
              <w:rPr>
                <w:rFonts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填报单位（公章）：</w:t>
            </w:r>
          </w:p>
        </w:tc>
        <w:tc>
          <w:tcPr>
            <w:tcW w:w="307"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307"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82"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9"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9"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9"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752" w:type="pct"/>
            <w:tcBorders>
              <w:top w:val="nil"/>
              <w:left w:val="nil"/>
              <w:bottom w:val="nil"/>
              <w:right w:val="nil"/>
            </w:tcBorders>
            <w:noWrap/>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单位：元/亩（头），万亩，万头，万元</w:t>
            </w:r>
          </w:p>
        </w:tc>
        <w:tc>
          <w:tcPr>
            <w:tcW w:w="219"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9"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9"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70"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70"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70"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70"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46" w:type="pct"/>
            <w:tcBorders>
              <w:top w:val="nil"/>
              <w:left w:val="nil"/>
              <w:bottom w:val="nil"/>
              <w:right w:val="nil"/>
            </w:tcBorders>
            <w:noWrap/>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填报日期：</w:t>
            </w:r>
          </w:p>
        </w:tc>
        <w:tc>
          <w:tcPr>
            <w:tcW w:w="170"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70"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70"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9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品种</w:t>
            </w:r>
          </w:p>
        </w:tc>
        <w:tc>
          <w:tcPr>
            <w:tcW w:w="30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种植面积／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存栏数量</w:t>
            </w:r>
          </w:p>
        </w:tc>
        <w:tc>
          <w:tcPr>
            <w:tcW w:w="30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投保面积／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投保数量</w:t>
            </w:r>
          </w:p>
        </w:tc>
        <w:tc>
          <w:tcPr>
            <w:tcW w:w="18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参保率</w:t>
            </w:r>
          </w:p>
        </w:tc>
        <w:tc>
          <w:tcPr>
            <w:tcW w:w="2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单位保额</w:t>
            </w:r>
          </w:p>
        </w:tc>
        <w:tc>
          <w:tcPr>
            <w:tcW w:w="2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直接物化成本</w:t>
            </w:r>
          </w:p>
        </w:tc>
        <w:tc>
          <w:tcPr>
            <w:tcW w:w="2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土地成本</w:t>
            </w:r>
          </w:p>
        </w:tc>
        <w:tc>
          <w:tcPr>
            <w:tcW w:w="75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人工成本</w:t>
            </w:r>
          </w:p>
        </w:tc>
        <w:tc>
          <w:tcPr>
            <w:tcW w:w="2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保险费率</w:t>
            </w:r>
          </w:p>
        </w:tc>
        <w:tc>
          <w:tcPr>
            <w:tcW w:w="2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单位保费</w:t>
            </w:r>
          </w:p>
        </w:tc>
        <w:tc>
          <w:tcPr>
            <w:tcW w:w="2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保费规模</w:t>
            </w:r>
          </w:p>
        </w:tc>
        <w:tc>
          <w:tcPr>
            <w:tcW w:w="34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中央财政补贴</w:t>
            </w:r>
          </w:p>
        </w:tc>
        <w:tc>
          <w:tcPr>
            <w:tcW w:w="34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市级财政补贴</w:t>
            </w:r>
          </w:p>
        </w:tc>
        <w:tc>
          <w:tcPr>
            <w:tcW w:w="41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区县财政补贴</w:t>
            </w:r>
          </w:p>
        </w:tc>
        <w:tc>
          <w:tcPr>
            <w:tcW w:w="34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农户自缴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9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比例</w:t>
            </w: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比例</w:t>
            </w: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比例</w:t>
            </w: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一、中央补贴险种合计</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（一）种植业合计</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1.稻谷</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2.小麦</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3.玉米</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4.油菜</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5.大豆</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6.马铃薯</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7.稻谷制种</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8.玉米制种</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（二）养殖业合计</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9.能繁母猪</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10.育肥猪</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11.奶牛</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（三）林业合计</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12.公益林</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13.商品林</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二、市级补贴险种合计</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14.柑橘成本保险</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15.生猪收益保险</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16.稻谷完全成本补充保险</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17.玉米完全成本补充保险</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18.马铃薯完全成本补充保险</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19.区县优势特色农产品保险</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20.脱贫户、监测户优惠政策</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6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合计金额</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000" w:type="pct"/>
            <w:gridSpan w:val="19"/>
            <w:tcBorders>
              <w:top w:val="single" w:color="000000" w:sz="4" w:space="0"/>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楷体_GBK" w:hAnsi="方正楷体_GBK" w:eastAsia="方正楷体_GBK" w:cs="方正楷体_GBK"/>
                <w:i w:val="0"/>
                <w:color w:val="000000"/>
                <w:sz w:val="24"/>
                <w:szCs w:val="24"/>
                <w:u w:val="none"/>
              </w:rPr>
            </w:pPr>
            <w:r>
              <w:rPr>
                <w:rFonts w:hint="eastAsia" w:ascii="方正楷体_GBK" w:hAnsi="方正楷体_GBK" w:eastAsia="方正楷体_GBK" w:cs="方正楷体_GBK"/>
                <w:i w:val="0"/>
                <w:color w:val="000000"/>
                <w:kern w:val="0"/>
                <w:sz w:val="24"/>
                <w:szCs w:val="24"/>
                <w:u w:val="none"/>
                <w:lang w:val="en-US" w:eastAsia="zh-CN" w:bidi="ar"/>
              </w:rPr>
              <w:t>注：1.填报数据中“种植面积／存栏数量”、“投保面积／投保数量”栏保留4位小数，其他栏保留2位小数。</w:t>
            </w:r>
            <w:r>
              <w:rPr>
                <w:rFonts w:hint="eastAsia" w:ascii="方正楷体_GBK" w:hAnsi="方正楷体_GBK" w:eastAsia="方正楷体_GBK" w:cs="方正楷体_GBK"/>
                <w:i w:val="0"/>
                <w:color w:val="000000"/>
                <w:kern w:val="0"/>
                <w:sz w:val="24"/>
                <w:szCs w:val="24"/>
                <w:u w:val="none"/>
                <w:lang w:val="en-US" w:eastAsia="zh-CN" w:bidi="ar"/>
              </w:rPr>
              <w:br w:type="textWrapping"/>
            </w:r>
            <w:r>
              <w:rPr>
                <w:rFonts w:hint="eastAsia" w:ascii="方正楷体_GBK" w:hAnsi="方正楷体_GBK" w:eastAsia="方正楷体_GBK" w:cs="方正楷体_GBK"/>
                <w:i w:val="0"/>
                <w:color w:val="000000"/>
                <w:kern w:val="0"/>
                <w:sz w:val="24"/>
                <w:szCs w:val="24"/>
                <w:u w:val="none"/>
                <w:lang w:val="en-US" w:eastAsia="zh-CN" w:bidi="ar"/>
              </w:rPr>
              <w:t xml:space="preserve">        2.填报表内信息时，对未开展的补贴险种留空即可，不可直接删除该栏已有内容。</w:t>
            </w:r>
          </w:p>
        </w:tc>
      </w:tr>
    </w:tbl>
    <w:p>
      <w:pPr>
        <w:bidi w:val="0"/>
        <w:jc w:val="left"/>
      </w:pPr>
    </w:p>
    <w:p>
      <w:pPr>
        <w:pStyle w:val="2"/>
      </w:pPr>
    </w:p>
    <w:p>
      <w:pPr>
        <w:pStyle w:val="2"/>
      </w:pPr>
    </w:p>
    <w:p>
      <w:pPr>
        <w:pStyle w:val="2"/>
      </w:pPr>
    </w:p>
    <w:p>
      <w:pPr>
        <w:pStyle w:val="2"/>
      </w:pPr>
    </w:p>
    <w:p>
      <w:pPr>
        <w:pStyle w:val="2"/>
      </w:pPr>
    </w:p>
    <w:p>
      <w:pPr>
        <w:pStyle w:val="2"/>
      </w:pPr>
    </w:p>
    <w:p>
      <w:pPr>
        <w:pStyle w:val="2"/>
      </w:pPr>
    </w:p>
    <w:p>
      <w:pPr>
        <w:pStyle w:val="2"/>
      </w:pPr>
    </w:p>
    <w:tbl>
      <w:tblPr>
        <w:tblStyle w:val="9"/>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77"/>
        <w:gridCol w:w="952"/>
        <w:gridCol w:w="928"/>
        <w:gridCol w:w="835"/>
        <w:gridCol w:w="3671"/>
        <w:gridCol w:w="835"/>
        <w:gridCol w:w="835"/>
        <w:gridCol w:w="736"/>
        <w:gridCol w:w="741"/>
        <w:gridCol w:w="1217"/>
        <w:gridCol w:w="1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2" w:type="pct"/>
            <w:tcBorders>
              <w:top w:val="nil"/>
              <w:left w:val="nil"/>
              <w:bottom w:val="nil"/>
              <w:right w:val="nil"/>
            </w:tcBorders>
            <w:noWrap/>
            <w:vAlign w:val="bottom"/>
          </w:tcPr>
          <w:p>
            <w:pPr>
              <w:keepNext w:val="0"/>
              <w:keepLines w:val="0"/>
              <w:widowControl/>
              <w:suppressLineNumbers w:val="0"/>
              <w:jc w:val="left"/>
              <w:textAlignment w:val="bottom"/>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附件2-2</w:t>
            </w:r>
          </w:p>
        </w:tc>
        <w:tc>
          <w:tcPr>
            <w:tcW w:w="359"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351"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31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387"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31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31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78"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79"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459"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451"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区县优势特色农产品保险情况表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2" w:type="pct"/>
            <w:gridSpan w:val="2"/>
            <w:tcBorders>
              <w:top w:val="nil"/>
              <w:left w:val="nil"/>
              <w:bottom w:val="single" w:color="000000" w:sz="4" w:space="0"/>
              <w:right w:val="nil"/>
            </w:tcBorders>
            <w:noWrap/>
            <w:vAlign w:val="center"/>
          </w:tcPr>
          <w:p>
            <w:pPr>
              <w:keepNext w:val="0"/>
              <w:keepLines w:val="0"/>
              <w:widowControl/>
              <w:suppressLineNumbers w:val="0"/>
              <w:jc w:val="center"/>
              <w:textAlignment w:val="center"/>
              <w:rPr>
                <w:rFonts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填报单位（公章）：</w:t>
            </w:r>
          </w:p>
        </w:tc>
        <w:tc>
          <w:tcPr>
            <w:tcW w:w="351" w:type="pct"/>
            <w:tcBorders>
              <w:top w:val="nil"/>
              <w:left w:val="nil"/>
              <w:bottom w:val="nil"/>
              <w:right w:val="nil"/>
            </w:tcBorders>
            <w:noWrap/>
            <w:vAlign w:val="center"/>
          </w:tcPr>
          <w:p>
            <w:pPr>
              <w:jc w:val="left"/>
              <w:rPr>
                <w:rFonts w:hint="eastAsia" w:ascii="方正楷体_GBK" w:hAnsi="方正楷体_GBK" w:eastAsia="方正楷体_GBK" w:cs="方正楷体_GBK"/>
                <w:i w:val="0"/>
                <w:color w:val="000000"/>
                <w:sz w:val="20"/>
                <w:szCs w:val="20"/>
                <w:u w:val="none"/>
              </w:rPr>
            </w:pPr>
          </w:p>
        </w:tc>
        <w:tc>
          <w:tcPr>
            <w:tcW w:w="316" w:type="pct"/>
            <w:tcBorders>
              <w:top w:val="nil"/>
              <w:left w:val="nil"/>
              <w:bottom w:val="nil"/>
              <w:right w:val="nil"/>
            </w:tcBorders>
            <w:noWrap/>
            <w:vAlign w:val="center"/>
          </w:tcPr>
          <w:p>
            <w:pPr>
              <w:jc w:val="left"/>
              <w:rPr>
                <w:rFonts w:hint="eastAsia" w:ascii="方正楷体_GBK" w:hAnsi="方正楷体_GBK" w:eastAsia="方正楷体_GBK" w:cs="方正楷体_GBK"/>
                <w:i w:val="0"/>
                <w:color w:val="000000"/>
                <w:sz w:val="20"/>
                <w:szCs w:val="20"/>
                <w:u w:val="none"/>
              </w:rPr>
            </w:pPr>
          </w:p>
        </w:tc>
        <w:tc>
          <w:tcPr>
            <w:tcW w:w="1387" w:type="pct"/>
            <w:tcBorders>
              <w:top w:val="nil"/>
              <w:left w:val="nil"/>
              <w:bottom w:val="nil"/>
              <w:right w:val="nil"/>
            </w:tcBorders>
            <w:noWrap/>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单位：元/亩（头），万亩，万头，万元</w:t>
            </w:r>
          </w:p>
        </w:tc>
        <w:tc>
          <w:tcPr>
            <w:tcW w:w="316" w:type="pct"/>
            <w:tcBorders>
              <w:top w:val="nil"/>
              <w:left w:val="nil"/>
              <w:bottom w:val="nil"/>
              <w:right w:val="nil"/>
            </w:tcBorders>
            <w:noWrap/>
            <w:vAlign w:val="center"/>
          </w:tcPr>
          <w:p>
            <w:pPr>
              <w:jc w:val="left"/>
              <w:rPr>
                <w:rFonts w:hint="eastAsia" w:ascii="方正楷体_GBK" w:hAnsi="方正楷体_GBK" w:eastAsia="方正楷体_GBK" w:cs="方正楷体_GBK"/>
                <w:i w:val="0"/>
                <w:color w:val="000000"/>
                <w:sz w:val="20"/>
                <w:szCs w:val="20"/>
                <w:u w:val="none"/>
              </w:rPr>
            </w:pPr>
          </w:p>
        </w:tc>
        <w:tc>
          <w:tcPr>
            <w:tcW w:w="316" w:type="pct"/>
            <w:tcBorders>
              <w:top w:val="nil"/>
              <w:left w:val="nil"/>
              <w:bottom w:val="nil"/>
              <w:right w:val="nil"/>
            </w:tcBorders>
            <w:noWrap/>
            <w:vAlign w:val="center"/>
          </w:tcPr>
          <w:p>
            <w:pPr>
              <w:jc w:val="left"/>
              <w:rPr>
                <w:rFonts w:hint="eastAsia" w:ascii="方正楷体_GBK" w:hAnsi="方正楷体_GBK" w:eastAsia="方正楷体_GBK" w:cs="方正楷体_GBK"/>
                <w:i w:val="0"/>
                <w:color w:val="000000"/>
                <w:sz w:val="20"/>
                <w:szCs w:val="20"/>
                <w:u w:val="none"/>
              </w:rPr>
            </w:pPr>
          </w:p>
        </w:tc>
        <w:tc>
          <w:tcPr>
            <w:tcW w:w="278" w:type="pct"/>
            <w:tcBorders>
              <w:top w:val="nil"/>
              <w:left w:val="nil"/>
              <w:bottom w:val="nil"/>
              <w:right w:val="nil"/>
            </w:tcBorders>
            <w:noWrap/>
            <w:vAlign w:val="center"/>
          </w:tcPr>
          <w:p>
            <w:pPr>
              <w:jc w:val="left"/>
              <w:rPr>
                <w:rFonts w:hint="eastAsia" w:ascii="方正楷体_GBK" w:hAnsi="方正楷体_GBK" w:eastAsia="方正楷体_GBK" w:cs="方正楷体_GBK"/>
                <w:i w:val="0"/>
                <w:color w:val="000000"/>
                <w:sz w:val="20"/>
                <w:szCs w:val="20"/>
                <w:u w:val="none"/>
              </w:rPr>
            </w:pPr>
          </w:p>
        </w:tc>
        <w:tc>
          <w:tcPr>
            <w:tcW w:w="279" w:type="pct"/>
            <w:tcBorders>
              <w:top w:val="nil"/>
              <w:left w:val="nil"/>
              <w:bottom w:val="nil"/>
              <w:right w:val="nil"/>
            </w:tcBorders>
            <w:noWrap/>
            <w:vAlign w:val="center"/>
          </w:tcPr>
          <w:p>
            <w:pPr>
              <w:jc w:val="left"/>
              <w:rPr>
                <w:rFonts w:hint="eastAsia" w:ascii="方正楷体_GBK" w:hAnsi="方正楷体_GBK" w:eastAsia="方正楷体_GBK" w:cs="方正楷体_GBK"/>
                <w:i w:val="0"/>
                <w:color w:val="000000"/>
                <w:sz w:val="20"/>
                <w:szCs w:val="20"/>
                <w:u w:val="none"/>
              </w:rPr>
            </w:pPr>
          </w:p>
        </w:tc>
        <w:tc>
          <w:tcPr>
            <w:tcW w:w="459" w:type="pct"/>
            <w:tcBorders>
              <w:top w:val="nil"/>
              <w:left w:val="nil"/>
              <w:bottom w:val="nil"/>
              <w:right w:val="nil"/>
            </w:tcBorders>
            <w:noWrap/>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填报日期：</w:t>
            </w:r>
          </w:p>
        </w:tc>
        <w:tc>
          <w:tcPr>
            <w:tcW w:w="451" w:type="pct"/>
            <w:tcBorders>
              <w:top w:val="nil"/>
              <w:left w:val="nil"/>
              <w:bottom w:val="nil"/>
              <w:right w:val="nil"/>
            </w:tcBorders>
            <w:noWrap/>
            <w:vAlign w:val="center"/>
          </w:tcPr>
          <w:p>
            <w:pPr>
              <w:jc w:val="left"/>
              <w:rPr>
                <w:rFonts w:hint="eastAsia" w:ascii="方正楷体_GBK" w:hAnsi="方正楷体_GBK" w:eastAsia="方正楷体_GBK" w:cs="方正楷体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48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保险品种名称</w:t>
            </w:r>
          </w:p>
        </w:tc>
        <w:tc>
          <w:tcPr>
            <w:tcW w:w="35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种植面积</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／存栏数量</w:t>
            </w:r>
          </w:p>
        </w:tc>
        <w:tc>
          <w:tcPr>
            <w:tcW w:w="3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投保面积</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／投保数量</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保障水平</w:t>
            </w:r>
          </w:p>
        </w:tc>
        <w:tc>
          <w:tcPr>
            <w:tcW w:w="138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保险费率</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单位保费</w:t>
            </w:r>
          </w:p>
        </w:tc>
        <w:tc>
          <w:tcPr>
            <w:tcW w:w="3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保费规模</w:t>
            </w:r>
          </w:p>
        </w:tc>
        <w:tc>
          <w:tcPr>
            <w:tcW w:w="55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财政补贴</w:t>
            </w:r>
          </w:p>
        </w:tc>
        <w:tc>
          <w:tcPr>
            <w:tcW w:w="45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其他资金来源</w:t>
            </w:r>
          </w:p>
        </w:tc>
        <w:tc>
          <w:tcPr>
            <w:tcW w:w="4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保险机制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1" w:hRule="atLeast"/>
        </w:trPr>
        <w:tc>
          <w:tcPr>
            <w:tcW w:w="48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u w:val="none"/>
              </w:rPr>
            </w:pPr>
          </w:p>
        </w:tc>
        <w:tc>
          <w:tcPr>
            <w:tcW w:w="35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u w:val="none"/>
              </w:rPr>
            </w:pPr>
          </w:p>
        </w:tc>
        <w:tc>
          <w:tcPr>
            <w:tcW w:w="3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u w:val="none"/>
              </w:rPr>
            </w:pPr>
          </w:p>
        </w:tc>
        <w:tc>
          <w:tcPr>
            <w:tcW w:w="138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u w:val="none"/>
              </w:rPr>
            </w:pPr>
          </w:p>
        </w:tc>
        <w:tc>
          <w:tcPr>
            <w:tcW w:w="3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金额</w:t>
            </w: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比例</w:t>
            </w:r>
          </w:p>
        </w:tc>
        <w:tc>
          <w:tcPr>
            <w:tcW w:w="45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u w:val="none"/>
              </w:rPr>
            </w:pPr>
          </w:p>
        </w:tc>
        <w:tc>
          <w:tcPr>
            <w:tcW w:w="4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合计金额</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3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7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000" w:type="pct"/>
            <w:gridSpan w:val="11"/>
            <w:tcBorders>
              <w:top w:val="nil"/>
              <w:left w:val="nil"/>
              <w:bottom w:val="nil"/>
              <w:right w:val="nil"/>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bottom"/>
              <w:rPr>
                <w:rFonts w:hint="eastAsia" w:ascii="方正楷体_GBK" w:hAnsi="方正楷体_GBK" w:eastAsia="方正楷体_GBK" w:cs="方正楷体_GBK"/>
                <w:i w:val="0"/>
                <w:color w:val="000000"/>
                <w:sz w:val="22"/>
                <w:szCs w:val="22"/>
                <w:u w:val="none"/>
              </w:rPr>
            </w:pPr>
            <w:r>
              <w:rPr>
                <w:rFonts w:hint="eastAsia" w:ascii="方正楷体_GBK" w:hAnsi="方正楷体_GBK" w:eastAsia="方正楷体_GBK" w:cs="方正楷体_GBK"/>
                <w:i w:val="0"/>
                <w:color w:val="000000"/>
                <w:kern w:val="0"/>
                <w:sz w:val="22"/>
                <w:szCs w:val="22"/>
                <w:u w:val="none"/>
                <w:lang w:val="en-US" w:eastAsia="zh-CN" w:bidi="ar"/>
              </w:rPr>
              <w:t>注：仅填报申请市级财政补贴资金，且符合单一保险产品等原则的区县优势特色农产品保险情况，不超过5个险种。其中保险机制为必填项，包括但不限于保险责任、赔付机制等情况。</w:t>
            </w:r>
          </w:p>
        </w:tc>
      </w:tr>
    </w:tbl>
    <w:p>
      <w:pPr>
        <w:bidi w:val="0"/>
        <w:jc w:val="left"/>
      </w:pPr>
    </w:p>
    <w:tbl>
      <w:tblPr>
        <w:tblStyle w:val="9"/>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9"/>
        <w:gridCol w:w="452"/>
        <w:gridCol w:w="452"/>
        <w:gridCol w:w="452"/>
        <w:gridCol w:w="452"/>
        <w:gridCol w:w="452"/>
        <w:gridCol w:w="452"/>
        <w:gridCol w:w="3613"/>
        <w:gridCol w:w="452"/>
        <w:gridCol w:w="452"/>
        <w:gridCol w:w="452"/>
        <w:gridCol w:w="452"/>
        <w:gridCol w:w="452"/>
        <w:gridCol w:w="452"/>
        <w:gridCol w:w="452"/>
        <w:gridCol w:w="1199"/>
        <w:gridCol w:w="452"/>
        <w:gridCol w:w="452"/>
        <w:gridCol w:w="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21" w:type="pct"/>
            <w:tcBorders>
              <w:top w:val="nil"/>
              <w:left w:val="nil"/>
              <w:bottom w:val="nil"/>
              <w:right w:val="nil"/>
            </w:tcBorders>
            <w:noWrap/>
            <w:vAlign w:val="bottom"/>
          </w:tcPr>
          <w:p>
            <w:pPr>
              <w:keepNext w:val="0"/>
              <w:keepLines w:val="0"/>
              <w:widowControl/>
              <w:suppressLineNumbers w:val="0"/>
              <w:jc w:val="left"/>
              <w:textAlignment w:val="bottom"/>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附件3</w:t>
            </w:r>
          </w:p>
        </w:tc>
        <w:tc>
          <w:tcPr>
            <w:tcW w:w="315"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315"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80"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743"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16"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68"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68"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68"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68"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243"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68"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68"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c>
          <w:tcPr>
            <w:tcW w:w="168" w:type="pct"/>
            <w:tcBorders>
              <w:top w:val="nil"/>
              <w:left w:val="nil"/>
              <w:bottom w:val="nil"/>
              <w:right w:val="nil"/>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000" w:type="pct"/>
            <w:gridSpan w:val="19"/>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农业保险保费补贴资金测算表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1" w:type="pct"/>
            <w:tcBorders>
              <w:top w:val="nil"/>
              <w:left w:val="nil"/>
              <w:bottom w:val="nil"/>
              <w:right w:val="nil"/>
            </w:tcBorders>
            <w:noWrap/>
            <w:vAlign w:val="center"/>
          </w:tcPr>
          <w:p>
            <w:pPr>
              <w:keepNext w:val="0"/>
              <w:keepLines w:val="0"/>
              <w:widowControl/>
              <w:suppressLineNumbers w:val="0"/>
              <w:jc w:val="left"/>
              <w:textAlignment w:val="center"/>
              <w:rPr>
                <w:rFonts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填报单位：</w:t>
            </w:r>
          </w:p>
        </w:tc>
        <w:tc>
          <w:tcPr>
            <w:tcW w:w="315"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315"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80"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6"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6"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6"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743" w:type="pct"/>
            <w:tcBorders>
              <w:top w:val="nil"/>
              <w:left w:val="nil"/>
              <w:bottom w:val="nil"/>
              <w:right w:val="nil"/>
            </w:tcBorders>
            <w:noWrap/>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单位：元/亩（头），万亩，万头，万元</w:t>
            </w:r>
          </w:p>
        </w:tc>
        <w:tc>
          <w:tcPr>
            <w:tcW w:w="216"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6"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16"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68"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68"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68"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68"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243" w:type="pct"/>
            <w:tcBorders>
              <w:top w:val="nil"/>
              <w:left w:val="nil"/>
              <w:bottom w:val="nil"/>
              <w:right w:val="nil"/>
            </w:tcBorders>
            <w:noWrap/>
            <w:vAlign w:val="center"/>
          </w:tcPr>
          <w:p>
            <w:pPr>
              <w:keepNext w:val="0"/>
              <w:keepLines w:val="0"/>
              <w:widowControl/>
              <w:suppressLineNumbers w:val="0"/>
              <w:jc w:val="left"/>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填报日期：</w:t>
            </w:r>
          </w:p>
        </w:tc>
        <w:tc>
          <w:tcPr>
            <w:tcW w:w="168"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68"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c>
          <w:tcPr>
            <w:tcW w:w="168" w:type="pct"/>
            <w:tcBorders>
              <w:top w:val="nil"/>
              <w:left w:val="nil"/>
              <w:bottom w:val="nil"/>
              <w:right w:val="nil"/>
            </w:tcBorders>
            <w:noWrap/>
            <w:vAlign w:val="bottom"/>
          </w:tcPr>
          <w:p>
            <w:pPr>
              <w:rPr>
                <w:rFonts w:hint="eastAsia" w:ascii="方正楷体_GBK" w:hAnsi="方正楷体_GBK" w:eastAsia="方正楷体_GBK" w:cs="方正楷体_GBK"/>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品种</w:t>
            </w:r>
          </w:p>
        </w:tc>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种植面积／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存栏数量</w:t>
            </w:r>
          </w:p>
        </w:tc>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投保面积／</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投保数量</w:t>
            </w:r>
          </w:p>
        </w:tc>
        <w:tc>
          <w:tcPr>
            <w:tcW w:w="1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参保率</w:t>
            </w:r>
          </w:p>
        </w:tc>
        <w:tc>
          <w:tcPr>
            <w:tcW w:w="2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单位保额</w:t>
            </w:r>
          </w:p>
        </w:tc>
        <w:tc>
          <w:tcPr>
            <w:tcW w:w="2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直接物化成本</w:t>
            </w:r>
          </w:p>
        </w:tc>
        <w:tc>
          <w:tcPr>
            <w:tcW w:w="2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土地成本</w:t>
            </w:r>
          </w:p>
        </w:tc>
        <w:tc>
          <w:tcPr>
            <w:tcW w:w="74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人工成本</w:t>
            </w:r>
          </w:p>
        </w:tc>
        <w:tc>
          <w:tcPr>
            <w:tcW w:w="2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保险费率</w:t>
            </w:r>
          </w:p>
        </w:tc>
        <w:tc>
          <w:tcPr>
            <w:tcW w:w="2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单位保费</w:t>
            </w:r>
          </w:p>
        </w:tc>
        <w:tc>
          <w:tcPr>
            <w:tcW w:w="21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保费规模</w:t>
            </w:r>
          </w:p>
        </w:tc>
        <w:tc>
          <w:tcPr>
            <w:tcW w:w="33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中央财政补贴</w:t>
            </w:r>
          </w:p>
        </w:tc>
        <w:tc>
          <w:tcPr>
            <w:tcW w:w="33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市级财政补贴</w:t>
            </w:r>
          </w:p>
        </w:tc>
        <w:tc>
          <w:tcPr>
            <w:tcW w:w="41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区县财政补贴</w:t>
            </w:r>
          </w:p>
        </w:tc>
        <w:tc>
          <w:tcPr>
            <w:tcW w:w="33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农户自缴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2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比例</w:t>
            </w: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比例</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比例</w:t>
            </w: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一、中央补贴险种合计</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（一）种植业合计</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1.稻谷</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2.小麦</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3.玉米</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4.油菜</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5.大豆</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6.马铃薯</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7.稻谷制种</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8.玉米制种</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（二）养殖业合计</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9.能繁母猪</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10.育肥猪</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11.奶牛</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（三）林业合计</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12.公益林</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13.商品林</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二、市级补贴险种合计</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14.柑橘成本保险</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15.生猪收益保险</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16.稻谷完全成本补充保险</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17.玉米完全成本补充保险</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18.马铃薯完全成本补充保险</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19.区县优势特色农产品保险1</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20.区县优势特色农产品保险2</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21.区县优势特色农产品保险3</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22.区县优势特色农产品保险4</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23.区县优势特色农产品保险5</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合计金额</w:t>
            </w: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19"/>
            <w:tcBorders>
              <w:top w:val="single" w:color="000000" w:sz="4" w:space="0"/>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楷体_GBK" w:hAnsi="方正楷体_GBK" w:eastAsia="方正楷体_GBK" w:cs="方正楷体_GBK"/>
                <w:i w:val="0"/>
                <w:color w:val="000000"/>
                <w:sz w:val="24"/>
                <w:szCs w:val="24"/>
                <w:u w:val="none"/>
              </w:rPr>
            </w:pPr>
            <w:r>
              <w:rPr>
                <w:rFonts w:hint="eastAsia" w:ascii="方正楷体_GBK" w:hAnsi="方正楷体_GBK" w:eastAsia="方正楷体_GBK" w:cs="方正楷体_GBK"/>
                <w:i w:val="0"/>
                <w:color w:val="000000"/>
                <w:kern w:val="0"/>
                <w:sz w:val="24"/>
                <w:szCs w:val="24"/>
                <w:u w:val="none"/>
                <w:lang w:val="en-US" w:eastAsia="zh-CN" w:bidi="ar"/>
              </w:rPr>
              <w:t>注：1.填报数据中“种植面积／存栏数量”、“投保面积／投保数量”栏保留4位小数，其他栏保留2位小数。</w:t>
            </w:r>
            <w:r>
              <w:rPr>
                <w:rFonts w:hint="eastAsia" w:ascii="方正楷体_GBK" w:hAnsi="方正楷体_GBK" w:eastAsia="方正楷体_GBK" w:cs="方正楷体_GBK"/>
                <w:i w:val="0"/>
                <w:color w:val="000000"/>
                <w:kern w:val="0"/>
                <w:sz w:val="24"/>
                <w:szCs w:val="24"/>
                <w:u w:val="none"/>
                <w:lang w:val="en-US" w:eastAsia="zh-CN" w:bidi="ar"/>
              </w:rPr>
              <w:br w:type="textWrapping"/>
            </w:r>
            <w:r>
              <w:rPr>
                <w:rFonts w:hint="eastAsia" w:ascii="方正楷体_GBK" w:hAnsi="方正楷体_GBK" w:eastAsia="方正楷体_GBK" w:cs="方正楷体_GBK"/>
                <w:i w:val="0"/>
                <w:color w:val="000000"/>
                <w:kern w:val="0"/>
                <w:sz w:val="24"/>
                <w:szCs w:val="24"/>
                <w:u w:val="none"/>
                <w:lang w:val="en-US" w:eastAsia="zh-CN" w:bidi="ar"/>
              </w:rPr>
              <w:t xml:space="preserve">        2.填报表内信息时，对未开展的补贴险种留空即可，不可直接删除该栏已有内容。</w:t>
            </w:r>
          </w:p>
        </w:tc>
      </w:tr>
    </w:tbl>
    <w:p>
      <w:pPr>
        <w:bidi w:val="0"/>
        <w:jc w:val="left"/>
      </w:pPr>
    </w:p>
    <w:p>
      <w:pPr>
        <w:pStyle w:val="2"/>
      </w:pPr>
    </w:p>
    <w:p>
      <w:pPr>
        <w:pStyle w:val="2"/>
      </w:pPr>
    </w:p>
    <w:p>
      <w:pPr>
        <w:pStyle w:val="2"/>
      </w:pPr>
    </w:p>
    <w:p>
      <w:pPr>
        <w:pStyle w:val="2"/>
      </w:pPr>
    </w:p>
    <w:p>
      <w:pPr>
        <w:pStyle w:val="2"/>
      </w:pPr>
    </w:p>
    <w:tbl>
      <w:tblPr>
        <w:tblStyle w:val="9"/>
        <w:tblW w:w="538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4"/>
        <w:gridCol w:w="2655"/>
        <w:gridCol w:w="1889"/>
        <w:gridCol w:w="804"/>
        <w:gridCol w:w="1749"/>
        <w:gridCol w:w="4062"/>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2" w:type="pct"/>
            <w:tcBorders>
              <w:top w:val="nil"/>
              <w:left w:val="nil"/>
              <w:bottom w:val="nil"/>
              <w:right w:val="nil"/>
            </w:tcBorders>
            <w:noWrap/>
            <w:vAlign w:val="bottom"/>
          </w:tcPr>
          <w:p>
            <w:pPr>
              <w:keepNext w:val="0"/>
              <w:keepLines w:val="0"/>
              <w:widowControl/>
              <w:suppressLineNumbers w:val="0"/>
              <w:jc w:val="left"/>
              <w:textAlignment w:val="bottom"/>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32"/>
                <w:szCs w:val="32"/>
                <w:u w:val="none"/>
                <w:lang w:val="en-US" w:eastAsia="zh-CN" w:bidi="ar"/>
              </w:rPr>
              <w:t>附件4</w:t>
            </w:r>
          </w:p>
        </w:tc>
        <w:tc>
          <w:tcPr>
            <w:tcW w:w="931" w:type="pct"/>
            <w:tcBorders>
              <w:top w:val="nil"/>
              <w:left w:val="nil"/>
              <w:bottom w:val="nil"/>
              <w:right w:val="nil"/>
            </w:tcBorders>
            <w:noWrap/>
            <w:vAlign w:val="bottom"/>
          </w:tcPr>
          <w:p>
            <w:pPr>
              <w:rPr>
                <w:rFonts w:hint="eastAsia" w:ascii="方正仿宋_GBK" w:hAnsi="方正仿宋_GBK" w:eastAsia="方正仿宋_GBK" w:cs="方正仿宋_GBK"/>
                <w:i w:val="0"/>
                <w:color w:val="000000"/>
                <w:sz w:val="22"/>
                <w:szCs w:val="22"/>
                <w:u w:val="none"/>
              </w:rPr>
            </w:pPr>
          </w:p>
        </w:tc>
        <w:tc>
          <w:tcPr>
            <w:tcW w:w="662" w:type="pct"/>
            <w:tcBorders>
              <w:top w:val="nil"/>
              <w:left w:val="nil"/>
              <w:bottom w:val="nil"/>
              <w:right w:val="nil"/>
            </w:tcBorders>
            <w:noWrap/>
            <w:vAlign w:val="bottom"/>
          </w:tcPr>
          <w:p>
            <w:pPr>
              <w:rPr>
                <w:rFonts w:hint="eastAsia" w:ascii="方正仿宋_GBK" w:hAnsi="方正仿宋_GBK" w:eastAsia="方正仿宋_GBK" w:cs="方正仿宋_GBK"/>
                <w:i w:val="0"/>
                <w:color w:val="000000"/>
                <w:sz w:val="22"/>
                <w:szCs w:val="22"/>
                <w:u w:val="none"/>
              </w:rPr>
            </w:pPr>
          </w:p>
        </w:tc>
        <w:tc>
          <w:tcPr>
            <w:tcW w:w="282" w:type="pct"/>
            <w:tcBorders>
              <w:top w:val="nil"/>
              <w:left w:val="nil"/>
              <w:bottom w:val="nil"/>
              <w:right w:val="nil"/>
            </w:tcBorders>
            <w:noWrap/>
            <w:vAlign w:val="bottom"/>
          </w:tcPr>
          <w:p>
            <w:pPr>
              <w:jc w:val="center"/>
              <w:rPr>
                <w:rFonts w:hint="eastAsia" w:ascii="方正仿宋_GBK" w:hAnsi="方正仿宋_GBK" w:eastAsia="方正仿宋_GBK" w:cs="方正仿宋_GBK"/>
                <w:i w:val="0"/>
                <w:color w:val="000000"/>
                <w:sz w:val="22"/>
                <w:szCs w:val="22"/>
                <w:u w:val="none"/>
              </w:rPr>
            </w:pPr>
          </w:p>
        </w:tc>
        <w:tc>
          <w:tcPr>
            <w:tcW w:w="613" w:type="pct"/>
            <w:tcBorders>
              <w:top w:val="nil"/>
              <w:left w:val="nil"/>
              <w:bottom w:val="nil"/>
              <w:right w:val="nil"/>
            </w:tcBorders>
            <w:noWrap/>
            <w:vAlign w:val="bottom"/>
          </w:tcPr>
          <w:p>
            <w:pPr>
              <w:rPr>
                <w:rFonts w:hint="eastAsia" w:ascii="方正仿宋_GBK" w:hAnsi="方正仿宋_GBK" w:eastAsia="方正仿宋_GBK" w:cs="方正仿宋_GBK"/>
                <w:i w:val="0"/>
                <w:color w:val="000000"/>
                <w:sz w:val="22"/>
                <w:szCs w:val="22"/>
                <w:u w:val="none"/>
              </w:rPr>
            </w:pPr>
          </w:p>
        </w:tc>
        <w:tc>
          <w:tcPr>
            <w:tcW w:w="1425" w:type="pct"/>
            <w:tcBorders>
              <w:top w:val="nil"/>
              <w:left w:val="nil"/>
              <w:bottom w:val="nil"/>
              <w:right w:val="nil"/>
            </w:tcBorders>
            <w:noWrap/>
            <w:vAlign w:val="bottom"/>
          </w:tcPr>
          <w:p>
            <w:pPr>
              <w:rPr>
                <w:rFonts w:hint="eastAsia" w:ascii="方正仿宋_GBK" w:hAnsi="方正仿宋_GBK" w:eastAsia="方正仿宋_GBK" w:cs="方正仿宋_GBK"/>
                <w:i w:val="0"/>
                <w:color w:val="000000"/>
                <w:sz w:val="22"/>
                <w:szCs w:val="22"/>
                <w:u w:val="none"/>
              </w:rPr>
            </w:pPr>
          </w:p>
        </w:tc>
        <w:tc>
          <w:tcPr>
            <w:tcW w:w="252" w:type="pct"/>
            <w:tcBorders>
              <w:top w:val="nil"/>
              <w:left w:val="nil"/>
              <w:bottom w:val="nil"/>
              <w:right w:val="nil"/>
            </w:tcBorders>
            <w:noWrap/>
            <w:vAlign w:val="bottom"/>
          </w:tcPr>
          <w:p>
            <w:pPr>
              <w:rPr>
                <w:rFonts w:hint="eastAsia" w:ascii="方正仿宋_GBK" w:hAnsi="方正仿宋_GBK" w:eastAsia="方正仿宋_GBK" w:cs="方正仿宋_GBK"/>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7"/>
            <w:tcBorders>
              <w:top w:val="nil"/>
              <w:left w:val="nil"/>
              <w:bottom w:val="single" w:color="000000" w:sz="4" w:space="0"/>
              <w:right w:val="nil"/>
            </w:tcBorders>
            <w:noWrap/>
            <w:vAlign w:val="center"/>
          </w:tcPr>
          <w:p>
            <w:pPr>
              <w:keepNext w:val="0"/>
              <w:keepLines w:val="0"/>
              <w:widowControl/>
              <w:suppressLineNumbers w:val="0"/>
              <w:jc w:val="left"/>
              <w:textAlignment w:val="center"/>
              <w:rPr>
                <w:rFonts w:hint="eastAsia" w:ascii="方正黑体_GBK" w:hAnsi="方正黑体_GBK" w:eastAsia="方正黑体_GBK" w:cs="方正黑体_GBK"/>
                <w:i w:val="0"/>
                <w:color w:val="000000"/>
                <w:kern w:val="0"/>
                <w:sz w:val="32"/>
                <w:szCs w:val="32"/>
                <w:u w:val="none"/>
                <w:lang w:val="en-US" w:eastAsia="zh-CN" w:bidi="ar"/>
              </w:rPr>
            </w:pPr>
          </w:p>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农业保险保费补贴综合绩效评价指标表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一级指标</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二级指标</w:t>
            </w:r>
          </w:p>
        </w:tc>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三级指标</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分值</w:t>
            </w:r>
          </w:p>
        </w:tc>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指标释义</w:t>
            </w:r>
          </w:p>
        </w:tc>
        <w:tc>
          <w:tcPr>
            <w:tcW w:w="14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评价标准</w:t>
            </w:r>
          </w:p>
        </w:tc>
        <w:tc>
          <w:tcPr>
            <w:tcW w:w="2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4"/>
                <w:szCs w:val="24"/>
                <w:u w:val="none"/>
              </w:rPr>
            </w:pPr>
            <w:r>
              <w:rPr>
                <w:rFonts w:hint="default" w:ascii="方正黑体简体" w:hAnsi="方正黑体简体" w:eastAsia="方正黑体简体" w:cs="方正黑体简体"/>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3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区县政府职能部门履职尽责</w:t>
            </w:r>
            <w:r>
              <w:rPr>
                <w:rStyle w:val="15"/>
                <w:rFonts w:eastAsia="等线"/>
                <w:lang w:val="en-US" w:eastAsia="zh-CN" w:bidi="ar"/>
              </w:rPr>
              <w:t>30</w:t>
            </w:r>
          </w:p>
        </w:tc>
        <w:tc>
          <w:tcPr>
            <w:tcW w:w="93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统筹管理</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决策部署落实</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是否落实《重庆市农业保险保费补贴管理办法》中的各项原则。</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是否对小农户设置参保限制性条款。</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能够贯彻落实《重庆市农业保险保费补贴管理办法》，制定本区县实施细则（</w:t>
            </w:r>
            <w:r>
              <w:rPr>
                <w:rStyle w:val="15"/>
                <w:rFonts w:eastAsia="等线"/>
                <w:lang w:val="en-US" w:eastAsia="zh-CN" w:bidi="ar"/>
              </w:rPr>
              <w:t>1</w:t>
            </w:r>
            <w:r>
              <w:rPr>
                <w:rStyle w:val="14"/>
                <w:lang w:val="en-US" w:eastAsia="zh-CN" w:bidi="ar"/>
              </w:rPr>
              <w:t>分），未制定（</w:t>
            </w:r>
            <w:r>
              <w:rPr>
                <w:rStyle w:val="15"/>
                <w:rFonts w:eastAsia="等线"/>
                <w:lang w:val="en-US" w:eastAsia="zh-CN" w:bidi="ar"/>
              </w:rPr>
              <w:t>0</w:t>
            </w:r>
            <w:r>
              <w:rPr>
                <w:rStyle w:val="14"/>
                <w:lang w:val="en-US" w:eastAsia="zh-CN" w:bidi="ar"/>
              </w:rPr>
              <w:t>分）；</w:t>
            </w:r>
            <w:r>
              <w:rPr>
                <w:rStyle w:val="14"/>
                <w:lang w:val="en-US" w:eastAsia="zh-CN" w:bidi="ar"/>
              </w:rPr>
              <w:br w:type="textWrapping"/>
            </w:r>
            <w:r>
              <w:rPr>
                <w:rStyle w:val="14"/>
                <w:lang w:val="en-US" w:eastAsia="zh-CN" w:bidi="ar"/>
              </w:rPr>
              <w:t>对小农户未设置参保限制性条款（</w:t>
            </w:r>
            <w:r>
              <w:rPr>
                <w:rStyle w:val="15"/>
                <w:rFonts w:eastAsia="等线"/>
                <w:lang w:val="en-US" w:eastAsia="zh-CN" w:bidi="ar"/>
              </w:rPr>
              <w:t>1</w:t>
            </w:r>
            <w:r>
              <w:rPr>
                <w:rStyle w:val="14"/>
                <w:lang w:val="en-US" w:eastAsia="zh-CN" w:bidi="ar"/>
              </w:rPr>
              <w:t>分），设置参保限制性条款（</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部门协同</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各部门是否能够做到工作协同。</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发文明确相关部门、单位和承保机构在农业保险数据真实性和承保标的的核验、理赔结果确认、保费补贴资金申请审核等环节的职责（</w:t>
            </w:r>
            <w:r>
              <w:rPr>
                <w:rStyle w:val="15"/>
                <w:rFonts w:eastAsia="等线"/>
                <w:lang w:val="en-US" w:eastAsia="zh-CN" w:bidi="ar"/>
              </w:rPr>
              <w:t>1</w:t>
            </w:r>
            <w:r>
              <w:rPr>
                <w:rStyle w:val="14"/>
                <w:lang w:val="en-US" w:eastAsia="zh-CN" w:bidi="ar"/>
              </w:rPr>
              <w:t>分）；建立农业保险相关工作小组或联席会议制度（</w:t>
            </w:r>
            <w:r>
              <w:rPr>
                <w:rStyle w:val="15"/>
                <w:rFonts w:eastAsia="等线"/>
                <w:lang w:val="en-US" w:eastAsia="zh-CN" w:bidi="ar"/>
              </w:rPr>
              <w:t>1</w:t>
            </w:r>
            <w:r>
              <w:rPr>
                <w:rStyle w:val="14"/>
                <w:lang w:val="en-US" w:eastAsia="zh-CN" w:bidi="ar"/>
              </w:rPr>
              <w:t>分）；执行中能够有序衔接形成合力（</w:t>
            </w:r>
            <w:r>
              <w:rPr>
                <w:rStyle w:val="15"/>
                <w:rFonts w:eastAsia="等线"/>
                <w:lang w:val="en-US" w:eastAsia="zh-CN" w:bidi="ar"/>
              </w:rPr>
              <w:t>1</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项目管理</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目标明确度及合理性</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是否制定工作目标；目标是否足够明确、细化、量化。</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制定的工作目标明确（</w:t>
            </w:r>
            <w:r>
              <w:rPr>
                <w:rStyle w:val="15"/>
                <w:rFonts w:eastAsia="等线"/>
                <w:lang w:val="en-US" w:eastAsia="zh-CN" w:bidi="ar"/>
              </w:rPr>
              <w:t>1</w:t>
            </w:r>
            <w:r>
              <w:rPr>
                <w:rStyle w:val="14"/>
                <w:lang w:val="en-US" w:eastAsia="zh-CN" w:bidi="ar"/>
              </w:rPr>
              <w:t>分），并将目标细化、量化（</w:t>
            </w:r>
            <w:r>
              <w:rPr>
                <w:rStyle w:val="15"/>
                <w:rFonts w:eastAsia="等线"/>
                <w:lang w:val="en-US" w:eastAsia="zh-CN" w:bidi="ar"/>
              </w:rPr>
              <w:t>1</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计划程序</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是否</w:t>
            </w:r>
            <w:r>
              <w:rPr>
                <w:rStyle w:val="15"/>
                <w:rFonts w:eastAsia="等线"/>
                <w:lang w:val="en-US" w:eastAsia="zh-CN" w:bidi="ar"/>
              </w:rPr>
              <w:t>“</w:t>
            </w:r>
            <w:r>
              <w:rPr>
                <w:rStyle w:val="14"/>
                <w:lang w:val="en-US" w:eastAsia="zh-CN" w:bidi="ar"/>
              </w:rPr>
              <w:t>自下而上</w:t>
            </w:r>
            <w:r>
              <w:rPr>
                <w:rStyle w:val="15"/>
                <w:rFonts w:eastAsia="等线"/>
                <w:lang w:val="en-US" w:eastAsia="zh-CN" w:bidi="ar"/>
              </w:rPr>
              <w:t>”</w:t>
            </w:r>
            <w:r>
              <w:rPr>
                <w:rStyle w:val="14"/>
                <w:lang w:val="en-US" w:eastAsia="zh-CN" w:bidi="ar"/>
              </w:rPr>
              <w:t>编制承保计划，申报是否及时、方案是否科学、措施是否可行。</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5"/>
                <w:rFonts w:eastAsia="等线"/>
                <w:lang w:val="en-US" w:eastAsia="zh-CN" w:bidi="ar"/>
              </w:rPr>
              <w:t>“</w:t>
            </w:r>
            <w:r>
              <w:rPr>
                <w:rStyle w:val="14"/>
                <w:lang w:val="en-US" w:eastAsia="zh-CN" w:bidi="ar"/>
              </w:rPr>
              <w:t>自下而上</w:t>
            </w:r>
            <w:r>
              <w:rPr>
                <w:rStyle w:val="15"/>
                <w:rFonts w:eastAsia="等线"/>
                <w:lang w:val="en-US" w:eastAsia="zh-CN" w:bidi="ar"/>
              </w:rPr>
              <w:t>”</w:t>
            </w:r>
            <w:r>
              <w:rPr>
                <w:rStyle w:val="14"/>
                <w:lang w:val="en-US" w:eastAsia="zh-CN" w:bidi="ar"/>
              </w:rPr>
              <w:t>编制承保计划（</w:t>
            </w:r>
            <w:r>
              <w:rPr>
                <w:rStyle w:val="15"/>
                <w:rFonts w:eastAsia="等线"/>
                <w:lang w:val="en-US" w:eastAsia="zh-CN" w:bidi="ar"/>
              </w:rPr>
              <w:t>2</w:t>
            </w:r>
            <w:r>
              <w:rPr>
                <w:rStyle w:val="14"/>
                <w:lang w:val="en-US" w:eastAsia="zh-CN" w:bidi="ar"/>
              </w:rPr>
              <w:t>分），申报及时（</w:t>
            </w:r>
            <w:r>
              <w:rPr>
                <w:rStyle w:val="15"/>
                <w:rFonts w:eastAsia="等线"/>
                <w:lang w:val="en-US" w:eastAsia="zh-CN" w:bidi="ar"/>
              </w:rPr>
              <w:t>1</w:t>
            </w:r>
            <w:r>
              <w:rPr>
                <w:rStyle w:val="14"/>
                <w:lang w:val="en-US" w:eastAsia="zh-CN" w:bidi="ar"/>
              </w:rPr>
              <w:t>分），方案科学、措施可行（</w:t>
            </w:r>
            <w:r>
              <w:rPr>
                <w:rStyle w:val="15"/>
                <w:rFonts w:eastAsia="等线"/>
                <w:lang w:val="en-US" w:eastAsia="zh-CN" w:bidi="ar"/>
              </w:rPr>
              <w:t>1</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资金管理</w:t>
            </w:r>
          </w:p>
        </w:tc>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预算安排</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保费补贴资金是否按照上级财政部门相关规定，足额安排。保费补贴资金预算安排率</w:t>
            </w:r>
            <w:r>
              <w:rPr>
                <w:rStyle w:val="15"/>
                <w:rFonts w:eastAsia="等线"/>
                <w:lang w:val="en-US" w:eastAsia="zh-CN" w:bidi="ar"/>
              </w:rPr>
              <w:t>=</w:t>
            </w:r>
            <w:r>
              <w:rPr>
                <w:rStyle w:val="14"/>
                <w:lang w:val="en-US" w:eastAsia="zh-CN" w:bidi="ar"/>
              </w:rPr>
              <w:t>农业保险保费补贴预算（含年初预算和执行中追加）</w:t>
            </w:r>
            <w:r>
              <w:rPr>
                <w:rStyle w:val="15"/>
                <w:rFonts w:eastAsia="等线"/>
                <w:lang w:val="en-US" w:eastAsia="zh-CN" w:bidi="ar"/>
              </w:rPr>
              <w:t>/</w:t>
            </w:r>
            <w:r>
              <w:rPr>
                <w:rStyle w:val="14"/>
                <w:lang w:val="en-US" w:eastAsia="zh-CN" w:bidi="ar"/>
              </w:rPr>
              <w:t>全年实际需要的农业保险保费补贴金额</w:t>
            </w:r>
            <w:r>
              <w:rPr>
                <w:rStyle w:val="15"/>
                <w:rFonts w:eastAsia="等线"/>
                <w:lang w:val="en-US" w:eastAsia="zh-CN" w:bidi="ar"/>
              </w:rPr>
              <w:t>*100%</w:t>
            </w:r>
            <w:r>
              <w:rPr>
                <w:rStyle w:val="14"/>
                <w:lang w:val="en-US" w:eastAsia="zh-CN" w:bidi="ar"/>
              </w:rPr>
              <w:t>。</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预算安排率</w:t>
            </w:r>
            <w:r>
              <w:rPr>
                <w:rStyle w:val="15"/>
                <w:rFonts w:eastAsia="等线"/>
                <w:lang w:val="en-US" w:eastAsia="zh-CN" w:bidi="ar"/>
              </w:rPr>
              <w:t>100%</w:t>
            </w:r>
            <w:r>
              <w:rPr>
                <w:rStyle w:val="14"/>
                <w:lang w:val="en-US" w:eastAsia="zh-CN" w:bidi="ar"/>
              </w:rPr>
              <w:t>及以上（</w:t>
            </w:r>
            <w:r>
              <w:rPr>
                <w:rStyle w:val="15"/>
                <w:rFonts w:eastAsia="等线"/>
                <w:lang w:val="en-US" w:eastAsia="zh-CN" w:bidi="ar"/>
              </w:rPr>
              <w:t>5</w:t>
            </w:r>
            <w:r>
              <w:rPr>
                <w:rStyle w:val="14"/>
                <w:lang w:val="en-US" w:eastAsia="zh-CN" w:bidi="ar"/>
              </w:rPr>
              <w:t>分）、</w:t>
            </w:r>
            <w:r>
              <w:rPr>
                <w:rStyle w:val="15"/>
                <w:rFonts w:eastAsia="等线"/>
                <w:lang w:val="en-US" w:eastAsia="zh-CN" w:bidi="ar"/>
              </w:rPr>
              <w:t>80%</w:t>
            </w:r>
            <w:r>
              <w:rPr>
                <w:rStyle w:val="14"/>
                <w:lang w:val="en-US" w:eastAsia="zh-CN" w:bidi="ar"/>
              </w:rPr>
              <w:t>（含）</w:t>
            </w:r>
            <w:r>
              <w:rPr>
                <w:rStyle w:val="15"/>
                <w:rFonts w:eastAsia="等线"/>
                <w:lang w:val="en-US" w:eastAsia="zh-CN" w:bidi="ar"/>
              </w:rPr>
              <w:t>-100%</w:t>
            </w:r>
            <w:r>
              <w:rPr>
                <w:rStyle w:val="14"/>
                <w:lang w:val="en-US" w:eastAsia="zh-CN" w:bidi="ar"/>
              </w:rPr>
              <w:t>（</w:t>
            </w:r>
            <w:r>
              <w:rPr>
                <w:rStyle w:val="15"/>
                <w:rFonts w:eastAsia="等线"/>
                <w:lang w:val="en-US" w:eastAsia="zh-CN" w:bidi="ar"/>
              </w:rPr>
              <w:t>3</w:t>
            </w:r>
            <w:r>
              <w:rPr>
                <w:rStyle w:val="14"/>
                <w:lang w:val="en-US" w:eastAsia="zh-CN" w:bidi="ar"/>
              </w:rPr>
              <w:t>分）、</w:t>
            </w:r>
            <w:r>
              <w:rPr>
                <w:rStyle w:val="15"/>
                <w:rFonts w:eastAsia="等线"/>
                <w:lang w:val="en-US" w:eastAsia="zh-CN" w:bidi="ar"/>
              </w:rPr>
              <w:t>60%</w:t>
            </w:r>
            <w:r>
              <w:rPr>
                <w:rStyle w:val="14"/>
                <w:lang w:val="en-US" w:eastAsia="zh-CN" w:bidi="ar"/>
              </w:rPr>
              <w:t>（含）</w:t>
            </w:r>
            <w:r>
              <w:rPr>
                <w:rStyle w:val="15"/>
                <w:rFonts w:eastAsia="等线"/>
                <w:lang w:val="en-US" w:eastAsia="zh-CN" w:bidi="ar"/>
              </w:rPr>
              <w:t>-80%</w:t>
            </w:r>
            <w:r>
              <w:rPr>
                <w:rStyle w:val="14"/>
                <w:lang w:val="en-US" w:eastAsia="zh-CN" w:bidi="ar"/>
              </w:rPr>
              <w:t>（</w:t>
            </w:r>
            <w:r>
              <w:rPr>
                <w:rStyle w:val="15"/>
                <w:rFonts w:eastAsia="等线"/>
                <w:lang w:val="en-US" w:eastAsia="zh-CN" w:bidi="ar"/>
              </w:rPr>
              <w:t>1</w:t>
            </w:r>
            <w:r>
              <w:rPr>
                <w:rStyle w:val="14"/>
                <w:lang w:val="en-US" w:eastAsia="zh-CN" w:bidi="ar"/>
              </w:rPr>
              <w:t>分）、</w:t>
            </w:r>
            <w:r>
              <w:rPr>
                <w:rStyle w:val="15"/>
                <w:rFonts w:eastAsia="等线"/>
                <w:lang w:val="en-US" w:eastAsia="zh-CN" w:bidi="ar"/>
              </w:rPr>
              <w:t>60%</w:t>
            </w:r>
            <w:r>
              <w:rPr>
                <w:rStyle w:val="14"/>
                <w:lang w:val="en-US" w:eastAsia="zh-CN" w:bidi="ar"/>
              </w:rPr>
              <w:t>以下（</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资金到位率</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是否按照保费补贴资金管理规定，及时审核拨付保费补贴资金。匹配资金到位率</w:t>
            </w:r>
            <w:r>
              <w:rPr>
                <w:rStyle w:val="15"/>
                <w:rFonts w:eastAsia="等线"/>
                <w:lang w:val="en-US" w:eastAsia="zh-CN" w:bidi="ar"/>
              </w:rPr>
              <w:t>=</w:t>
            </w:r>
            <w:r>
              <w:rPr>
                <w:rStyle w:val="14"/>
                <w:lang w:val="en-US" w:eastAsia="zh-CN" w:bidi="ar"/>
              </w:rPr>
              <w:t>已匹配保费补贴到位资金</w:t>
            </w:r>
            <w:r>
              <w:rPr>
                <w:rStyle w:val="15"/>
                <w:rFonts w:eastAsia="等线"/>
                <w:lang w:val="en-US" w:eastAsia="zh-CN" w:bidi="ar"/>
              </w:rPr>
              <w:t>/</w:t>
            </w:r>
            <w:r>
              <w:rPr>
                <w:rStyle w:val="14"/>
                <w:lang w:val="en-US" w:eastAsia="zh-CN" w:bidi="ar"/>
              </w:rPr>
              <w:t>应匹配保费补贴到位资金</w:t>
            </w:r>
            <w:r>
              <w:rPr>
                <w:rStyle w:val="15"/>
                <w:rFonts w:eastAsia="等线"/>
                <w:lang w:val="en-US" w:eastAsia="zh-CN" w:bidi="ar"/>
              </w:rPr>
              <w:t>*100%</w:t>
            </w:r>
            <w:r>
              <w:rPr>
                <w:rStyle w:val="14"/>
                <w:lang w:val="en-US" w:eastAsia="zh-CN" w:bidi="ar"/>
              </w:rPr>
              <w:t>。应匹配保费补贴指保险公司申请超过</w:t>
            </w:r>
            <w:r>
              <w:rPr>
                <w:rStyle w:val="15"/>
                <w:rFonts w:eastAsia="等线"/>
                <w:lang w:val="en-US" w:eastAsia="zh-CN" w:bidi="ar"/>
              </w:rPr>
              <w:t>1</w:t>
            </w:r>
            <w:r>
              <w:rPr>
                <w:rStyle w:val="14"/>
                <w:lang w:val="en-US" w:eastAsia="zh-CN" w:bidi="ar"/>
              </w:rPr>
              <w:t>个季度以上的保费补贴资金。</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匹配资金到位率</w:t>
            </w:r>
            <w:r>
              <w:rPr>
                <w:rStyle w:val="15"/>
                <w:rFonts w:eastAsia="等线"/>
                <w:lang w:val="en-US" w:eastAsia="zh-CN" w:bidi="ar"/>
              </w:rPr>
              <w:t>100%</w:t>
            </w:r>
            <w:r>
              <w:rPr>
                <w:rStyle w:val="14"/>
                <w:lang w:val="en-US" w:eastAsia="zh-CN" w:bidi="ar"/>
              </w:rPr>
              <w:t>及以上（</w:t>
            </w:r>
            <w:r>
              <w:rPr>
                <w:rStyle w:val="15"/>
                <w:rFonts w:eastAsia="等线"/>
                <w:lang w:val="en-US" w:eastAsia="zh-CN" w:bidi="ar"/>
              </w:rPr>
              <w:t>5</w:t>
            </w:r>
            <w:r>
              <w:rPr>
                <w:rStyle w:val="14"/>
                <w:lang w:val="en-US" w:eastAsia="zh-CN" w:bidi="ar"/>
              </w:rPr>
              <w:t>分）、</w:t>
            </w:r>
            <w:r>
              <w:rPr>
                <w:rStyle w:val="15"/>
                <w:rFonts w:eastAsia="等线"/>
                <w:lang w:val="en-US" w:eastAsia="zh-CN" w:bidi="ar"/>
              </w:rPr>
              <w:t>80%</w:t>
            </w:r>
            <w:r>
              <w:rPr>
                <w:rStyle w:val="14"/>
                <w:lang w:val="en-US" w:eastAsia="zh-CN" w:bidi="ar"/>
              </w:rPr>
              <w:t>（含）</w:t>
            </w:r>
            <w:r>
              <w:rPr>
                <w:rStyle w:val="15"/>
                <w:rFonts w:eastAsia="等线"/>
                <w:lang w:val="en-US" w:eastAsia="zh-CN" w:bidi="ar"/>
              </w:rPr>
              <w:t>-100%</w:t>
            </w:r>
            <w:r>
              <w:rPr>
                <w:rStyle w:val="14"/>
                <w:lang w:val="en-US" w:eastAsia="zh-CN" w:bidi="ar"/>
              </w:rPr>
              <w:t>（</w:t>
            </w:r>
            <w:r>
              <w:rPr>
                <w:rStyle w:val="15"/>
                <w:rFonts w:eastAsia="等线"/>
                <w:lang w:val="en-US" w:eastAsia="zh-CN" w:bidi="ar"/>
              </w:rPr>
              <w:t>3</w:t>
            </w:r>
            <w:r>
              <w:rPr>
                <w:rStyle w:val="14"/>
                <w:lang w:val="en-US" w:eastAsia="zh-CN" w:bidi="ar"/>
              </w:rPr>
              <w:t>分）、</w:t>
            </w:r>
            <w:r>
              <w:rPr>
                <w:rStyle w:val="15"/>
                <w:rFonts w:eastAsia="等线"/>
                <w:lang w:val="en-US" w:eastAsia="zh-CN" w:bidi="ar"/>
              </w:rPr>
              <w:t>60%</w:t>
            </w:r>
            <w:r>
              <w:rPr>
                <w:rStyle w:val="14"/>
                <w:lang w:val="en-US" w:eastAsia="zh-CN" w:bidi="ar"/>
              </w:rPr>
              <w:t>（含）</w:t>
            </w:r>
            <w:r>
              <w:rPr>
                <w:rStyle w:val="15"/>
                <w:rFonts w:eastAsia="等线"/>
                <w:lang w:val="en-US" w:eastAsia="zh-CN" w:bidi="ar"/>
              </w:rPr>
              <w:t>-80%</w:t>
            </w:r>
            <w:r>
              <w:rPr>
                <w:rStyle w:val="14"/>
                <w:lang w:val="en-US" w:eastAsia="zh-CN" w:bidi="ar"/>
              </w:rPr>
              <w:t>（</w:t>
            </w:r>
            <w:r>
              <w:rPr>
                <w:rStyle w:val="15"/>
                <w:rFonts w:eastAsia="等线"/>
                <w:lang w:val="en-US" w:eastAsia="zh-CN" w:bidi="ar"/>
              </w:rPr>
              <w:t>1</w:t>
            </w:r>
            <w:r>
              <w:rPr>
                <w:rStyle w:val="14"/>
                <w:lang w:val="en-US" w:eastAsia="zh-CN" w:bidi="ar"/>
              </w:rPr>
              <w:t>分）、</w:t>
            </w:r>
            <w:r>
              <w:rPr>
                <w:rStyle w:val="15"/>
                <w:rFonts w:eastAsia="等线"/>
                <w:lang w:val="en-US" w:eastAsia="zh-CN" w:bidi="ar"/>
              </w:rPr>
              <w:t>60%</w:t>
            </w:r>
            <w:r>
              <w:rPr>
                <w:rStyle w:val="14"/>
                <w:lang w:val="en-US" w:eastAsia="zh-CN" w:bidi="ar"/>
              </w:rPr>
              <w:t>以下（</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资金申请受理</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区县是否及时受理承保机构的保费补贴资金申请。</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是（</w:t>
            </w:r>
            <w:r>
              <w:rPr>
                <w:rStyle w:val="15"/>
                <w:rFonts w:eastAsia="等线"/>
                <w:lang w:val="en-US" w:eastAsia="zh-CN" w:bidi="ar"/>
              </w:rPr>
              <w:t>4</w:t>
            </w:r>
            <w:r>
              <w:rPr>
                <w:rStyle w:val="14"/>
                <w:lang w:val="en-US" w:eastAsia="zh-CN" w:bidi="ar"/>
              </w:rPr>
              <w:t>分），否（</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保费补贴管理</w:t>
            </w:r>
          </w:p>
        </w:tc>
        <w:tc>
          <w:tcPr>
            <w:tcW w:w="2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区县是否制定保费补贴实施细则或资金管理办法。</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是（</w:t>
            </w:r>
            <w:r>
              <w:rPr>
                <w:rStyle w:val="15"/>
                <w:rFonts w:eastAsia="等线"/>
                <w:lang w:val="en-US" w:eastAsia="zh-CN" w:bidi="ar"/>
              </w:rPr>
              <w:t>2</w:t>
            </w:r>
            <w:r>
              <w:rPr>
                <w:rStyle w:val="14"/>
                <w:lang w:val="en-US" w:eastAsia="zh-CN" w:bidi="ar"/>
              </w:rPr>
              <w:t>分），否（</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保费补贴资金管理</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区县是否制定保费补贴备查账，及时反映补贴资金收支余情况；是否存在截留、挤占、挪用保费补贴的现象。</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区县建立保费补贴备查账，及时反映补贴资金收支余情况（</w:t>
            </w:r>
            <w:r>
              <w:rPr>
                <w:rStyle w:val="15"/>
                <w:rFonts w:eastAsia="等线"/>
                <w:lang w:val="en-US" w:eastAsia="zh-CN" w:bidi="ar"/>
              </w:rPr>
              <w:t>2</w:t>
            </w:r>
            <w:r>
              <w:rPr>
                <w:rStyle w:val="14"/>
                <w:lang w:val="en-US" w:eastAsia="zh-CN" w:bidi="ar"/>
              </w:rPr>
              <w:t>分）；未发现截留、挤占、挪用保费补贴的现象（</w:t>
            </w:r>
            <w:r>
              <w:rPr>
                <w:rStyle w:val="15"/>
                <w:rFonts w:eastAsia="等线"/>
                <w:lang w:val="en-US" w:eastAsia="zh-CN" w:bidi="ar"/>
              </w:rPr>
              <w:t>1</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83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承保机构管理</w:t>
            </w:r>
            <w:r>
              <w:rPr>
                <w:rStyle w:val="15"/>
                <w:rFonts w:eastAsia="等线"/>
                <w:lang w:val="en-US" w:eastAsia="zh-CN" w:bidi="ar"/>
              </w:rPr>
              <w:t>30</w:t>
            </w:r>
          </w:p>
        </w:tc>
        <w:tc>
          <w:tcPr>
            <w:tcW w:w="931"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风险和成本控制</w:t>
            </w: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保险机构会计核算</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区县承保机构财务制度是否健全，保险收支是否规范；会计核算是否做到单独建账、分险种核算。</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区县承保机构财务制度健全，保险收支规范（</w:t>
            </w:r>
            <w:r>
              <w:rPr>
                <w:rStyle w:val="15"/>
                <w:rFonts w:eastAsia="等线"/>
                <w:lang w:val="en-US" w:eastAsia="zh-CN" w:bidi="ar"/>
              </w:rPr>
              <w:t>1</w:t>
            </w:r>
            <w:r>
              <w:rPr>
                <w:rStyle w:val="14"/>
                <w:lang w:val="en-US" w:eastAsia="zh-CN" w:bidi="ar"/>
              </w:rPr>
              <w:t>分）；对目标保险标的的保费资金单独建账、分险种核算（</w:t>
            </w:r>
            <w:r>
              <w:rPr>
                <w:rStyle w:val="15"/>
                <w:rFonts w:eastAsia="等线"/>
                <w:lang w:val="en-US" w:eastAsia="zh-CN" w:bidi="ar"/>
              </w:rPr>
              <w:t>1</w:t>
            </w:r>
            <w:r>
              <w:rPr>
                <w:rStyle w:val="14"/>
                <w:lang w:val="en-US" w:eastAsia="zh-CN" w:bidi="ar"/>
              </w:rPr>
              <w:t>分）；约定分保结付能够在合同约定时间内完成（</w:t>
            </w:r>
            <w:r>
              <w:rPr>
                <w:rStyle w:val="15"/>
                <w:rFonts w:eastAsia="等线"/>
                <w:lang w:val="en-US" w:eastAsia="zh-CN" w:bidi="ar"/>
              </w:rPr>
              <w:t>3</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大灾风险管理</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区县承保机构是否科学管理大灾风险，是否按照相关要求进行大灾风险转移。</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区县承保机构定期购买再保险（</w:t>
            </w:r>
            <w:r>
              <w:rPr>
                <w:rStyle w:val="15"/>
                <w:rFonts w:eastAsia="等线"/>
                <w:lang w:val="en-US" w:eastAsia="zh-CN" w:bidi="ar"/>
              </w:rPr>
              <w:t>1</w:t>
            </w:r>
            <w:r>
              <w:rPr>
                <w:rStyle w:val="14"/>
                <w:lang w:val="en-US" w:eastAsia="zh-CN" w:bidi="ar"/>
              </w:rPr>
              <w:t>分），按规定提取和使用农业保险大灾准备金（</w:t>
            </w:r>
            <w:r>
              <w:rPr>
                <w:rStyle w:val="15"/>
                <w:rFonts w:eastAsia="等线"/>
                <w:lang w:val="en-US" w:eastAsia="zh-CN" w:bidi="ar"/>
              </w:rPr>
              <w:t>2</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综合费用率</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区县承保机构是否科学合理控制成本，切实保障农险工作开展。承保机构政策性农业保险综合费用率</w:t>
            </w:r>
            <w:r>
              <w:rPr>
                <w:rStyle w:val="15"/>
                <w:rFonts w:eastAsia="等线"/>
                <w:lang w:val="en-US" w:eastAsia="zh-CN" w:bidi="ar"/>
              </w:rPr>
              <w:t>=</w:t>
            </w:r>
            <w:r>
              <w:rPr>
                <w:rStyle w:val="14"/>
                <w:lang w:val="en-US" w:eastAsia="zh-CN" w:bidi="ar"/>
              </w:rPr>
              <w:t>（业务及管理费</w:t>
            </w:r>
            <w:r>
              <w:rPr>
                <w:rStyle w:val="15"/>
                <w:rFonts w:eastAsia="等线"/>
                <w:lang w:val="en-US" w:eastAsia="zh-CN" w:bidi="ar"/>
              </w:rPr>
              <w:t>+</w:t>
            </w:r>
            <w:r>
              <w:rPr>
                <w:rStyle w:val="14"/>
                <w:lang w:val="en-US" w:eastAsia="zh-CN" w:bidi="ar"/>
              </w:rPr>
              <w:t>分保费用</w:t>
            </w:r>
            <w:r>
              <w:rPr>
                <w:rStyle w:val="15"/>
                <w:rFonts w:eastAsia="等线"/>
                <w:lang w:val="en-US" w:eastAsia="zh-CN" w:bidi="ar"/>
              </w:rPr>
              <w:t>+</w:t>
            </w:r>
            <w:r>
              <w:rPr>
                <w:rStyle w:val="14"/>
                <w:lang w:val="en-US" w:eastAsia="zh-CN" w:bidi="ar"/>
              </w:rPr>
              <w:t>归属于政策性农业保险业务的税金及附加</w:t>
            </w:r>
            <w:r>
              <w:rPr>
                <w:rStyle w:val="15"/>
                <w:rFonts w:eastAsia="等线"/>
                <w:lang w:val="en-US" w:eastAsia="zh-CN" w:bidi="ar"/>
              </w:rPr>
              <w:t>-</w:t>
            </w:r>
            <w:r>
              <w:rPr>
                <w:rStyle w:val="14"/>
                <w:lang w:val="en-US" w:eastAsia="zh-CN" w:bidi="ar"/>
              </w:rPr>
              <w:t>摊回分保费用）÷（自留保费</w:t>
            </w:r>
            <w:r>
              <w:rPr>
                <w:rStyle w:val="15"/>
                <w:rFonts w:eastAsia="等线"/>
                <w:lang w:val="en-US" w:eastAsia="zh-CN" w:bidi="ar"/>
              </w:rPr>
              <w:t>-</w:t>
            </w:r>
            <w:r>
              <w:rPr>
                <w:rStyle w:val="14"/>
                <w:lang w:val="en-US" w:eastAsia="zh-CN" w:bidi="ar"/>
              </w:rPr>
              <w:t>提取未到期责任准备金）×</w:t>
            </w:r>
            <w:r>
              <w:rPr>
                <w:rStyle w:val="15"/>
                <w:rFonts w:eastAsia="等线"/>
                <w:lang w:val="en-US" w:eastAsia="zh-CN" w:bidi="ar"/>
              </w:rPr>
              <w:t>100%</w:t>
            </w:r>
            <w:r>
              <w:rPr>
                <w:rStyle w:val="14"/>
                <w:lang w:val="en-US" w:eastAsia="zh-CN" w:bidi="ar"/>
              </w:rPr>
              <w:t>。其中，自留保费</w:t>
            </w:r>
            <w:r>
              <w:rPr>
                <w:rStyle w:val="15"/>
                <w:rFonts w:eastAsia="等线"/>
                <w:lang w:val="en-US" w:eastAsia="zh-CN" w:bidi="ar"/>
              </w:rPr>
              <w:t>=</w:t>
            </w:r>
            <w:r>
              <w:rPr>
                <w:rStyle w:val="14"/>
                <w:lang w:val="en-US" w:eastAsia="zh-CN" w:bidi="ar"/>
              </w:rPr>
              <w:t>原保费收入</w:t>
            </w:r>
            <w:r>
              <w:rPr>
                <w:rStyle w:val="15"/>
                <w:rFonts w:eastAsia="等线"/>
                <w:lang w:val="en-US" w:eastAsia="zh-CN" w:bidi="ar"/>
              </w:rPr>
              <w:t>+</w:t>
            </w:r>
            <w:r>
              <w:rPr>
                <w:rStyle w:val="14"/>
                <w:lang w:val="en-US" w:eastAsia="zh-CN" w:bidi="ar"/>
              </w:rPr>
              <w:t>分保费收入</w:t>
            </w:r>
            <w:r>
              <w:rPr>
                <w:rStyle w:val="15"/>
                <w:rFonts w:eastAsia="等线"/>
                <w:lang w:val="en-US" w:eastAsia="zh-CN" w:bidi="ar"/>
              </w:rPr>
              <w:t>-</w:t>
            </w:r>
            <w:r>
              <w:rPr>
                <w:rStyle w:val="14"/>
                <w:lang w:val="en-US" w:eastAsia="zh-CN" w:bidi="ar"/>
              </w:rPr>
              <w:t>分出保费；提取未到期责任准备金</w:t>
            </w:r>
            <w:r>
              <w:rPr>
                <w:rStyle w:val="15"/>
                <w:rFonts w:eastAsia="等线"/>
                <w:lang w:val="en-US" w:eastAsia="zh-CN" w:bidi="ar"/>
              </w:rPr>
              <w:t>=</w:t>
            </w:r>
            <w:r>
              <w:rPr>
                <w:rStyle w:val="14"/>
                <w:lang w:val="en-US" w:eastAsia="zh-CN" w:bidi="ar"/>
              </w:rPr>
              <w:t>（未到期责任准备金期末余额</w:t>
            </w:r>
            <w:r>
              <w:rPr>
                <w:rStyle w:val="15"/>
                <w:rFonts w:eastAsia="等线"/>
                <w:lang w:val="en-US" w:eastAsia="zh-CN" w:bidi="ar"/>
              </w:rPr>
              <w:t>-</w:t>
            </w:r>
            <w:r>
              <w:rPr>
                <w:rStyle w:val="14"/>
                <w:lang w:val="en-US" w:eastAsia="zh-CN" w:bidi="ar"/>
              </w:rPr>
              <w:t>应收分保未到期责任准备金期末余额）</w:t>
            </w:r>
            <w:r>
              <w:rPr>
                <w:rStyle w:val="15"/>
                <w:rFonts w:eastAsia="等线"/>
                <w:lang w:val="en-US" w:eastAsia="zh-CN" w:bidi="ar"/>
              </w:rPr>
              <w:t>-</w:t>
            </w:r>
            <w:r>
              <w:rPr>
                <w:rStyle w:val="14"/>
                <w:lang w:val="en-US" w:eastAsia="zh-CN" w:bidi="ar"/>
              </w:rPr>
              <w:t>（未到期责任准备金期初余额</w:t>
            </w:r>
            <w:r>
              <w:rPr>
                <w:rStyle w:val="15"/>
                <w:rFonts w:eastAsia="等线"/>
                <w:lang w:val="en-US" w:eastAsia="zh-CN" w:bidi="ar"/>
              </w:rPr>
              <w:t>-</w:t>
            </w:r>
            <w:r>
              <w:rPr>
                <w:rStyle w:val="14"/>
                <w:lang w:val="en-US" w:eastAsia="zh-CN" w:bidi="ar"/>
              </w:rPr>
              <w:t>应收分保未到期责任准备金期初余额）。</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综合费用率＞</w:t>
            </w:r>
            <w:r>
              <w:rPr>
                <w:rStyle w:val="15"/>
                <w:rFonts w:eastAsia="等线"/>
                <w:lang w:val="en-US" w:eastAsia="zh-CN" w:bidi="ar"/>
              </w:rPr>
              <w:t>20%</w:t>
            </w:r>
            <w:r>
              <w:rPr>
                <w:rStyle w:val="14"/>
                <w:lang w:val="en-US" w:eastAsia="zh-CN" w:bidi="ar"/>
              </w:rPr>
              <w:t>，或综合费用率＜</w:t>
            </w:r>
            <w:r>
              <w:rPr>
                <w:rStyle w:val="15"/>
                <w:rFonts w:eastAsia="等线"/>
                <w:lang w:val="en-US" w:eastAsia="zh-CN" w:bidi="ar"/>
              </w:rPr>
              <w:t>5%</w:t>
            </w:r>
            <w:r>
              <w:rPr>
                <w:rStyle w:val="14"/>
                <w:lang w:val="en-US" w:eastAsia="zh-CN" w:bidi="ar"/>
              </w:rPr>
              <w:t>的（</w:t>
            </w:r>
            <w:r>
              <w:rPr>
                <w:rStyle w:val="15"/>
                <w:rFonts w:eastAsia="等线"/>
                <w:lang w:val="en-US" w:eastAsia="zh-CN" w:bidi="ar"/>
              </w:rPr>
              <w:t>0</w:t>
            </w:r>
            <w:r>
              <w:rPr>
                <w:rStyle w:val="14"/>
                <w:lang w:val="en-US" w:eastAsia="zh-CN" w:bidi="ar"/>
              </w:rPr>
              <w:t>分）；</w:t>
            </w:r>
            <w:r>
              <w:rPr>
                <w:rStyle w:val="15"/>
                <w:rFonts w:eastAsia="等线"/>
                <w:lang w:val="en-US" w:eastAsia="zh-CN" w:bidi="ar"/>
              </w:rPr>
              <w:t>5%</w:t>
            </w:r>
            <w:r>
              <w:rPr>
                <w:rStyle w:val="14"/>
                <w:lang w:val="en-US" w:eastAsia="zh-CN" w:bidi="ar"/>
              </w:rPr>
              <w:t>≤综合费用率≤</w:t>
            </w:r>
            <w:r>
              <w:rPr>
                <w:rStyle w:val="15"/>
                <w:rFonts w:eastAsia="等线"/>
                <w:lang w:val="en-US" w:eastAsia="zh-CN" w:bidi="ar"/>
              </w:rPr>
              <w:t>20%</w:t>
            </w:r>
            <w:r>
              <w:rPr>
                <w:rStyle w:val="14"/>
                <w:lang w:val="en-US" w:eastAsia="zh-CN" w:bidi="ar"/>
              </w:rPr>
              <w:t>的（</w:t>
            </w:r>
            <w:r>
              <w:rPr>
                <w:rStyle w:val="15"/>
                <w:rFonts w:eastAsia="等线"/>
                <w:lang w:val="en-US" w:eastAsia="zh-CN" w:bidi="ar"/>
              </w:rPr>
              <w:t>3</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服务体系</w:t>
            </w: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基层服务</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区县承保机构是否在经办区县建立基层服务体系。在开展业务的县级行政区域是否设立分支机构，乡镇是否设置服务站点，是否能够深入农村林区基层提供保险服务。</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区县承保机构在经办区县实现乡镇、行政村保费服务站点全覆盖（</w:t>
            </w:r>
            <w:r>
              <w:rPr>
                <w:rStyle w:val="15"/>
                <w:rFonts w:eastAsia="等线"/>
                <w:lang w:val="en-US" w:eastAsia="zh-CN" w:bidi="ar"/>
              </w:rPr>
              <w:t>3</w:t>
            </w:r>
            <w:r>
              <w:rPr>
                <w:rStyle w:val="14"/>
                <w:lang w:val="en-US" w:eastAsia="zh-CN" w:bidi="ar"/>
              </w:rPr>
              <w:t>分），</w:t>
            </w:r>
            <w:r>
              <w:rPr>
                <w:rStyle w:val="15"/>
                <w:rFonts w:eastAsia="等线"/>
                <w:lang w:val="en-US" w:eastAsia="zh-CN" w:bidi="ar"/>
              </w:rPr>
              <w:t>80%</w:t>
            </w:r>
            <w:r>
              <w:rPr>
                <w:rStyle w:val="14"/>
                <w:lang w:val="en-US" w:eastAsia="zh-CN" w:bidi="ar"/>
              </w:rPr>
              <w:t>（含）至</w:t>
            </w:r>
            <w:r>
              <w:rPr>
                <w:rStyle w:val="15"/>
                <w:rFonts w:eastAsia="等线"/>
                <w:lang w:val="en-US" w:eastAsia="zh-CN" w:bidi="ar"/>
              </w:rPr>
              <w:t>100%</w:t>
            </w:r>
            <w:r>
              <w:rPr>
                <w:rStyle w:val="14"/>
                <w:lang w:val="en-US" w:eastAsia="zh-CN" w:bidi="ar"/>
              </w:rPr>
              <w:t>（</w:t>
            </w:r>
            <w:r>
              <w:rPr>
                <w:rStyle w:val="15"/>
                <w:rFonts w:eastAsia="等线"/>
                <w:lang w:val="en-US" w:eastAsia="zh-CN" w:bidi="ar"/>
              </w:rPr>
              <w:t>2.5</w:t>
            </w:r>
            <w:r>
              <w:rPr>
                <w:rStyle w:val="14"/>
                <w:lang w:val="en-US" w:eastAsia="zh-CN" w:bidi="ar"/>
              </w:rPr>
              <w:t>分）、</w:t>
            </w:r>
            <w:r>
              <w:rPr>
                <w:rStyle w:val="15"/>
                <w:rFonts w:eastAsia="等线"/>
                <w:lang w:val="en-US" w:eastAsia="zh-CN" w:bidi="ar"/>
              </w:rPr>
              <w:t>60%</w:t>
            </w:r>
            <w:r>
              <w:rPr>
                <w:rStyle w:val="14"/>
                <w:lang w:val="en-US" w:eastAsia="zh-CN" w:bidi="ar"/>
              </w:rPr>
              <w:t>（含）至</w:t>
            </w:r>
            <w:r>
              <w:rPr>
                <w:rStyle w:val="15"/>
                <w:rFonts w:eastAsia="等线"/>
                <w:lang w:val="en-US" w:eastAsia="zh-CN" w:bidi="ar"/>
              </w:rPr>
              <w:t>80%</w:t>
            </w:r>
            <w:r>
              <w:rPr>
                <w:rStyle w:val="14"/>
                <w:lang w:val="en-US" w:eastAsia="zh-CN" w:bidi="ar"/>
              </w:rPr>
              <w:t>（</w:t>
            </w:r>
            <w:r>
              <w:rPr>
                <w:rStyle w:val="15"/>
                <w:rFonts w:eastAsia="等线"/>
                <w:lang w:val="en-US" w:eastAsia="zh-CN" w:bidi="ar"/>
              </w:rPr>
              <w:t>2</w:t>
            </w:r>
            <w:r>
              <w:rPr>
                <w:rStyle w:val="14"/>
                <w:lang w:val="en-US" w:eastAsia="zh-CN" w:bidi="ar"/>
              </w:rPr>
              <w:t>分）、</w:t>
            </w:r>
            <w:r>
              <w:rPr>
                <w:rStyle w:val="15"/>
                <w:rFonts w:eastAsia="等线"/>
                <w:lang w:val="en-US" w:eastAsia="zh-CN" w:bidi="ar"/>
              </w:rPr>
              <w:t>40%</w:t>
            </w:r>
            <w:r>
              <w:rPr>
                <w:rStyle w:val="14"/>
                <w:lang w:val="en-US" w:eastAsia="zh-CN" w:bidi="ar"/>
              </w:rPr>
              <w:t>（含）至</w:t>
            </w:r>
            <w:r>
              <w:rPr>
                <w:rStyle w:val="15"/>
                <w:rFonts w:eastAsia="等线"/>
                <w:lang w:val="en-US" w:eastAsia="zh-CN" w:bidi="ar"/>
              </w:rPr>
              <w:t>60%</w:t>
            </w:r>
            <w:r>
              <w:rPr>
                <w:rStyle w:val="14"/>
                <w:lang w:val="en-US" w:eastAsia="zh-CN" w:bidi="ar"/>
              </w:rPr>
              <w:t>（</w:t>
            </w:r>
            <w:r>
              <w:rPr>
                <w:rStyle w:val="15"/>
                <w:rFonts w:eastAsia="等线"/>
                <w:lang w:val="en-US" w:eastAsia="zh-CN" w:bidi="ar"/>
              </w:rPr>
              <w:t>1.5</w:t>
            </w:r>
            <w:r>
              <w:rPr>
                <w:rStyle w:val="14"/>
                <w:lang w:val="en-US" w:eastAsia="zh-CN" w:bidi="ar"/>
              </w:rPr>
              <w:t>分）、</w:t>
            </w:r>
            <w:r>
              <w:rPr>
                <w:rStyle w:val="15"/>
                <w:rFonts w:eastAsia="等线"/>
                <w:lang w:val="en-US" w:eastAsia="zh-CN" w:bidi="ar"/>
              </w:rPr>
              <w:t>20%</w:t>
            </w:r>
            <w:r>
              <w:rPr>
                <w:rStyle w:val="14"/>
                <w:lang w:val="en-US" w:eastAsia="zh-CN" w:bidi="ar"/>
              </w:rPr>
              <w:t>（含）至</w:t>
            </w:r>
            <w:r>
              <w:rPr>
                <w:rStyle w:val="15"/>
                <w:rFonts w:eastAsia="等线"/>
                <w:lang w:val="en-US" w:eastAsia="zh-CN" w:bidi="ar"/>
              </w:rPr>
              <w:t>40%</w:t>
            </w:r>
            <w:r>
              <w:rPr>
                <w:rStyle w:val="14"/>
                <w:lang w:val="en-US" w:eastAsia="zh-CN" w:bidi="ar"/>
              </w:rPr>
              <w:t>（</w:t>
            </w:r>
            <w:r>
              <w:rPr>
                <w:rStyle w:val="15"/>
                <w:rFonts w:eastAsia="等线"/>
                <w:lang w:val="en-US" w:eastAsia="zh-CN" w:bidi="ar"/>
              </w:rPr>
              <w:t>1</w:t>
            </w:r>
            <w:r>
              <w:rPr>
                <w:rStyle w:val="14"/>
                <w:lang w:val="en-US" w:eastAsia="zh-CN" w:bidi="ar"/>
              </w:rPr>
              <w:t>分）、</w:t>
            </w:r>
            <w:r>
              <w:rPr>
                <w:rStyle w:val="15"/>
                <w:rFonts w:eastAsia="等线"/>
                <w:lang w:val="en-US" w:eastAsia="zh-CN" w:bidi="ar"/>
              </w:rPr>
              <w:t>20%</w:t>
            </w:r>
            <w:r>
              <w:rPr>
                <w:rStyle w:val="14"/>
                <w:lang w:val="en-US" w:eastAsia="zh-CN" w:bidi="ar"/>
              </w:rPr>
              <w:t>以下（</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机构人员配置</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区县承保机构是否配置专门的农业保险管理机构和人员。</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区县承保机构设置了专门的农险科室或管理分支（</w:t>
            </w:r>
            <w:r>
              <w:rPr>
                <w:rStyle w:val="15"/>
                <w:rFonts w:eastAsia="等线"/>
                <w:lang w:val="en-US" w:eastAsia="zh-CN" w:bidi="ar"/>
              </w:rPr>
              <w:t>1</w:t>
            </w:r>
            <w:r>
              <w:rPr>
                <w:rStyle w:val="14"/>
                <w:lang w:val="en-US" w:eastAsia="zh-CN" w:bidi="ar"/>
              </w:rPr>
              <w:t>分），有至少</w:t>
            </w:r>
            <w:r>
              <w:rPr>
                <w:rStyle w:val="15"/>
                <w:rFonts w:eastAsia="等线"/>
                <w:lang w:val="en-US" w:eastAsia="zh-CN" w:bidi="ar"/>
              </w:rPr>
              <w:t>1</w:t>
            </w:r>
            <w:r>
              <w:rPr>
                <w:rStyle w:val="14"/>
                <w:lang w:val="en-US" w:eastAsia="zh-CN" w:bidi="ar"/>
              </w:rPr>
              <w:t>名专职人员（</w:t>
            </w:r>
            <w:r>
              <w:rPr>
                <w:rStyle w:val="15"/>
                <w:rFonts w:eastAsia="等线"/>
                <w:lang w:val="en-US" w:eastAsia="zh-CN" w:bidi="ar"/>
              </w:rPr>
              <w:t>1</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档案管理</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区县承保档案管理是否完整、合规、真实。</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区县承保档案按照档案管理要求及时归档，且相关材料齐全、合规、真实（</w:t>
            </w:r>
            <w:r>
              <w:rPr>
                <w:rStyle w:val="15"/>
                <w:rFonts w:eastAsia="等线"/>
                <w:lang w:val="en-US" w:eastAsia="zh-CN" w:bidi="ar"/>
              </w:rPr>
              <w:t>2</w:t>
            </w:r>
            <w:r>
              <w:rPr>
                <w:rStyle w:val="14"/>
                <w:lang w:val="en-US" w:eastAsia="zh-CN" w:bidi="ar"/>
              </w:rPr>
              <w:t>分），项目相关资料部分齐全（</w:t>
            </w:r>
            <w:r>
              <w:rPr>
                <w:rStyle w:val="15"/>
                <w:rFonts w:eastAsia="等线"/>
                <w:lang w:val="en-US" w:eastAsia="zh-CN" w:bidi="ar"/>
              </w:rPr>
              <w:t>1</w:t>
            </w:r>
            <w:r>
              <w:rPr>
                <w:rStyle w:val="14"/>
                <w:lang w:val="en-US" w:eastAsia="zh-CN" w:bidi="ar"/>
              </w:rPr>
              <w:t>分），未按相关要求建立档案（</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业务规范</w:t>
            </w: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规范展业承保</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区县承保机构是否执行</w:t>
            </w:r>
            <w:r>
              <w:rPr>
                <w:rStyle w:val="15"/>
                <w:rFonts w:eastAsia="等线"/>
                <w:lang w:val="en-US" w:eastAsia="zh-CN" w:bidi="ar"/>
              </w:rPr>
              <w:t>“</w:t>
            </w:r>
            <w:r>
              <w:rPr>
                <w:rStyle w:val="14"/>
                <w:lang w:val="en-US" w:eastAsia="zh-CN" w:bidi="ar"/>
              </w:rPr>
              <w:t>见费出单</w:t>
            </w:r>
            <w:r>
              <w:rPr>
                <w:rStyle w:val="15"/>
                <w:rFonts w:eastAsia="等线"/>
                <w:lang w:val="en-US" w:eastAsia="zh-CN" w:bidi="ar"/>
              </w:rPr>
              <w:t>”</w:t>
            </w:r>
            <w:r>
              <w:rPr>
                <w:rStyle w:val="14"/>
                <w:lang w:val="en-US" w:eastAsia="zh-CN" w:bidi="ar"/>
              </w:rPr>
              <w:t>制度，是否做到先收费、后出单。</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执行</w:t>
            </w:r>
            <w:r>
              <w:rPr>
                <w:rStyle w:val="15"/>
                <w:rFonts w:eastAsia="等线"/>
                <w:lang w:val="en-US" w:eastAsia="zh-CN" w:bidi="ar"/>
              </w:rPr>
              <w:t>“</w:t>
            </w:r>
            <w:r>
              <w:rPr>
                <w:rStyle w:val="14"/>
                <w:lang w:val="en-US" w:eastAsia="zh-CN" w:bidi="ar"/>
              </w:rPr>
              <w:t>见费出单</w:t>
            </w:r>
            <w:r>
              <w:rPr>
                <w:rStyle w:val="15"/>
                <w:rFonts w:eastAsia="等线"/>
                <w:lang w:val="en-US" w:eastAsia="zh-CN" w:bidi="ar"/>
              </w:rPr>
              <w:t>”</w:t>
            </w:r>
            <w:r>
              <w:rPr>
                <w:rStyle w:val="14"/>
                <w:lang w:val="en-US" w:eastAsia="zh-CN" w:bidi="ar"/>
              </w:rPr>
              <w:t>制度（</w:t>
            </w:r>
            <w:r>
              <w:rPr>
                <w:rStyle w:val="15"/>
                <w:rFonts w:eastAsia="等线"/>
                <w:lang w:val="en-US" w:eastAsia="zh-CN" w:bidi="ar"/>
              </w:rPr>
              <w:t>1</w:t>
            </w:r>
            <w:r>
              <w:rPr>
                <w:rStyle w:val="14"/>
                <w:lang w:val="en-US" w:eastAsia="zh-CN" w:bidi="ar"/>
              </w:rPr>
              <w:t>分），以行政村为单位集中投保的，有项目齐全的承保清单（</w:t>
            </w:r>
            <w:r>
              <w:rPr>
                <w:rStyle w:val="15"/>
                <w:rFonts w:eastAsia="等线"/>
                <w:lang w:val="en-US" w:eastAsia="zh-CN" w:bidi="ar"/>
              </w:rPr>
              <w:t>2</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投保公示</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承保情况与理赔结果公示。</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承保公示（</w:t>
            </w:r>
            <w:r>
              <w:rPr>
                <w:rStyle w:val="15"/>
                <w:rFonts w:eastAsia="等线"/>
                <w:lang w:val="en-US" w:eastAsia="zh-CN" w:bidi="ar"/>
              </w:rPr>
              <w:t>2</w:t>
            </w:r>
            <w:r>
              <w:rPr>
                <w:rStyle w:val="14"/>
                <w:lang w:val="en-US" w:eastAsia="zh-CN" w:bidi="ar"/>
              </w:rPr>
              <w:t>分），理赔公示（</w:t>
            </w:r>
            <w:r>
              <w:rPr>
                <w:rStyle w:val="15"/>
                <w:rFonts w:eastAsia="等线"/>
                <w:lang w:val="en-US" w:eastAsia="zh-CN" w:bidi="ar"/>
              </w:rPr>
              <w:t>1</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规范查勘理赔</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区县承保机构是否按照农业保险补贴政策和保险条款开展定损、查勘理赔。</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保险结案周期天数同比持平或降低（</w:t>
            </w:r>
            <w:r>
              <w:rPr>
                <w:rStyle w:val="15"/>
                <w:rFonts w:eastAsia="等线"/>
                <w:lang w:val="en-US" w:eastAsia="zh-CN" w:bidi="ar"/>
              </w:rPr>
              <w:t>1</w:t>
            </w:r>
            <w:r>
              <w:rPr>
                <w:rStyle w:val="14"/>
                <w:lang w:val="en-US" w:eastAsia="zh-CN" w:bidi="ar"/>
              </w:rPr>
              <w:t>分），赔偿协议达成</w:t>
            </w:r>
            <w:r>
              <w:rPr>
                <w:rStyle w:val="15"/>
                <w:rFonts w:eastAsia="等线"/>
                <w:lang w:val="en-US" w:eastAsia="zh-CN" w:bidi="ar"/>
              </w:rPr>
              <w:t>10</w:t>
            </w:r>
            <w:r>
              <w:rPr>
                <w:rStyle w:val="14"/>
                <w:lang w:val="en-US" w:eastAsia="zh-CN" w:bidi="ar"/>
              </w:rPr>
              <w:t>日内，将应赔偿的保险金支付给被保险人（</w:t>
            </w:r>
            <w:r>
              <w:rPr>
                <w:rStyle w:val="15"/>
                <w:rFonts w:eastAsia="等线"/>
                <w:lang w:val="en-US" w:eastAsia="zh-CN" w:bidi="ar"/>
              </w:rPr>
              <w:t>2</w:t>
            </w:r>
            <w:r>
              <w:rPr>
                <w:rStyle w:val="14"/>
                <w:lang w:val="en-US" w:eastAsia="zh-CN" w:bidi="ar"/>
              </w:rPr>
              <w:t>分），严格按照保险条款规定定损理赔（</w:t>
            </w:r>
            <w:r>
              <w:rPr>
                <w:rStyle w:val="15"/>
                <w:rFonts w:eastAsia="等线"/>
                <w:lang w:val="en-US" w:eastAsia="zh-CN" w:bidi="ar"/>
              </w:rPr>
              <w:t>1</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日常监督与整改落实</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区县有关部门是否按照要求对农业保险业务开展日常监督，承保机构对监督发现的问题是否及时进行整改落实。</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能够按要求开展日常监督（</w:t>
            </w:r>
            <w:r>
              <w:rPr>
                <w:rStyle w:val="15"/>
                <w:rFonts w:eastAsia="等线"/>
                <w:lang w:val="en-US" w:eastAsia="zh-CN" w:bidi="ar"/>
              </w:rPr>
              <w:t>1</w:t>
            </w:r>
            <w:r>
              <w:rPr>
                <w:rStyle w:val="14"/>
                <w:lang w:val="en-US" w:eastAsia="zh-CN" w:bidi="ar"/>
              </w:rPr>
              <w:t>分）；对监督发现的问题及时整改落实（</w:t>
            </w:r>
            <w:r>
              <w:rPr>
                <w:rStyle w:val="15"/>
                <w:rFonts w:eastAsia="等线"/>
                <w:lang w:val="en-US" w:eastAsia="zh-CN" w:bidi="ar"/>
              </w:rPr>
              <w:t>1</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83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工作绩效</w:t>
            </w:r>
            <w:r>
              <w:rPr>
                <w:rStyle w:val="15"/>
                <w:rFonts w:eastAsia="等线"/>
                <w:lang w:val="en-US" w:eastAsia="zh-CN" w:bidi="ar"/>
              </w:rPr>
              <w:t>40</w:t>
            </w:r>
          </w:p>
        </w:tc>
        <w:tc>
          <w:tcPr>
            <w:tcW w:w="931"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项目产出</w:t>
            </w: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理赔兑现率</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区县承保机构是否及时足额理赔。理赔兑现率</w:t>
            </w:r>
            <w:r>
              <w:rPr>
                <w:rStyle w:val="15"/>
                <w:rFonts w:eastAsia="等线"/>
                <w:lang w:val="en-US" w:eastAsia="zh-CN" w:bidi="ar"/>
              </w:rPr>
              <w:t>=</w:t>
            </w:r>
            <w:r>
              <w:rPr>
                <w:rStyle w:val="14"/>
                <w:lang w:val="en-US" w:eastAsia="zh-CN" w:bidi="ar"/>
              </w:rPr>
              <w:t>已结案件数量</w:t>
            </w:r>
            <w:r>
              <w:rPr>
                <w:rStyle w:val="15"/>
                <w:rFonts w:eastAsia="等线"/>
                <w:lang w:val="en-US" w:eastAsia="zh-CN" w:bidi="ar"/>
              </w:rPr>
              <w:t>/</w:t>
            </w:r>
            <w:r>
              <w:rPr>
                <w:rStyle w:val="14"/>
                <w:lang w:val="en-US" w:eastAsia="zh-CN" w:bidi="ar"/>
              </w:rPr>
              <w:t>已报案件数量</w:t>
            </w:r>
            <w:r>
              <w:rPr>
                <w:rStyle w:val="15"/>
                <w:rFonts w:eastAsia="等线"/>
                <w:lang w:val="en-US" w:eastAsia="zh-CN" w:bidi="ar"/>
              </w:rPr>
              <w:t>*0.5+</w:t>
            </w:r>
            <w:r>
              <w:rPr>
                <w:rStyle w:val="14"/>
                <w:lang w:val="en-US" w:eastAsia="zh-CN" w:bidi="ar"/>
              </w:rPr>
              <w:t>已结案件金额</w:t>
            </w:r>
            <w:r>
              <w:rPr>
                <w:rStyle w:val="15"/>
                <w:rFonts w:eastAsia="等线"/>
                <w:lang w:val="en-US" w:eastAsia="zh-CN" w:bidi="ar"/>
              </w:rPr>
              <w:t>/</w:t>
            </w:r>
            <w:r>
              <w:rPr>
                <w:rStyle w:val="14"/>
                <w:lang w:val="en-US" w:eastAsia="zh-CN" w:bidi="ar"/>
              </w:rPr>
              <w:t>已报案件金额</w:t>
            </w:r>
            <w:r>
              <w:rPr>
                <w:rStyle w:val="15"/>
                <w:rFonts w:eastAsia="等线"/>
                <w:lang w:val="en-US" w:eastAsia="zh-CN" w:bidi="ar"/>
              </w:rPr>
              <w:t>*0.5</w:t>
            </w:r>
            <w:r>
              <w:rPr>
                <w:rStyle w:val="14"/>
                <w:lang w:val="en-US" w:eastAsia="zh-CN" w:bidi="ar"/>
              </w:rPr>
              <w:t>。</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区县承保机构在规定时点理赔结案率</w:t>
            </w:r>
            <w:r>
              <w:rPr>
                <w:rStyle w:val="15"/>
                <w:rFonts w:eastAsia="等线"/>
                <w:lang w:val="en-US" w:eastAsia="zh-CN" w:bidi="ar"/>
              </w:rPr>
              <w:t>100%</w:t>
            </w:r>
            <w:r>
              <w:rPr>
                <w:rStyle w:val="14"/>
                <w:lang w:val="en-US" w:eastAsia="zh-CN" w:bidi="ar"/>
              </w:rPr>
              <w:t>（</w:t>
            </w:r>
            <w:r>
              <w:rPr>
                <w:rStyle w:val="15"/>
                <w:rFonts w:eastAsia="等线"/>
                <w:lang w:val="en-US" w:eastAsia="zh-CN" w:bidi="ar"/>
              </w:rPr>
              <w:t>5</w:t>
            </w:r>
            <w:r>
              <w:rPr>
                <w:rStyle w:val="14"/>
                <w:lang w:val="en-US" w:eastAsia="zh-CN" w:bidi="ar"/>
              </w:rPr>
              <w:t>分）、</w:t>
            </w:r>
            <w:r>
              <w:rPr>
                <w:rStyle w:val="15"/>
                <w:rFonts w:eastAsia="等线"/>
                <w:lang w:val="en-US" w:eastAsia="zh-CN" w:bidi="ar"/>
              </w:rPr>
              <w:t>90%</w:t>
            </w:r>
            <w:r>
              <w:rPr>
                <w:rStyle w:val="14"/>
                <w:lang w:val="en-US" w:eastAsia="zh-CN" w:bidi="ar"/>
              </w:rPr>
              <w:t>（含）至</w:t>
            </w:r>
            <w:r>
              <w:rPr>
                <w:rStyle w:val="15"/>
                <w:rFonts w:eastAsia="等线"/>
                <w:lang w:val="en-US" w:eastAsia="zh-CN" w:bidi="ar"/>
              </w:rPr>
              <w:t>100%</w:t>
            </w:r>
            <w:r>
              <w:rPr>
                <w:rStyle w:val="14"/>
                <w:lang w:val="en-US" w:eastAsia="zh-CN" w:bidi="ar"/>
              </w:rPr>
              <w:t>（</w:t>
            </w:r>
            <w:r>
              <w:rPr>
                <w:rStyle w:val="15"/>
                <w:rFonts w:eastAsia="等线"/>
                <w:lang w:val="en-US" w:eastAsia="zh-CN" w:bidi="ar"/>
              </w:rPr>
              <w:t>4</w:t>
            </w:r>
            <w:r>
              <w:rPr>
                <w:rStyle w:val="14"/>
                <w:lang w:val="en-US" w:eastAsia="zh-CN" w:bidi="ar"/>
              </w:rPr>
              <w:t>分）、</w:t>
            </w:r>
            <w:r>
              <w:rPr>
                <w:rStyle w:val="15"/>
                <w:rFonts w:eastAsia="等线"/>
                <w:lang w:val="en-US" w:eastAsia="zh-CN" w:bidi="ar"/>
              </w:rPr>
              <w:t>80%</w:t>
            </w:r>
            <w:r>
              <w:rPr>
                <w:rStyle w:val="14"/>
                <w:lang w:val="en-US" w:eastAsia="zh-CN" w:bidi="ar"/>
              </w:rPr>
              <w:t>（含）至</w:t>
            </w:r>
            <w:r>
              <w:rPr>
                <w:rStyle w:val="15"/>
                <w:rFonts w:eastAsia="等线"/>
                <w:lang w:val="en-US" w:eastAsia="zh-CN" w:bidi="ar"/>
              </w:rPr>
              <w:t>90%</w:t>
            </w:r>
            <w:r>
              <w:rPr>
                <w:rStyle w:val="14"/>
                <w:lang w:val="en-US" w:eastAsia="zh-CN" w:bidi="ar"/>
              </w:rPr>
              <w:t>（</w:t>
            </w:r>
            <w:r>
              <w:rPr>
                <w:rStyle w:val="15"/>
                <w:rFonts w:eastAsia="等线"/>
                <w:lang w:val="en-US" w:eastAsia="zh-CN" w:bidi="ar"/>
              </w:rPr>
              <w:t>3</w:t>
            </w:r>
            <w:r>
              <w:rPr>
                <w:rStyle w:val="14"/>
                <w:lang w:val="en-US" w:eastAsia="zh-CN" w:bidi="ar"/>
              </w:rPr>
              <w:t>分）、</w:t>
            </w:r>
            <w:r>
              <w:rPr>
                <w:rStyle w:val="15"/>
                <w:rFonts w:eastAsia="等线"/>
                <w:lang w:val="en-US" w:eastAsia="zh-CN" w:bidi="ar"/>
              </w:rPr>
              <w:t>70%</w:t>
            </w:r>
            <w:r>
              <w:rPr>
                <w:rStyle w:val="14"/>
                <w:lang w:val="en-US" w:eastAsia="zh-CN" w:bidi="ar"/>
              </w:rPr>
              <w:t>（含）至</w:t>
            </w:r>
            <w:r>
              <w:rPr>
                <w:rStyle w:val="15"/>
                <w:rFonts w:eastAsia="等线"/>
                <w:lang w:val="en-US" w:eastAsia="zh-CN" w:bidi="ar"/>
              </w:rPr>
              <w:t>80%</w:t>
            </w:r>
            <w:r>
              <w:rPr>
                <w:rStyle w:val="14"/>
                <w:lang w:val="en-US" w:eastAsia="zh-CN" w:bidi="ar"/>
              </w:rPr>
              <w:t>（</w:t>
            </w:r>
            <w:r>
              <w:rPr>
                <w:rStyle w:val="15"/>
                <w:rFonts w:eastAsia="等线"/>
                <w:lang w:val="en-US" w:eastAsia="zh-CN" w:bidi="ar"/>
              </w:rPr>
              <w:t>2</w:t>
            </w:r>
            <w:r>
              <w:rPr>
                <w:rStyle w:val="14"/>
                <w:lang w:val="en-US" w:eastAsia="zh-CN" w:bidi="ar"/>
              </w:rPr>
              <w:t>分）、</w:t>
            </w:r>
            <w:r>
              <w:rPr>
                <w:rStyle w:val="15"/>
                <w:rFonts w:eastAsia="等线"/>
                <w:lang w:val="en-US" w:eastAsia="zh-CN" w:bidi="ar"/>
              </w:rPr>
              <w:t>60%</w:t>
            </w:r>
            <w:r>
              <w:rPr>
                <w:rStyle w:val="14"/>
                <w:lang w:val="en-US" w:eastAsia="zh-CN" w:bidi="ar"/>
              </w:rPr>
              <w:t>（含）至</w:t>
            </w:r>
            <w:r>
              <w:rPr>
                <w:rStyle w:val="15"/>
                <w:rFonts w:eastAsia="等线"/>
                <w:lang w:val="en-US" w:eastAsia="zh-CN" w:bidi="ar"/>
              </w:rPr>
              <w:t>70%</w:t>
            </w:r>
            <w:r>
              <w:rPr>
                <w:rStyle w:val="14"/>
                <w:lang w:val="en-US" w:eastAsia="zh-CN" w:bidi="ar"/>
              </w:rPr>
              <w:t>（</w:t>
            </w:r>
            <w:r>
              <w:rPr>
                <w:rStyle w:val="15"/>
                <w:rFonts w:eastAsia="等线"/>
                <w:lang w:val="en-US" w:eastAsia="zh-CN" w:bidi="ar"/>
              </w:rPr>
              <w:t>1</w:t>
            </w:r>
            <w:r>
              <w:rPr>
                <w:rStyle w:val="14"/>
                <w:lang w:val="en-US" w:eastAsia="zh-CN" w:bidi="ar"/>
              </w:rPr>
              <w:t>分）、</w:t>
            </w:r>
            <w:r>
              <w:rPr>
                <w:rStyle w:val="15"/>
                <w:rFonts w:eastAsia="等线"/>
                <w:lang w:val="en-US" w:eastAsia="zh-CN" w:bidi="ar"/>
              </w:rPr>
              <w:t>60%</w:t>
            </w:r>
            <w:r>
              <w:rPr>
                <w:rStyle w:val="14"/>
                <w:lang w:val="en-US" w:eastAsia="zh-CN" w:bidi="ar"/>
              </w:rPr>
              <w:t>以下（</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保险深度</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保险深度是否达到目标要求。保险深度</w:t>
            </w:r>
            <w:r>
              <w:rPr>
                <w:rStyle w:val="15"/>
                <w:rFonts w:eastAsia="等线"/>
                <w:lang w:val="en-US" w:eastAsia="zh-CN" w:bidi="ar"/>
              </w:rPr>
              <w:t>=</w:t>
            </w:r>
            <w:r>
              <w:rPr>
                <w:rStyle w:val="14"/>
                <w:lang w:val="en-US" w:eastAsia="zh-CN" w:bidi="ar"/>
              </w:rPr>
              <w:t>保费规模</w:t>
            </w:r>
            <w:r>
              <w:rPr>
                <w:rStyle w:val="15"/>
                <w:rFonts w:eastAsia="等线"/>
                <w:lang w:val="en-US" w:eastAsia="zh-CN" w:bidi="ar"/>
              </w:rPr>
              <w:t>/</w:t>
            </w:r>
            <w:r>
              <w:rPr>
                <w:rStyle w:val="14"/>
                <w:lang w:val="en-US" w:eastAsia="zh-CN" w:bidi="ar"/>
              </w:rPr>
              <w:t>第一产业增加值。</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保险深度≥</w:t>
            </w:r>
            <w:r>
              <w:rPr>
                <w:rStyle w:val="15"/>
                <w:rFonts w:eastAsia="等线"/>
                <w:lang w:val="en-US" w:eastAsia="zh-CN" w:bidi="ar"/>
              </w:rPr>
              <w:t>1%</w:t>
            </w:r>
            <w:r>
              <w:rPr>
                <w:rStyle w:val="14"/>
                <w:lang w:val="en-US" w:eastAsia="zh-CN" w:bidi="ar"/>
              </w:rPr>
              <w:t>的，得</w:t>
            </w:r>
            <w:r>
              <w:rPr>
                <w:rStyle w:val="15"/>
                <w:rFonts w:eastAsia="等线"/>
                <w:lang w:val="en-US" w:eastAsia="zh-CN" w:bidi="ar"/>
              </w:rPr>
              <w:t>5</w:t>
            </w:r>
            <w:r>
              <w:rPr>
                <w:rStyle w:val="14"/>
                <w:lang w:val="en-US" w:eastAsia="zh-CN" w:bidi="ar"/>
              </w:rPr>
              <w:t>分；</w:t>
            </w:r>
            <w:r>
              <w:rPr>
                <w:rStyle w:val="15"/>
                <w:rFonts w:eastAsia="等线"/>
                <w:lang w:val="en-US" w:eastAsia="zh-CN" w:bidi="ar"/>
              </w:rPr>
              <w:t>0.8%</w:t>
            </w:r>
            <w:r>
              <w:rPr>
                <w:rStyle w:val="14"/>
                <w:lang w:val="en-US" w:eastAsia="zh-CN" w:bidi="ar"/>
              </w:rPr>
              <w:t>≤保险深度＜</w:t>
            </w:r>
            <w:r>
              <w:rPr>
                <w:rStyle w:val="15"/>
                <w:rFonts w:eastAsia="等线"/>
                <w:lang w:val="en-US" w:eastAsia="zh-CN" w:bidi="ar"/>
              </w:rPr>
              <w:t>1%</w:t>
            </w:r>
            <w:r>
              <w:rPr>
                <w:rStyle w:val="14"/>
                <w:lang w:val="en-US" w:eastAsia="zh-CN" w:bidi="ar"/>
              </w:rPr>
              <w:t>的，得</w:t>
            </w:r>
            <w:r>
              <w:rPr>
                <w:rStyle w:val="15"/>
                <w:rFonts w:eastAsia="等线"/>
                <w:lang w:val="en-US" w:eastAsia="zh-CN" w:bidi="ar"/>
              </w:rPr>
              <w:t>4</w:t>
            </w:r>
            <w:r>
              <w:rPr>
                <w:rStyle w:val="14"/>
                <w:lang w:val="en-US" w:eastAsia="zh-CN" w:bidi="ar"/>
              </w:rPr>
              <w:t>分；</w:t>
            </w:r>
            <w:r>
              <w:rPr>
                <w:rStyle w:val="15"/>
                <w:rFonts w:eastAsia="等线"/>
                <w:lang w:val="en-US" w:eastAsia="zh-CN" w:bidi="ar"/>
              </w:rPr>
              <w:t>0.6%</w:t>
            </w:r>
            <w:r>
              <w:rPr>
                <w:rStyle w:val="14"/>
                <w:lang w:val="en-US" w:eastAsia="zh-CN" w:bidi="ar"/>
              </w:rPr>
              <w:t>≤保险深度＜</w:t>
            </w:r>
            <w:r>
              <w:rPr>
                <w:rStyle w:val="15"/>
                <w:rFonts w:eastAsia="等线"/>
                <w:lang w:val="en-US" w:eastAsia="zh-CN" w:bidi="ar"/>
              </w:rPr>
              <w:t>0.8%</w:t>
            </w:r>
            <w:r>
              <w:rPr>
                <w:rStyle w:val="14"/>
                <w:lang w:val="en-US" w:eastAsia="zh-CN" w:bidi="ar"/>
              </w:rPr>
              <w:t>的，得</w:t>
            </w:r>
            <w:r>
              <w:rPr>
                <w:rStyle w:val="15"/>
                <w:rFonts w:eastAsia="等线"/>
                <w:lang w:val="en-US" w:eastAsia="zh-CN" w:bidi="ar"/>
              </w:rPr>
              <w:t>3</w:t>
            </w:r>
            <w:r>
              <w:rPr>
                <w:rStyle w:val="14"/>
                <w:lang w:val="en-US" w:eastAsia="zh-CN" w:bidi="ar"/>
              </w:rPr>
              <w:t>分；</w:t>
            </w:r>
            <w:r>
              <w:rPr>
                <w:rStyle w:val="15"/>
                <w:rFonts w:eastAsia="等线"/>
                <w:lang w:val="en-US" w:eastAsia="zh-CN" w:bidi="ar"/>
              </w:rPr>
              <w:t>0.4%</w:t>
            </w:r>
            <w:r>
              <w:rPr>
                <w:rStyle w:val="14"/>
                <w:lang w:val="en-US" w:eastAsia="zh-CN" w:bidi="ar"/>
              </w:rPr>
              <w:t>≤保险深度＜</w:t>
            </w:r>
            <w:r>
              <w:rPr>
                <w:rStyle w:val="15"/>
                <w:rFonts w:eastAsia="等线"/>
                <w:lang w:val="en-US" w:eastAsia="zh-CN" w:bidi="ar"/>
              </w:rPr>
              <w:t>0.6%</w:t>
            </w:r>
            <w:r>
              <w:rPr>
                <w:rStyle w:val="14"/>
                <w:lang w:val="en-US" w:eastAsia="zh-CN" w:bidi="ar"/>
              </w:rPr>
              <w:t>的，得</w:t>
            </w:r>
            <w:r>
              <w:rPr>
                <w:rStyle w:val="15"/>
                <w:rFonts w:eastAsia="等线"/>
                <w:lang w:val="en-US" w:eastAsia="zh-CN" w:bidi="ar"/>
              </w:rPr>
              <w:t>2</w:t>
            </w:r>
            <w:r>
              <w:rPr>
                <w:rStyle w:val="14"/>
                <w:lang w:val="en-US" w:eastAsia="zh-CN" w:bidi="ar"/>
              </w:rPr>
              <w:t>分；</w:t>
            </w:r>
            <w:r>
              <w:rPr>
                <w:rStyle w:val="15"/>
                <w:rFonts w:eastAsia="等线"/>
                <w:lang w:val="en-US" w:eastAsia="zh-CN" w:bidi="ar"/>
              </w:rPr>
              <w:t>0.2%</w:t>
            </w:r>
            <w:r>
              <w:rPr>
                <w:rStyle w:val="14"/>
                <w:lang w:val="en-US" w:eastAsia="zh-CN" w:bidi="ar"/>
              </w:rPr>
              <w:t>≤保险深度＜</w:t>
            </w:r>
            <w:r>
              <w:rPr>
                <w:rStyle w:val="15"/>
                <w:rFonts w:eastAsia="等线"/>
                <w:lang w:val="en-US" w:eastAsia="zh-CN" w:bidi="ar"/>
              </w:rPr>
              <w:t>0.4%</w:t>
            </w:r>
            <w:r>
              <w:rPr>
                <w:rStyle w:val="14"/>
                <w:lang w:val="en-US" w:eastAsia="zh-CN" w:bidi="ar"/>
              </w:rPr>
              <w:t>的，得</w:t>
            </w:r>
            <w:r>
              <w:rPr>
                <w:rStyle w:val="15"/>
                <w:rFonts w:eastAsia="等线"/>
                <w:lang w:val="en-US" w:eastAsia="zh-CN" w:bidi="ar"/>
              </w:rPr>
              <w:t>1</w:t>
            </w:r>
            <w:r>
              <w:rPr>
                <w:rStyle w:val="14"/>
                <w:lang w:val="en-US" w:eastAsia="zh-CN" w:bidi="ar"/>
              </w:rPr>
              <w:t>分；保险深度＜</w:t>
            </w:r>
            <w:r>
              <w:rPr>
                <w:rStyle w:val="15"/>
                <w:rFonts w:eastAsia="等线"/>
                <w:lang w:val="en-US" w:eastAsia="zh-CN" w:bidi="ar"/>
              </w:rPr>
              <w:t>0.2%</w:t>
            </w:r>
            <w:r>
              <w:rPr>
                <w:rStyle w:val="14"/>
                <w:lang w:val="en-US" w:eastAsia="zh-CN" w:bidi="ar"/>
              </w:rPr>
              <w:t>的，得</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保险密度</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保险密度是否达到目标要求。保险密度</w:t>
            </w:r>
            <w:r>
              <w:rPr>
                <w:rStyle w:val="15"/>
                <w:rFonts w:eastAsia="等线"/>
                <w:lang w:val="en-US" w:eastAsia="zh-CN" w:bidi="ar"/>
              </w:rPr>
              <w:t>=</w:t>
            </w:r>
            <w:r>
              <w:rPr>
                <w:rStyle w:val="14"/>
                <w:lang w:val="en-US" w:eastAsia="zh-CN" w:bidi="ar"/>
              </w:rPr>
              <w:t>保费规模</w:t>
            </w:r>
            <w:r>
              <w:rPr>
                <w:rStyle w:val="15"/>
                <w:rFonts w:eastAsia="等线"/>
                <w:lang w:val="en-US" w:eastAsia="zh-CN" w:bidi="ar"/>
              </w:rPr>
              <w:t>/</w:t>
            </w:r>
            <w:r>
              <w:rPr>
                <w:rStyle w:val="14"/>
                <w:lang w:val="en-US" w:eastAsia="zh-CN" w:bidi="ar"/>
              </w:rPr>
              <w:t>农业从业人口。</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保险密度≥</w:t>
            </w:r>
            <w:r>
              <w:rPr>
                <w:rStyle w:val="15"/>
                <w:rFonts w:eastAsia="等线"/>
                <w:lang w:val="en-US" w:eastAsia="zh-CN" w:bidi="ar"/>
              </w:rPr>
              <w:t>500</w:t>
            </w:r>
            <w:r>
              <w:rPr>
                <w:rStyle w:val="14"/>
                <w:lang w:val="en-US" w:eastAsia="zh-CN" w:bidi="ar"/>
              </w:rPr>
              <w:t>元</w:t>
            </w:r>
            <w:r>
              <w:rPr>
                <w:rStyle w:val="15"/>
                <w:rFonts w:eastAsia="等线"/>
                <w:lang w:val="en-US" w:eastAsia="zh-CN" w:bidi="ar"/>
              </w:rPr>
              <w:t>/</w:t>
            </w:r>
            <w:r>
              <w:rPr>
                <w:rStyle w:val="14"/>
                <w:lang w:val="en-US" w:eastAsia="zh-CN" w:bidi="ar"/>
              </w:rPr>
              <w:t>人的，得</w:t>
            </w:r>
            <w:r>
              <w:rPr>
                <w:rStyle w:val="15"/>
                <w:rFonts w:eastAsia="等线"/>
                <w:lang w:val="en-US" w:eastAsia="zh-CN" w:bidi="ar"/>
              </w:rPr>
              <w:t>5</w:t>
            </w:r>
            <w:r>
              <w:rPr>
                <w:rStyle w:val="14"/>
                <w:lang w:val="en-US" w:eastAsia="zh-CN" w:bidi="ar"/>
              </w:rPr>
              <w:t>分；</w:t>
            </w:r>
            <w:r>
              <w:rPr>
                <w:rStyle w:val="15"/>
                <w:rFonts w:eastAsia="等线"/>
                <w:lang w:val="en-US" w:eastAsia="zh-CN" w:bidi="ar"/>
              </w:rPr>
              <w:t>450</w:t>
            </w:r>
            <w:r>
              <w:rPr>
                <w:rStyle w:val="14"/>
                <w:lang w:val="en-US" w:eastAsia="zh-CN" w:bidi="ar"/>
              </w:rPr>
              <w:t>元</w:t>
            </w:r>
            <w:r>
              <w:rPr>
                <w:rStyle w:val="15"/>
                <w:rFonts w:eastAsia="等线"/>
                <w:lang w:val="en-US" w:eastAsia="zh-CN" w:bidi="ar"/>
              </w:rPr>
              <w:t>/</w:t>
            </w:r>
            <w:r>
              <w:rPr>
                <w:rStyle w:val="14"/>
                <w:lang w:val="en-US" w:eastAsia="zh-CN" w:bidi="ar"/>
              </w:rPr>
              <w:t>人≤保险密度＜</w:t>
            </w:r>
            <w:r>
              <w:rPr>
                <w:rStyle w:val="15"/>
                <w:rFonts w:eastAsia="等线"/>
                <w:lang w:val="en-US" w:eastAsia="zh-CN" w:bidi="ar"/>
              </w:rPr>
              <w:t>500</w:t>
            </w:r>
            <w:r>
              <w:rPr>
                <w:rStyle w:val="14"/>
                <w:lang w:val="en-US" w:eastAsia="zh-CN" w:bidi="ar"/>
              </w:rPr>
              <w:t>元</w:t>
            </w:r>
            <w:r>
              <w:rPr>
                <w:rStyle w:val="15"/>
                <w:rFonts w:eastAsia="等线"/>
                <w:lang w:val="en-US" w:eastAsia="zh-CN" w:bidi="ar"/>
              </w:rPr>
              <w:t>/</w:t>
            </w:r>
            <w:r>
              <w:rPr>
                <w:rStyle w:val="14"/>
                <w:lang w:val="en-US" w:eastAsia="zh-CN" w:bidi="ar"/>
              </w:rPr>
              <w:t>人的，得</w:t>
            </w:r>
            <w:r>
              <w:rPr>
                <w:rStyle w:val="15"/>
                <w:rFonts w:eastAsia="等线"/>
                <w:lang w:val="en-US" w:eastAsia="zh-CN" w:bidi="ar"/>
              </w:rPr>
              <w:t>4</w:t>
            </w:r>
            <w:r>
              <w:rPr>
                <w:rStyle w:val="14"/>
                <w:lang w:val="en-US" w:eastAsia="zh-CN" w:bidi="ar"/>
              </w:rPr>
              <w:t>分；</w:t>
            </w:r>
            <w:r>
              <w:rPr>
                <w:rStyle w:val="15"/>
                <w:rFonts w:eastAsia="等线"/>
                <w:lang w:val="en-US" w:eastAsia="zh-CN" w:bidi="ar"/>
              </w:rPr>
              <w:t>400</w:t>
            </w:r>
            <w:r>
              <w:rPr>
                <w:rStyle w:val="14"/>
                <w:lang w:val="en-US" w:eastAsia="zh-CN" w:bidi="ar"/>
              </w:rPr>
              <w:t>元</w:t>
            </w:r>
            <w:r>
              <w:rPr>
                <w:rStyle w:val="15"/>
                <w:rFonts w:eastAsia="等线"/>
                <w:lang w:val="en-US" w:eastAsia="zh-CN" w:bidi="ar"/>
              </w:rPr>
              <w:t>/</w:t>
            </w:r>
            <w:r>
              <w:rPr>
                <w:rStyle w:val="14"/>
                <w:lang w:val="en-US" w:eastAsia="zh-CN" w:bidi="ar"/>
              </w:rPr>
              <w:t>人≤保险密度＜</w:t>
            </w:r>
            <w:r>
              <w:rPr>
                <w:rStyle w:val="15"/>
                <w:rFonts w:eastAsia="等线"/>
                <w:lang w:val="en-US" w:eastAsia="zh-CN" w:bidi="ar"/>
              </w:rPr>
              <w:t>450</w:t>
            </w:r>
            <w:r>
              <w:rPr>
                <w:rStyle w:val="14"/>
                <w:lang w:val="en-US" w:eastAsia="zh-CN" w:bidi="ar"/>
              </w:rPr>
              <w:t>元</w:t>
            </w:r>
            <w:r>
              <w:rPr>
                <w:rStyle w:val="15"/>
                <w:rFonts w:eastAsia="等线"/>
                <w:lang w:val="en-US" w:eastAsia="zh-CN" w:bidi="ar"/>
              </w:rPr>
              <w:t>/</w:t>
            </w:r>
            <w:r>
              <w:rPr>
                <w:rStyle w:val="14"/>
                <w:lang w:val="en-US" w:eastAsia="zh-CN" w:bidi="ar"/>
              </w:rPr>
              <w:t>人的，得</w:t>
            </w:r>
            <w:r>
              <w:rPr>
                <w:rStyle w:val="15"/>
                <w:rFonts w:eastAsia="等线"/>
                <w:lang w:val="en-US" w:eastAsia="zh-CN" w:bidi="ar"/>
              </w:rPr>
              <w:t>3</w:t>
            </w:r>
            <w:r>
              <w:rPr>
                <w:rStyle w:val="14"/>
                <w:lang w:val="en-US" w:eastAsia="zh-CN" w:bidi="ar"/>
              </w:rPr>
              <w:t>分；</w:t>
            </w:r>
            <w:r>
              <w:rPr>
                <w:rStyle w:val="15"/>
                <w:rFonts w:eastAsia="等线"/>
                <w:lang w:val="en-US" w:eastAsia="zh-CN" w:bidi="ar"/>
              </w:rPr>
              <w:t>350</w:t>
            </w:r>
            <w:r>
              <w:rPr>
                <w:rStyle w:val="14"/>
                <w:lang w:val="en-US" w:eastAsia="zh-CN" w:bidi="ar"/>
              </w:rPr>
              <w:t>元</w:t>
            </w:r>
            <w:r>
              <w:rPr>
                <w:rStyle w:val="15"/>
                <w:rFonts w:eastAsia="等线"/>
                <w:lang w:val="en-US" w:eastAsia="zh-CN" w:bidi="ar"/>
              </w:rPr>
              <w:t>/</w:t>
            </w:r>
            <w:r>
              <w:rPr>
                <w:rStyle w:val="14"/>
                <w:lang w:val="en-US" w:eastAsia="zh-CN" w:bidi="ar"/>
              </w:rPr>
              <w:t>人≤保险密度＜</w:t>
            </w:r>
            <w:r>
              <w:rPr>
                <w:rStyle w:val="15"/>
                <w:rFonts w:eastAsia="等线"/>
                <w:lang w:val="en-US" w:eastAsia="zh-CN" w:bidi="ar"/>
              </w:rPr>
              <w:t>400</w:t>
            </w:r>
            <w:r>
              <w:rPr>
                <w:rStyle w:val="14"/>
                <w:lang w:val="en-US" w:eastAsia="zh-CN" w:bidi="ar"/>
              </w:rPr>
              <w:t>元</w:t>
            </w:r>
            <w:r>
              <w:rPr>
                <w:rStyle w:val="15"/>
                <w:rFonts w:eastAsia="等线"/>
                <w:lang w:val="en-US" w:eastAsia="zh-CN" w:bidi="ar"/>
              </w:rPr>
              <w:t>/</w:t>
            </w:r>
            <w:r>
              <w:rPr>
                <w:rStyle w:val="14"/>
                <w:lang w:val="en-US" w:eastAsia="zh-CN" w:bidi="ar"/>
              </w:rPr>
              <w:t>人的，得</w:t>
            </w:r>
            <w:r>
              <w:rPr>
                <w:rStyle w:val="15"/>
                <w:rFonts w:eastAsia="等线"/>
                <w:lang w:val="en-US" w:eastAsia="zh-CN" w:bidi="ar"/>
              </w:rPr>
              <w:t>2</w:t>
            </w:r>
            <w:r>
              <w:rPr>
                <w:rStyle w:val="14"/>
                <w:lang w:val="en-US" w:eastAsia="zh-CN" w:bidi="ar"/>
              </w:rPr>
              <w:t>分；</w:t>
            </w:r>
            <w:r>
              <w:rPr>
                <w:rStyle w:val="15"/>
                <w:rFonts w:eastAsia="等线"/>
                <w:lang w:val="en-US" w:eastAsia="zh-CN" w:bidi="ar"/>
              </w:rPr>
              <w:t>300</w:t>
            </w:r>
            <w:r>
              <w:rPr>
                <w:rStyle w:val="14"/>
                <w:lang w:val="en-US" w:eastAsia="zh-CN" w:bidi="ar"/>
              </w:rPr>
              <w:t>元</w:t>
            </w:r>
            <w:r>
              <w:rPr>
                <w:rStyle w:val="15"/>
                <w:rFonts w:eastAsia="等线"/>
                <w:lang w:val="en-US" w:eastAsia="zh-CN" w:bidi="ar"/>
              </w:rPr>
              <w:t>/</w:t>
            </w:r>
            <w:r>
              <w:rPr>
                <w:rStyle w:val="14"/>
                <w:lang w:val="en-US" w:eastAsia="zh-CN" w:bidi="ar"/>
              </w:rPr>
              <w:t>人≤保险密度＜</w:t>
            </w:r>
            <w:r>
              <w:rPr>
                <w:rStyle w:val="15"/>
                <w:rFonts w:eastAsia="等线"/>
                <w:lang w:val="en-US" w:eastAsia="zh-CN" w:bidi="ar"/>
              </w:rPr>
              <w:t>350</w:t>
            </w:r>
            <w:r>
              <w:rPr>
                <w:rStyle w:val="14"/>
                <w:lang w:val="en-US" w:eastAsia="zh-CN" w:bidi="ar"/>
              </w:rPr>
              <w:t>元</w:t>
            </w:r>
            <w:r>
              <w:rPr>
                <w:rStyle w:val="15"/>
                <w:rFonts w:eastAsia="等线"/>
                <w:lang w:val="en-US" w:eastAsia="zh-CN" w:bidi="ar"/>
              </w:rPr>
              <w:t>/</w:t>
            </w:r>
            <w:r>
              <w:rPr>
                <w:rStyle w:val="14"/>
                <w:lang w:val="en-US" w:eastAsia="zh-CN" w:bidi="ar"/>
              </w:rPr>
              <w:t>人的，得</w:t>
            </w:r>
            <w:r>
              <w:rPr>
                <w:rStyle w:val="15"/>
                <w:rFonts w:eastAsia="等线"/>
                <w:lang w:val="en-US" w:eastAsia="zh-CN" w:bidi="ar"/>
              </w:rPr>
              <w:t>1</w:t>
            </w:r>
            <w:r>
              <w:rPr>
                <w:rStyle w:val="14"/>
                <w:lang w:val="en-US" w:eastAsia="zh-CN" w:bidi="ar"/>
              </w:rPr>
              <w:t>分；保险密度＜</w:t>
            </w:r>
            <w:r>
              <w:rPr>
                <w:rStyle w:val="15"/>
                <w:rFonts w:eastAsia="等线"/>
                <w:lang w:val="en-US" w:eastAsia="zh-CN" w:bidi="ar"/>
              </w:rPr>
              <w:t>300</w:t>
            </w:r>
            <w:r>
              <w:rPr>
                <w:rStyle w:val="14"/>
                <w:lang w:val="en-US" w:eastAsia="zh-CN" w:bidi="ar"/>
              </w:rPr>
              <w:t>元</w:t>
            </w:r>
            <w:r>
              <w:rPr>
                <w:rStyle w:val="15"/>
                <w:rFonts w:eastAsia="等线"/>
                <w:lang w:val="en-US" w:eastAsia="zh-CN" w:bidi="ar"/>
              </w:rPr>
              <w:t>/</w:t>
            </w:r>
            <w:r>
              <w:rPr>
                <w:rStyle w:val="14"/>
                <w:lang w:val="en-US" w:eastAsia="zh-CN" w:bidi="ar"/>
              </w:rPr>
              <w:t>人的，得</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保险覆盖率</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稻谷、玉米、能繁母猪、育肥猪保险品种覆盖率。覆盖率</w:t>
            </w:r>
            <w:r>
              <w:rPr>
                <w:rStyle w:val="15"/>
                <w:rFonts w:eastAsia="等线"/>
                <w:lang w:val="en-US" w:eastAsia="zh-CN" w:bidi="ar"/>
              </w:rPr>
              <w:t>=</w:t>
            </w:r>
            <w:r>
              <w:rPr>
                <w:rStyle w:val="14"/>
                <w:lang w:val="en-US" w:eastAsia="zh-CN" w:bidi="ar"/>
              </w:rPr>
              <w:t>承保面积（数量）</w:t>
            </w:r>
            <w:r>
              <w:rPr>
                <w:rStyle w:val="15"/>
                <w:rFonts w:eastAsia="等线"/>
                <w:lang w:val="en-US" w:eastAsia="zh-CN" w:bidi="ar"/>
              </w:rPr>
              <w:t>/</w:t>
            </w:r>
            <w:r>
              <w:rPr>
                <w:rStyle w:val="14"/>
                <w:lang w:val="en-US" w:eastAsia="zh-CN" w:bidi="ar"/>
              </w:rPr>
              <w:t>种植面积（数量）。</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每个保险品种覆盖率≥</w:t>
            </w:r>
            <w:r>
              <w:rPr>
                <w:rStyle w:val="15"/>
                <w:rFonts w:eastAsia="等线"/>
                <w:lang w:val="en-US" w:eastAsia="zh-CN" w:bidi="ar"/>
              </w:rPr>
              <w:t>70%</w:t>
            </w:r>
            <w:r>
              <w:rPr>
                <w:rStyle w:val="14"/>
                <w:lang w:val="en-US" w:eastAsia="zh-CN" w:bidi="ar"/>
              </w:rPr>
              <w:t>的，得</w:t>
            </w:r>
            <w:r>
              <w:rPr>
                <w:rStyle w:val="15"/>
                <w:rFonts w:eastAsia="等线"/>
                <w:lang w:val="en-US" w:eastAsia="zh-CN" w:bidi="ar"/>
              </w:rPr>
              <w:t>1.25</w:t>
            </w:r>
            <w:r>
              <w:rPr>
                <w:rStyle w:val="14"/>
                <w:lang w:val="en-US" w:eastAsia="zh-CN" w:bidi="ar"/>
              </w:rPr>
              <w:t>分；</w:t>
            </w:r>
            <w:r>
              <w:rPr>
                <w:rStyle w:val="15"/>
                <w:rFonts w:eastAsia="等线"/>
                <w:lang w:val="en-US" w:eastAsia="zh-CN" w:bidi="ar"/>
              </w:rPr>
              <w:t>60%</w:t>
            </w:r>
            <w:r>
              <w:rPr>
                <w:rStyle w:val="14"/>
                <w:lang w:val="en-US" w:eastAsia="zh-CN" w:bidi="ar"/>
              </w:rPr>
              <w:t>≤覆盖率＜</w:t>
            </w:r>
            <w:r>
              <w:rPr>
                <w:rStyle w:val="15"/>
                <w:rFonts w:eastAsia="等线"/>
                <w:lang w:val="en-US" w:eastAsia="zh-CN" w:bidi="ar"/>
              </w:rPr>
              <w:t>70%</w:t>
            </w:r>
            <w:r>
              <w:rPr>
                <w:rStyle w:val="14"/>
                <w:lang w:val="en-US" w:eastAsia="zh-CN" w:bidi="ar"/>
              </w:rPr>
              <w:t>的，得</w:t>
            </w:r>
            <w:r>
              <w:rPr>
                <w:rStyle w:val="15"/>
                <w:rFonts w:eastAsia="等线"/>
                <w:lang w:val="en-US" w:eastAsia="zh-CN" w:bidi="ar"/>
              </w:rPr>
              <w:t>1</w:t>
            </w:r>
            <w:r>
              <w:rPr>
                <w:rStyle w:val="14"/>
                <w:lang w:val="en-US" w:eastAsia="zh-CN" w:bidi="ar"/>
              </w:rPr>
              <w:t>分；</w:t>
            </w:r>
            <w:r>
              <w:rPr>
                <w:rStyle w:val="15"/>
                <w:rFonts w:eastAsia="等线"/>
                <w:lang w:val="en-US" w:eastAsia="zh-CN" w:bidi="ar"/>
              </w:rPr>
              <w:t>50%</w:t>
            </w:r>
            <w:r>
              <w:rPr>
                <w:rStyle w:val="14"/>
                <w:lang w:val="en-US" w:eastAsia="zh-CN" w:bidi="ar"/>
              </w:rPr>
              <w:t>≤覆盖率＜</w:t>
            </w:r>
            <w:r>
              <w:rPr>
                <w:rStyle w:val="15"/>
                <w:rFonts w:eastAsia="等线"/>
                <w:lang w:val="en-US" w:eastAsia="zh-CN" w:bidi="ar"/>
              </w:rPr>
              <w:t>60%</w:t>
            </w:r>
            <w:r>
              <w:rPr>
                <w:rStyle w:val="14"/>
                <w:lang w:val="en-US" w:eastAsia="zh-CN" w:bidi="ar"/>
              </w:rPr>
              <w:t>的，得</w:t>
            </w:r>
            <w:r>
              <w:rPr>
                <w:rStyle w:val="15"/>
                <w:rFonts w:eastAsia="等线"/>
                <w:lang w:val="en-US" w:eastAsia="zh-CN" w:bidi="ar"/>
              </w:rPr>
              <w:t>0.75</w:t>
            </w:r>
            <w:r>
              <w:rPr>
                <w:rStyle w:val="14"/>
                <w:lang w:val="en-US" w:eastAsia="zh-CN" w:bidi="ar"/>
              </w:rPr>
              <w:t>分；</w:t>
            </w:r>
            <w:r>
              <w:rPr>
                <w:rStyle w:val="15"/>
                <w:rFonts w:eastAsia="等线"/>
                <w:lang w:val="en-US" w:eastAsia="zh-CN" w:bidi="ar"/>
              </w:rPr>
              <w:t>40%</w:t>
            </w:r>
            <w:r>
              <w:rPr>
                <w:rStyle w:val="14"/>
                <w:lang w:val="en-US" w:eastAsia="zh-CN" w:bidi="ar"/>
              </w:rPr>
              <w:t>≤覆盖率＜</w:t>
            </w:r>
            <w:r>
              <w:rPr>
                <w:rStyle w:val="15"/>
                <w:rFonts w:eastAsia="等线"/>
                <w:lang w:val="en-US" w:eastAsia="zh-CN" w:bidi="ar"/>
              </w:rPr>
              <w:t>50%</w:t>
            </w:r>
            <w:r>
              <w:rPr>
                <w:rStyle w:val="14"/>
                <w:lang w:val="en-US" w:eastAsia="zh-CN" w:bidi="ar"/>
              </w:rPr>
              <w:t>的，得</w:t>
            </w:r>
            <w:r>
              <w:rPr>
                <w:rStyle w:val="15"/>
                <w:rFonts w:eastAsia="等线"/>
                <w:lang w:val="en-US" w:eastAsia="zh-CN" w:bidi="ar"/>
              </w:rPr>
              <w:t>0.5</w:t>
            </w:r>
            <w:r>
              <w:rPr>
                <w:rStyle w:val="14"/>
                <w:lang w:val="en-US" w:eastAsia="zh-CN" w:bidi="ar"/>
              </w:rPr>
              <w:t>分；</w:t>
            </w:r>
            <w:r>
              <w:rPr>
                <w:rStyle w:val="15"/>
                <w:rFonts w:eastAsia="等线"/>
                <w:lang w:val="en-US" w:eastAsia="zh-CN" w:bidi="ar"/>
              </w:rPr>
              <w:t>30%</w:t>
            </w:r>
            <w:r>
              <w:rPr>
                <w:rStyle w:val="14"/>
                <w:lang w:val="en-US" w:eastAsia="zh-CN" w:bidi="ar"/>
              </w:rPr>
              <w:t>≤覆盖率＜</w:t>
            </w:r>
            <w:r>
              <w:rPr>
                <w:rStyle w:val="15"/>
                <w:rFonts w:eastAsia="等线"/>
                <w:lang w:val="en-US" w:eastAsia="zh-CN" w:bidi="ar"/>
              </w:rPr>
              <w:t>40%</w:t>
            </w:r>
            <w:r>
              <w:rPr>
                <w:rStyle w:val="14"/>
                <w:lang w:val="en-US" w:eastAsia="zh-CN" w:bidi="ar"/>
              </w:rPr>
              <w:t>的，得</w:t>
            </w:r>
            <w:r>
              <w:rPr>
                <w:rStyle w:val="15"/>
                <w:rFonts w:eastAsia="等线"/>
                <w:lang w:val="en-US" w:eastAsia="zh-CN" w:bidi="ar"/>
              </w:rPr>
              <w:t>0.25</w:t>
            </w:r>
            <w:r>
              <w:rPr>
                <w:rStyle w:val="14"/>
                <w:lang w:val="en-US" w:eastAsia="zh-CN" w:bidi="ar"/>
              </w:rPr>
              <w:t>分；覆盖率＜</w:t>
            </w:r>
            <w:r>
              <w:rPr>
                <w:rStyle w:val="15"/>
                <w:rFonts w:eastAsia="等线"/>
                <w:lang w:val="en-US" w:eastAsia="zh-CN" w:bidi="ar"/>
              </w:rPr>
              <w:t>30%</w:t>
            </w:r>
            <w:r>
              <w:rPr>
                <w:rStyle w:val="14"/>
                <w:lang w:val="en-US" w:eastAsia="zh-CN" w:bidi="ar"/>
              </w:rPr>
              <w:t>的，得</w:t>
            </w:r>
            <w:r>
              <w:rPr>
                <w:rStyle w:val="15"/>
                <w:rFonts w:eastAsia="等线"/>
                <w:lang w:val="en-US" w:eastAsia="zh-CN" w:bidi="ar"/>
              </w:rPr>
              <w:t>0</w:t>
            </w:r>
            <w:r>
              <w:rPr>
                <w:rStyle w:val="14"/>
                <w:lang w:val="en-US" w:eastAsia="zh-CN" w:bidi="ar"/>
              </w:rPr>
              <w:t>分。</w:t>
            </w:r>
            <w:r>
              <w:rPr>
                <w:rStyle w:val="14"/>
                <w:lang w:val="en-US" w:eastAsia="zh-CN" w:bidi="ar"/>
              </w:rPr>
              <w:br w:type="textWrapping"/>
            </w:r>
            <w:r>
              <w:rPr>
                <w:rStyle w:val="14"/>
                <w:lang w:val="en-US" w:eastAsia="zh-CN" w:bidi="ar"/>
              </w:rPr>
              <w:t>该项得分为每个保险品种得分总和，最高不超过</w:t>
            </w:r>
            <w:r>
              <w:rPr>
                <w:rStyle w:val="15"/>
                <w:rFonts w:eastAsia="等线"/>
                <w:lang w:val="en-US" w:eastAsia="zh-CN" w:bidi="ar"/>
              </w:rPr>
              <w:t>5</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保险保障水平</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农业保险保额增幅超过第一产业增加值增幅的程度。</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超过</w:t>
            </w:r>
            <w:r>
              <w:rPr>
                <w:rStyle w:val="15"/>
                <w:rFonts w:eastAsia="等线"/>
                <w:lang w:val="en-US" w:eastAsia="zh-CN" w:bidi="ar"/>
              </w:rPr>
              <w:t>10%</w:t>
            </w:r>
            <w:r>
              <w:rPr>
                <w:rStyle w:val="14"/>
                <w:lang w:val="en-US" w:eastAsia="zh-CN" w:bidi="ar"/>
              </w:rPr>
              <w:t>（</w:t>
            </w:r>
            <w:r>
              <w:rPr>
                <w:rStyle w:val="15"/>
                <w:rFonts w:eastAsia="等线"/>
                <w:lang w:val="en-US" w:eastAsia="zh-CN" w:bidi="ar"/>
              </w:rPr>
              <w:t>3</w:t>
            </w:r>
            <w:r>
              <w:rPr>
                <w:rStyle w:val="14"/>
                <w:lang w:val="en-US" w:eastAsia="zh-CN" w:bidi="ar"/>
              </w:rPr>
              <w:t>分）、</w:t>
            </w:r>
            <w:r>
              <w:rPr>
                <w:rStyle w:val="15"/>
                <w:rFonts w:eastAsia="等线"/>
                <w:lang w:val="en-US" w:eastAsia="zh-CN" w:bidi="ar"/>
              </w:rPr>
              <w:t>8%</w:t>
            </w:r>
            <w:r>
              <w:rPr>
                <w:rStyle w:val="14"/>
                <w:lang w:val="en-US" w:eastAsia="zh-CN" w:bidi="ar"/>
              </w:rPr>
              <w:t>（含）至</w:t>
            </w:r>
            <w:r>
              <w:rPr>
                <w:rStyle w:val="15"/>
                <w:rFonts w:eastAsia="等线"/>
                <w:lang w:val="en-US" w:eastAsia="zh-CN" w:bidi="ar"/>
              </w:rPr>
              <w:t>10%</w:t>
            </w:r>
            <w:r>
              <w:rPr>
                <w:rStyle w:val="14"/>
                <w:lang w:val="en-US" w:eastAsia="zh-CN" w:bidi="ar"/>
              </w:rPr>
              <w:t>（</w:t>
            </w:r>
            <w:r>
              <w:rPr>
                <w:rStyle w:val="15"/>
                <w:rFonts w:eastAsia="等线"/>
                <w:lang w:val="en-US" w:eastAsia="zh-CN" w:bidi="ar"/>
              </w:rPr>
              <w:t>2.5</w:t>
            </w:r>
            <w:r>
              <w:rPr>
                <w:rStyle w:val="14"/>
                <w:lang w:val="en-US" w:eastAsia="zh-CN" w:bidi="ar"/>
              </w:rPr>
              <w:t>分）、</w:t>
            </w:r>
            <w:r>
              <w:rPr>
                <w:rStyle w:val="15"/>
                <w:rFonts w:eastAsia="等线"/>
                <w:lang w:val="en-US" w:eastAsia="zh-CN" w:bidi="ar"/>
              </w:rPr>
              <w:t>6%</w:t>
            </w:r>
            <w:r>
              <w:rPr>
                <w:rStyle w:val="14"/>
                <w:lang w:val="en-US" w:eastAsia="zh-CN" w:bidi="ar"/>
              </w:rPr>
              <w:t>（含）至</w:t>
            </w:r>
            <w:r>
              <w:rPr>
                <w:rStyle w:val="15"/>
                <w:rFonts w:eastAsia="等线"/>
                <w:lang w:val="en-US" w:eastAsia="zh-CN" w:bidi="ar"/>
              </w:rPr>
              <w:t>8%</w:t>
            </w:r>
            <w:r>
              <w:rPr>
                <w:rStyle w:val="14"/>
                <w:lang w:val="en-US" w:eastAsia="zh-CN" w:bidi="ar"/>
              </w:rPr>
              <w:t>（</w:t>
            </w:r>
            <w:r>
              <w:rPr>
                <w:rStyle w:val="15"/>
                <w:rFonts w:eastAsia="等线"/>
                <w:lang w:val="en-US" w:eastAsia="zh-CN" w:bidi="ar"/>
              </w:rPr>
              <w:t>2</w:t>
            </w:r>
            <w:r>
              <w:rPr>
                <w:rStyle w:val="14"/>
                <w:lang w:val="en-US" w:eastAsia="zh-CN" w:bidi="ar"/>
              </w:rPr>
              <w:t>分）、</w:t>
            </w:r>
            <w:r>
              <w:rPr>
                <w:rStyle w:val="15"/>
                <w:rFonts w:eastAsia="等线"/>
                <w:lang w:val="en-US" w:eastAsia="zh-CN" w:bidi="ar"/>
              </w:rPr>
              <w:t>4%</w:t>
            </w:r>
            <w:r>
              <w:rPr>
                <w:rStyle w:val="14"/>
                <w:lang w:val="en-US" w:eastAsia="zh-CN" w:bidi="ar"/>
              </w:rPr>
              <w:t>（含）至</w:t>
            </w:r>
            <w:r>
              <w:rPr>
                <w:rStyle w:val="15"/>
                <w:rFonts w:eastAsia="等线"/>
                <w:lang w:val="en-US" w:eastAsia="zh-CN" w:bidi="ar"/>
              </w:rPr>
              <w:t>6%</w:t>
            </w:r>
            <w:r>
              <w:rPr>
                <w:rStyle w:val="14"/>
                <w:lang w:val="en-US" w:eastAsia="zh-CN" w:bidi="ar"/>
              </w:rPr>
              <w:t>（</w:t>
            </w:r>
            <w:r>
              <w:rPr>
                <w:rStyle w:val="15"/>
                <w:rFonts w:eastAsia="等线"/>
                <w:lang w:val="en-US" w:eastAsia="zh-CN" w:bidi="ar"/>
              </w:rPr>
              <w:t>1.5</w:t>
            </w:r>
            <w:r>
              <w:rPr>
                <w:rStyle w:val="14"/>
                <w:lang w:val="en-US" w:eastAsia="zh-CN" w:bidi="ar"/>
              </w:rPr>
              <w:t>分）、</w:t>
            </w:r>
            <w:r>
              <w:rPr>
                <w:rStyle w:val="15"/>
                <w:rFonts w:eastAsia="等线"/>
                <w:lang w:val="en-US" w:eastAsia="zh-CN" w:bidi="ar"/>
              </w:rPr>
              <w:t>2%</w:t>
            </w:r>
            <w:r>
              <w:rPr>
                <w:rStyle w:val="14"/>
                <w:lang w:val="en-US" w:eastAsia="zh-CN" w:bidi="ar"/>
              </w:rPr>
              <w:t>（含）至</w:t>
            </w:r>
            <w:r>
              <w:rPr>
                <w:rStyle w:val="15"/>
                <w:rFonts w:eastAsia="等线"/>
                <w:lang w:val="en-US" w:eastAsia="zh-CN" w:bidi="ar"/>
              </w:rPr>
              <w:t>4%</w:t>
            </w:r>
            <w:r>
              <w:rPr>
                <w:rStyle w:val="14"/>
                <w:lang w:val="en-US" w:eastAsia="zh-CN" w:bidi="ar"/>
              </w:rPr>
              <w:t>（</w:t>
            </w:r>
            <w:r>
              <w:rPr>
                <w:rStyle w:val="15"/>
                <w:rFonts w:eastAsia="等线"/>
                <w:lang w:val="en-US" w:eastAsia="zh-CN" w:bidi="ar"/>
              </w:rPr>
              <w:t>1</w:t>
            </w:r>
            <w:r>
              <w:rPr>
                <w:rStyle w:val="14"/>
                <w:lang w:val="en-US" w:eastAsia="zh-CN" w:bidi="ar"/>
              </w:rPr>
              <w:t>分）、</w:t>
            </w:r>
            <w:r>
              <w:rPr>
                <w:rStyle w:val="15"/>
                <w:rFonts w:eastAsia="等线"/>
                <w:lang w:val="en-US" w:eastAsia="zh-CN" w:bidi="ar"/>
              </w:rPr>
              <w:t>2%</w:t>
            </w:r>
            <w:r>
              <w:rPr>
                <w:rStyle w:val="14"/>
                <w:lang w:val="en-US" w:eastAsia="zh-CN" w:bidi="ar"/>
              </w:rPr>
              <w:t>以下（</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3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项目效益</w:t>
            </w:r>
          </w:p>
        </w:tc>
        <w:tc>
          <w:tcPr>
            <w:tcW w:w="6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农户受益度</w:t>
            </w:r>
          </w:p>
        </w:tc>
        <w:tc>
          <w:tcPr>
            <w:tcW w:w="28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区县农业保险保费补贴使农户受益的程度。</w:t>
            </w:r>
          </w:p>
        </w:tc>
        <w:tc>
          <w:tcPr>
            <w:tcW w:w="142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出险后，农户获得的赔款总金额为受灾农户自缴保费金额的</w:t>
            </w:r>
            <w:r>
              <w:rPr>
                <w:rStyle w:val="15"/>
                <w:rFonts w:eastAsia="等线"/>
                <w:lang w:val="en-US" w:eastAsia="zh-CN" w:bidi="ar"/>
              </w:rPr>
              <w:t>8</w:t>
            </w:r>
            <w:r>
              <w:rPr>
                <w:rStyle w:val="14"/>
                <w:lang w:val="en-US" w:eastAsia="zh-CN" w:bidi="ar"/>
              </w:rPr>
              <w:t>倍（含）以上（</w:t>
            </w:r>
            <w:r>
              <w:rPr>
                <w:rStyle w:val="15"/>
                <w:rFonts w:eastAsia="等线"/>
                <w:lang w:val="en-US" w:eastAsia="zh-CN" w:bidi="ar"/>
              </w:rPr>
              <w:t>3</w:t>
            </w:r>
            <w:r>
              <w:rPr>
                <w:rStyle w:val="14"/>
                <w:lang w:val="en-US" w:eastAsia="zh-CN" w:bidi="ar"/>
              </w:rPr>
              <w:t>分）、</w:t>
            </w:r>
            <w:r>
              <w:rPr>
                <w:rStyle w:val="15"/>
                <w:rFonts w:eastAsia="等线"/>
                <w:lang w:val="en-US" w:eastAsia="zh-CN" w:bidi="ar"/>
              </w:rPr>
              <w:t>6</w:t>
            </w:r>
            <w:r>
              <w:rPr>
                <w:rStyle w:val="14"/>
                <w:lang w:val="en-US" w:eastAsia="zh-CN" w:bidi="ar"/>
              </w:rPr>
              <w:t>倍（含）至</w:t>
            </w:r>
            <w:r>
              <w:rPr>
                <w:rStyle w:val="15"/>
                <w:rFonts w:eastAsia="等线"/>
                <w:lang w:val="en-US" w:eastAsia="zh-CN" w:bidi="ar"/>
              </w:rPr>
              <w:t>8</w:t>
            </w:r>
            <w:r>
              <w:rPr>
                <w:rStyle w:val="14"/>
                <w:lang w:val="en-US" w:eastAsia="zh-CN" w:bidi="ar"/>
              </w:rPr>
              <w:t>倍（</w:t>
            </w:r>
            <w:r>
              <w:rPr>
                <w:rStyle w:val="15"/>
                <w:rFonts w:eastAsia="等线"/>
                <w:lang w:val="en-US" w:eastAsia="zh-CN" w:bidi="ar"/>
              </w:rPr>
              <w:t>2.5</w:t>
            </w:r>
            <w:r>
              <w:rPr>
                <w:rStyle w:val="14"/>
                <w:lang w:val="en-US" w:eastAsia="zh-CN" w:bidi="ar"/>
              </w:rPr>
              <w:t>分）、</w:t>
            </w:r>
            <w:r>
              <w:rPr>
                <w:rStyle w:val="15"/>
                <w:rFonts w:eastAsia="等线"/>
                <w:lang w:val="en-US" w:eastAsia="zh-CN" w:bidi="ar"/>
              </w:rPr>
              <w:t>4</w:t>
            </w:r>
            <w:r>
              <w:rPr>
                <w:rStyle w:val="14"/>
                <w:lang w:val="en-US" w:eastAsia="zh-CN" w:bidi="ar"/>
              </w:rPr>
              <w:t>倍（含）至</w:t>
            </w:r>
            <w:r>
              <w:rPr>
                <w:rStyle w:val="15"/>
                <w:rFonts w:eastAsia="等线"/>
                <w:lang w:val="en-US" w:eastAsia="zh-CN" w:bidi="ar"/>
              </w:rPr>
              <w:t>6</w:t>
            </w:r>
            <w:r>
              <w:rPr>
                <w:rStyle w:val="14"/>
                <w:lang w:val="en-US" w:eastAsia="zh-CN" w:bidi="ar"/>
              </w:rPr>
              <w:t>倍（</w:t>
            </w:r>
            <w:r>
              <w:rPr>
                <w:rStyle w:val="15"/>
                <w:rFonts w:eastAsia="等线"/>
                <w:lang w:val="en-US" w:eastAsia="zh-CN" w:bidi="ar"/>
              </w:rPr>
              <w:t>2</w:t>
            </w:r>
            <w:r>
              <w:rPr>
                <w:rStyle w:val="14"/>
                <w:lang w:val="en-US" w:eastAsia="zh-CN" w:bidi="ar"/>
              </w:rPr>
              <w:t>分）、</w:t>
            </w:r>
            <w:r>
              <w:rPr>
                <w:rStyle w:val="15"/>
                <w:rFonts w:eastAsia="等线"/>
                <w:lang w:val="en-US" w:eastAsia="zh-CN" w:bidi="ar"/>
              </w:rPr>
              <w:t>2</w:t>
            </w:r>
            <w:r>
              <w:rPr>
                <w:rStyle w:val="14"/>
                <w:lang w:val="en-US" w:eastAsia="zh-CN" w:bidi="ar"/>
              </w:rPr>
              <w:t>倍（含）至</w:t>
            </w:r>
            <w:r>
              <w:rPr>
                <w:rStyle w:val="15"/>
                <w:rFonts w:eastAsia="等线"/>
                <w:lang w:val="en-US" w:eastAsia="zh-CN" w:bidi="ar"/>
              </w:rPr>
              <w:t>4</w:t>
            </w:r>
            <w:r>
              <w:rPr>
                <w:rStyle w:val="14"/>
                <w:lang w:val="en-US" w:eastAsia="zh-CN" w:bidi="ar"/>
              </w:rPr>
              <w:t>倍（</w:t>
            </w:r>
            <w:r>
              <w:rPr>
                <w:rStyle w:val="15"/>
                <w:rFonts w:eastAsia="等线"/>
                <w:lang w:val="en-US" w:eastAsia="zh-CN" w:bidi="ar"/>
              </w:rPr>
              <w:t>1.5</w:t>
            </w:r>
            <w:r>
              <w:rPr>
                <w:rStyle w:val="14"/>
                <w:lang w:val="en-US" w:eastAsia="zh-CN" w:bidi="ar"/>
              </w:rPr>
              <w:t>分）、</w:t>
            </w:r>
            <w:r>
              <w:rPr>
                <w:rStyle w:val="15"/>
                <w:rFonts w:eastAsia="等线"/>
                <w:lang w:val="en-US" w:eastAsia="zh-CN" w:bidi="ar"/>
              </w:rPr>
              <w:t>1</w:t>
            </w:r>
            <w:r>
              <w:rPr>
                <w:rStyle w:val="14"/>
                <w:lang w:val="en-US" w:eastAsia="zh-CN" w:bidi="ar"/>
              </w:rPr>
              <w:t>倍（含）至</w:t>
            </w:r>
            <w:r>
              <w:rPr>
                <w:rStyle w:val="15"/>
                <w:rFonts w:eastAsia="等线"/>
                <w:lang w:val="en-US" w:eastAsia="zh-CN" w:bidi="ar"/>
              </w:rPr>
              <w:t>2</w:t>
            </w:r>
            <w:r>
              <w:rPr>
                <w:rStyle w:val="14"/>
                <w:lang w:val="en-US" w:eastAsia="zh-CN" w:bidi="ar"/>
              </w:rPr>
              <w:t>倍（</w:t>
            </w:r>
            <w:r>
              <w:rPr>
                <w:rStyle w:val="15"/>
                <w:rFonts w:eastAsia="等线"/>
                <w:lang w:val="en-US" w:eastAsia="zh-CN" w:bidi="ar"/>
              </w:rPr>
              <w:t>1</w:t>
            </w:r>
            <w:r>
              <w:rPr>
                <w:rStyle w:val="14"/>
                <w:lang w:val="en-US" w:eastAsia="zh-CN" w:bidi="ar"/>
              </w:rPr>
              <w:t>分），赔款总金额低于农户自缴保费金额的（</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减少灾害损失</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抽取一定数量不同程度农户为样本，以样本农户保险赔款与成本损失之比，反映受灾农户成本损失补偿情况。损失补偿率</w:t>
            </w:r>
            <w:r>
              <w:rPr>
                <w:rStyle w:val="15"/>
                <w:rFonts w:eastAsia="等线"/>
                <w:lang w:val="en-US" w:eastAsia="zh-CN" w:bidi="ar"/>
              </w:rPr>
              <w:t>=</w:t>
            </w:r>
            <w:r>
              <w:rPr>
                <w:rStyle w:val="14"/>
                <w:lang w:val="en-US" w:eastAsia="zh-CN" w:bidi="ar"/>
              </w:rPr>
              <w:t>农户保险赔款金额</w:t>
            </w:r>
            <w:r>
              <w:rPr>
                <w:rStyle w:val="15"/>
                <w:rFonts w:eastAsia="等线"/>
                <w:lang w:val="en-US" w:eastAsia="zh-CN" w:bidi="ar"/>
              </w:rPr>
              <w:t>/</w:t>
            </w:r>
            <w:r>
              <w:rPr>
                <w:rStyle w:val="14"/>
                <w:lang w:val="en-US" w:eastAsia="zh-CN" w:bidi="ar"/>
              </w:rPr>
              <w:t>生产成本损失</w:t>
            </w:r>
            <w:r>
              <w:rPr>
                <w:rStyle w:val="15"/>
                <w:rFonts w:eastAsia="等线"/>
                <w:lang w:val="en-US" w:eastAsia="zh-CN" w:bidi="ar"/>
              </w:rPr>
              <w:t>*100%</w:t>
            </w:r>
            <w:r>
              <w:rPr>
                <w:rStyle w:val="14"/>
                <w:lang w:val="en-US" w:eastAsia="zh-CN" w:bidi="ar"/>
              </w:rPr>
              <w:t>。</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受灾农户生产成本损失补偿率</w:t>
            </w:r>
            <w:r>
              <w:rPr>
                <w:rStyle w:val="15"/>
                <w:rFonts w:eastAsia="等线"/>
                <w:lang w:val="en-US" w:eastAsia="zh-CN" w:bidi="ar"/>
              </w:rPr>
              <w:t>90%</w:t>
            </w:r>
            <w:r>
              <w:rPr>
                <w:rStyle w:val="14"/>
                <w:lang w:val="en-US" w:eastAsia="zh-CN" w:bidi="ar"/>
              </w:rPr>
              <w:t>（含）以上（</w:t>
            </w:r>
            <w:r>
              <w:rPr>
                <w:rStyle w:val="15"/>
                <w:rFonts w:eastAsia="等线"/>
                <w:lang w:val="en-US" w:eastAsia="zh-CN" w:bidi="ar"/>
              </w:rPr>
              <w:t>3</w:t>
            </w:r>
            <w:r>
              <w:rPr>
                <w:rStyle w:val="14"/>
                <w:lang w:val="en-US" w:eastAsia="zh-CN" w:bidi="ar"/>
              </w:rPr>
              <w:t>分）、</w:t>
            </w:r>
            <w:r>
              <w:rPr>
                <w:rStyle w:val="15"/>
                <w:rFonts w:eastAsia="等线"/>
                <w:lang w:val="en-US" w:eastAsia="zh-CN" w:bidi="ar"/>
              </w:rPr>
              <w:t>70%</w:t>
            </w:r>
            <w:r>
              <w:rPr>
                <w:rStyle w:val="14"/>
                <w:lang w:val="en-US" w:eastAsia="zh-CN" w:bidi="ar"/>
              </w:rPr>
              <w:t>（含）至</w:t>
            </w:r>
            <w:r>
              <w:rPr>
                <w:rStyle w:val="15"/>
                <w:rFonts w:eastAsia="等线"/>
                <w:lang w:val="en-US" w:eastAsia="zh-CN" w:bidi="ar"/>
              </w:rPr>
              <w:t>90%</w:t>
            </w:r>
            <w:r>
              <w:rPr>
                <w:rStyle w:val="14"/>
                <w:lang w:val="en-US" w:eastAsia="zh-CN" w:bidi="ar"/>
              </w:rPr>
              <w:t>（</w:t>
            </w:r>
            <w:r>
              <w:rPr>
                <w:rStyle w:val="15"/>
                <w:rFonts w:eastAsia="等线"/>
                <w:lang w:val="en-US" w:eastAsia="zh-CN" w:bidi="ar"/>
              </w:rPr>
              <w:t>2</w:t>
            </w:r>
            <w:r>
              <w:rPr>
                <w:rStyle w:val="14"/>
                <w:lang w:val="en-US" w:eastAsia="zh-CN" w:bidi="ar"/>
              </w:rPr>
              <w:t>分）、</w:t>
            </w:r>
            <w:r>
              <w:rPr>
                <w:rStyle w:val="15"/>
                <w:rFonts w:eastAsia="等线"/>
                <w:lang w:val="en-US" w:eastAsia="zh-CN" w:bidi="ar"/>
              </w:rPr>
              <w:t>50%</w:t>
            </w:r>
            <w:r>
              <w:rPr>
                <w:rStyle w:val="14"/>
                <w:lang w:val="en-US" w:eastAsia="zh-CN" w:bidi="ar"/>
              </w:rPr>
              <w:t>（含）至</w:t>
            </w:r>
            <w:r>
              <w:rPr>
                <w:rStyle w:val="15"/>
                <w:rFonts w:eastAsia="等线"/>
                <w:lang w:val="en-US" w:eastAsia="zh-CN" w:bidi="ar"/>
              </w:rPr>
              <w:t>70%</w:t>
            </w:r>
            <w:r>
              <w:rPr>
                <w:rStyle w:val="14"/>
                <w:lang w:val="en-US" w:eastAsia="zh-CN" w:bidi="ar"/>
              </w:rPr>
              <w:t>（</w:t>
            </w:r>
            <w:r>
              <w:rPr>
                <w:rStyle w:val="15"/>
                <w:rFonts w:eastAsia="等线"/>
                <w:lang w:val="en-US" w:eastAsia="zh-CN" w:bidi="ar"/>
              </w:rPr>
              <w:t>1</w:t>
            </w:r>
            <w:r>
              <w:rPr>
                <w:rStyle w:val="14"/>
                <w:lang w:val="en-US" w:eastAsia="zh-CN" w:bidi="ar"/>
              </w:rPr>
              <w:t>分）、</w:t>
            </w:r>
            <w:r>
              <w:rPr>
                <w:rStyle w:val="15"/>
                <w:rFonts w:eastAsia="等线"/>
                <w:lang w:val="en-US" w:eastAsia="zh-CN" w:bidi="ar"/>
              </w:rPr>
              <w:t>50%</w:t>
            </w:r>
            <w:r>
              <w:rPr>
                <w:rStyle w:val="14"/>
                <w:lang w:val="en-US" w:eastAsia="zh-CN" w:bidi="ar"/>
              </w:rPr>
              <w:t>以下（</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促进生产集约化</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户均投保面积变化情况。</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户均投保面积同比提高</w:t>
            </w:r>
            <w:r>
              <w:rPr>
                <w:rStyle w:val="15"/>
                <w:rFonts w:eastAsia="等线"/>
                <w:lang w:val="en-US" w:eastAsia="zh-CN" w:bidi="ar"/>
              </w:rPr>
              <w:t>3%</w:t>
            </w:r>
            <w:r>
              <w:rPr>
                <w:rStyle w:val="14"/>
                <w:lang w:val="en-US" w:eastAsia="zh-CN" w:bidi="ar"/>
              </w:rPr>
              <w:t>及以上（</w:t>
            </w:r>
            <w:r>
              <w:rPr>
                <w:rStyle w:val="15"/>
                <w:rFonts w:eastAsia="等线"/>
                <w:lang w:val="en-US" w:eastAsia="zh-CN" w:bidi="ar"/>
              </w:rPr>
              <w:t>3</w:t>
            </w:r>
            <w:r>
              <w:rPr>
                <w:rStyle w:val="14"/>
                <w:lang w:val="en-US" w:eastAsia="zh-CN" w:bidi="ar"/>
              </w:rPr>
              <w:t>分）、</w:t>
            </w:r>
            <w:r>
              <w:rPr>
                <w:rStyle w:val="15"/>
                <w:rFonts w:eastAsia="等线"/>
                <w:lang w:val="en-US" w:eastAsia="zh-CN" w:bidi="ar"/>
              </w:rPr>
              <w:t>2%</w:t>
            </w:r>
            <w:r>
              <w:rPr>
                <w:rStyle w:val="14"/>
                <w:lang w:val="en-US" w:eastAsia="zh-CN" w:bidi="ar"/>
              </w:rPr>
              <w:t>及以上（</w:t>
            </w:r>
            <w:r>
              <w:rPr>
                <w:rStyle w:val="15"/>
                <w:rFonts w:eastAsia="等线"/>
                <w:lang w:val="en-US" w:eastAsia="zh-CN" w:bidi="ar"/>
              </w:rPr>
              <w:t>2</w:t>
            </w:r>
            <w:r>
              <w:rPr>
                <w:rStyle w:val="14"/>
                <w:lang w:val="en-US" w:eastAsia="zh-CN" w:bidi="ar"/>
              </w:rPr>
              <w:t>分）、</w:t>
            </w:r>
            <w:r>
              <w:rPr>
                <w:rStyle w:val="15"/>
                <w:rFonts w:eastAsia="等线"/>
                <w:lang w:val="en-US" w:eastAsia="zh-CN" w:bidi="ar"/>
              </w:rPr>
              <w:t>1%</w:t>
            </w:r>
            <w:r>
              <w:rPr>
                <w:rStyle w:val="14"/>
                <w:lang w:val="en-US" w:eastAsia="zh-CN" w:bidi="ar"/>
              </w:rPr>
              <w:t>及以上（</w:t>
            </w:r>
            <w:r>
              <w:rPr>
                <w:rStyle w:val="15"/>
                <w:rFonts w:eastAsia="等线"/>
                <w:lang w:val="en-US" w:eastAsia="zh-CN" w:bidi="ar"/>
              </w:rPr>
              <w:t>1</w:t>
            </w:r>
            <w:r>
              <w:rPr>
                <w:rStyle w:val="14"/>
                <w:lang w:val="en-US" w:eastAsia="zh-CN" w:bidi="ar"/>
              </w:rPr>
              <w:t>分）</w:t>
            </w:r>
            <w:r>
              <w:rPr>
                <w:rStyle w:val="15"/>
                <w:rFonts w:eastAsia="等线"/>
                <w:lang w:val="en-US" w:eastAsia="zh-CN" w:bidi="ar"/>
              </w:rPr>
              <w:t>1%</w:t>
            </w:r>
            <w:r>
              <w:rPr>
                <w:rStyle w:val="14"/>
                <w:lang w:val="en-US" w:eastAsia="zh-CN" w:bidi="ar"/>
              </w:rPr>
              <w:t>以下（</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满意度</w:t>
            </w: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政策知晓率</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随机抽取一定数量的农户调查其对农业保险政策的知晓度。知晓度</w:t>
            </w:r>
            <w:r>
              <w:rPr>
                <w:rStyle w:val="15"/>
                <w:rFonts w:eastAsia="等线"/>
                <w:lang w:val="en-US" w:eastAsia="zh-CN" w:bidi="ar"/>
              </w:rPr>
              <w:t>=</w:t>
            </w:r>
            <w:r>
              <w:rPr>
                <w:rStyle w:val="14"/>
                <w:lang w:val="en-US" w:eastAsia="zh-CN" w:bidi="ar"/>
              </w:rPr>
              <w:t>知晓人数</w:t>
            </w:r>
            <w:r>
              <w:rPr>
                <w:rStyle w:val="15"/>
                <w:rFonts w:eastAsia="等线"/>
                <w:lang w:val="en-US" w:eastAsia="zh-CN" w:bidi="ar"/>
              </w:rPr>
              <w:t>/</w:t>
            </w:r>
            <w:r>
              <w:rPr>
                <w:rStyle w:val="14"/>
                <w:lang w:val="en-US" w:eastAsia="zh-CN" w:bidi="ar"/>
              </w:rPr>
              <w:t>调查总人数</w:t>
            </w:r>
            <w:r>
              <w:rPr>
                <w:rStyle w:val="15"/>
                <w:rFonts w:eastAsia="等线"/>
                <w:lang w:val="en-US" w:eastAsia="zh-CN" w:bidi="ar"/>
              </w:rPr>
              <w:t>*100%</w:t>
            </w:r>
            <w:r>
              <w:rPr>
                <w:rStyle w:val="14"/>
                <w:lang w:val="en-US" w:eastAsia="zh-CN" w:bidi="ar"/>
              </w:rPr>
              <w:t>。</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知晓率</w:t>
            </w:r>
            <w:r>
              <w:rPr>
                <w:rStyle w:val="15"/>
                <w:rFonts w:eastAsia="等线"/>
                <w:lang w:val="en-US" w:eastAsia="zh-CN" w:bidi="ar"/>
              </w:rPr>
              <w:t>90%</w:t>
            </w:r>
            <w:r>
              <w:rPr>
                <w:rStyle w:val="14"/>
                <w:lang w:val="en-US" w:eastAsia="zh-CN" w:bidi="ar"/>
              </w:rPr>
              <w:t>（含）以上（</w:t>
            </w:r>
            <w:r>
              <w:rPr>
                <w:rStyle w:val="15"/>
                <w:rFonts w:eastAsia="等线"/>
                <w:lang w:val="en-US" w:eastAsia="zh-CN" w:bidi="ar"/>
              </w:rPr>
              <w:t>4</w:t>
            </w:r>
            <w:r>
              <w:rPr>
                <w:rStyle w:val="14"/>
                <w:lang w:val="en-US" w:eastAsia="zh-CN" w:bidi="ar"/>
              </w:rPr>
              <w:t>分）、</w:t>
            </w:r>
            <w:r>
              <w:rPr>
                <w:rStyle w:val="15"/>
                <w:rFonts w:eastAsia="等线"/>
                <w:lang w:val="en-US" w:eastAsia="zh-CN" w:bidi="ar"/>
              </w:rPr>
              <w:t>70%</w:t>
            </w:r>
            <w:r>
              <w:rPr>
                <w:rStyle w:val="14"/>
                <w:lang w:val="en-US" w:eastAsia="zh-CN" w:bidi="ar"/>
              </w:rPr>
              <w:t>（含）至</w:t>
            </w:r>
            <w:r>
              <w:rPr>
                <w:rStyle w:val="15"/>
                <w:rFonts w:eastAsia="等线"/>
                <w:lang w:val="en-US" w:eastAsia="zh-CN" w:bidi="ar"/>
              </w:rPr>
              <w:t>90%</w:t>
            </w:r>
            <w:r>
              <w:rPr>
                <w:rStyle w:val="14"/>
                <w:lang w:val="en-US" w:eastAsia="zh-CN" w:bidi="ar"/>
              </w:rPr>
              <w:t>（</w:t>
            </w:r>
            <w:r>
              <w:rPr>
                <w:rStyle w:val="15"/>
                <w:rFonts w:eastAsia="等线"/>
                <w:lang w:val="en-US" w:eastAsia="zh-CN" w:bidi="ar"/>
              </w:rPr>
              <w:t>3</w:t>
            </w:r>
            <w:r>
              <w:rPr>
                <w:rStyle w:val="14"/>
                <w:lang w:val="en-US" w:eastAsia="zh-CN" w:bidi="ar"/>
              </w:rPr>
              <w:t>分）、</w:t>
            </w:r>
            <w:r>
              <w:rPr>
                <w:rStyle w:val="15"/>
                <w:rFonts w:eastAsia="等线"/>
                <w:lang w:val="en-US" w:eastAsia="zh-CN" w:bidi="ar"/>
              </w:rPr>
              <w:t>50%</w:t>
            </w:r>
            <w:r>
              <w:rPr>
                <w:rStyle w:val="14"/>
                <w:lang w:val="en-US" w:eastAsia="zh-CN" w:bidi="ar"/>
              </w:rPr>
              <w:t>（含）至</w:t>
            </w:r>
            <w:r>
              <w:rPr>
                <w:rStyle w:val="15"/>
                <w:rFonts w:eastAsia="等线"/>
                <w:lang w:val="en-US" w:eastAsia="zh-CN" w:bidi="ar"/>
              </w:rPr>
              <w:t>70%</w:t>
            </w:r>
            <w:r>
              <w:rPr>
                <w:rStyle w:val="14"/>
                <w:lang w:val="en-US" w:eastAsia="zh-CN" w:bidi="ar"/>
              </w:rPr>
              <w:t>（</w:t>
            </w:r>
            <w:r>
              <w:rPr>
                <w:rStyle w:val="15"/>
                <w:rFonts w:eastAsia="等线"/>
                <w:lang w:val="en-US" w:eastAsia="zh-CN" w:bidi="ar"/>
              </w:rPr>
              <w:t>2</w:t>
            </w:r>
            <w:r>
              <w:rPr>
                <w:rStyle w:val="14"/>
                <w:lang w:val="en-US" w:eastAsia="zh-CN" w:bidi="ar"/>
              </w:rPr>
              <w:t>分）、</w:t>
            </w:r>
            <w:r>
              <w:rPr>
                <w:rStyle w:val="15"/>
                <w:rFonts w:eastAsia="等线"/>
                <w:lang w:val="en-US" w:eastAsia="zh-CN" w:bidi="ar"/>
              </w:rPr>
              <w:t>20%</w:t>
            </w:r>
            <w:r>
              <w:rPr>
                <w:rStyle w:val="14"/>
                <w:lang w:val="en-US" w:eastAsia="zh-CN" w:bidi="ar"/>
              </w:rPr>
              <w:t>（含）至</w:t>
            </w:r>
            <w:r>
              <w:rPr>
                <w:rStyle w:val="15"/>
                <w:rFonts w:eastAsia="等线"/>
                <w:lang w:val="en-US" w:eastAsia="zh-CN" w:bidi="ar"/>
              </w:rPr>
              <w:t>50%</w:t>
            </w:r>
            <w:r>
              <w:rPr>
                <w:rStyle w:val="14"/>
                <w:lang w:val="en-US" w:eastAsia="zh-CN" w:bidi="ar"/>
              </w:rPr>
              <w:t>（</w:t>
            </w:r>
            <w:r>
              <w:rPr>
                <w:rStyle w:val="15"/>
                <w:rFonts w:eastAsia="等线"/>
                <w:lang w:val="en-US" w:eastAsia="zh-CN" w:bidi="ar"/>
              </w:rPr>
              <w:t>1</w:t>
            </w:r>
            <w:r>
              <w:rPr>
                <w:rStyle w:val="14"/>
                <w:lang w:val="en-US" w:eastAsia="zh-CN" w:bidi="ar"/>
              </w:rPr>
              <w:t>分）、</w:t>
            </w:r>
            <w:r>
              <w:rPr>
                <w:rStyle w:val="15"/>
                <w:rFonts w:eastAsia="等线"/>
                <w:lang w:val="en-US" w:eastAsia="zh-CN" w:bidi="ar"/>
              </w:rPr>
              <w:t>20%</w:t>
            </w:r>
            <w:r>
              <w:rPr>
                <w:rStyle w:val="14"/>
                <w:lang w:val="en-US" w:eastAsia="zh-CN" w:bidi="ar"/>
              </w:rPr>
              <w:t>以下（</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83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93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Style w:val="14"/>
                <w:lang w:val="en-US" w:eastAsia="zh-CN" w:bidi="ar"/>
              </w:rPr>
              <w:t>满意率</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随机抽取一定数量的农户（其中投保未出险农户、投保出险农户各占</w:t>
            </w:r>
            <w:r>
              <w:rPr>
                <w:rStyle w:val="15"/>
                <w:rFonts w:eastAsia="等线"/>
                <w:lang w:val="en-US" w:eastAsia="zh-CN" w:bidi="ar"/>
              </w:rPr>
              <w:t>50%</w:t>
            </w:r>
            <w:r>
              <w:rPr>
                <w:rStyle w:val="14"/>
                <w:lang w:val="en-US" w:eastAsia="zh-CN" w:bidi="ar"/>
              </w:rPr>
              <w:t>），调查其对农业保险服务是否满意。满意率</w:t>
            </w:r>
            <w:r>
              <w:rPr>
                <w:rStyle w:val="15"/>
                <w:rFonts w:eastAsia="等线"/>
                <w:lang w:val="en-US" w:eastAsia="zh-CN" w:bidi="ar"/>
              </w:rPr>
              <w:t>=</w:t>
            </w:r>
            <w:r>
              <w:rPr>
                <w:rStyle w:val="14"/>
                <w:lang w:val="en-US" w:eastAsia="zh-CN" w:bidi="ar"/>
              </w:rPr>
              <w:t>满意人数</w:t>
            </w:r>
            <w:r>
              <w:rPr>
                <w:rStyle w:val="15"/>
                <w:rFonts w:eastAsia="等线"/>
                <w:lang w:val="en-US" w:eastAsia="zh-CN" w:bidi="ar"/>
              </w:rPr>
              <w:t>/</w:t>
            </w:r>
            <w:r>
              <w:rPr>
                <w:rStyle w:val="14"/>
                <w:lang w:val="en-US" w:eastAsia="zh-CN" w:bidi="ar"/>
              </w:rPr>
              <w:t>调查总人数</w:t>
            </w:r>
            <w:r>
              <w:rPr>
                <w:rStyle w:val="15"/>
                <w:rFonts w:eastAsia="等线"/>
                <w:lang w:val="en-US" w:eastAsia="zh-CN" w:bidi="ar"/>
              </w:rPr>
              <w:t>*100%</w:t>
            </w:r>
            <w:r>
              <w:rPr>
                <w:rStyle w:val="14"/>
                <w:lang w:val="en-US" w:eastAsia="zh-CN" w:bidi="ar"/>
              </w:rPr>
              <w:t>。</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满意率</w:t>
            </w:r>
            <w:r>
              <w:rPr>
                <w:rStyle w:val="15"/>
                <w:rFonts w:eastAsia="等线"/>
                <w:lang w:val="en-US" w:eastAsia="zh-CN" w:bidi="ar"/>
              </w:rPr>
              <w:t>90%</w:t>
            </w:r>
            <w:r>
              <w:rPr>
                <w:rStyle w:val="14"/>
                <w:lang w:val="en-US" w:eastAsia="zh-CN" w:bidi="ar"/>
              </w:rPr>
              <w:t>（含）以上（</w:t>
            </w:r>
            <w:r>
              <w:rPr>
                <w:rStyle w:val="15"/>
                <w:rFonts w:eastAsia="等线"/>
                <w:lang w:val="en-US" w:eastAsia="zh-CN" w:bidi="ar"/>
              </w:rPr>
              <w:t>4</w:t>
            </w:r>
            <w:r>
              <w:rPr>
                <w:rStyle w:val="14"/>
                <w:lang w:val="en-US" w:eastAsia="zh-CN" w:bidi="ar"/>
              </w:rPr>
              <w:t>分）、</w:t>
            </w:r>
            <w:r>
              <w:rPr>
                <w:rStyle w:val="15"/>
                <w:rFonts w:eastAsia="等线"/>
                <w:lang w:val="en-US" w:eastAsia="zh-CN" w:bidi="ar"/>
              </w:rPr>
              <w:t>70%</w:t>
            </w:r>
            <w:r>
              <w:rPr>
                <w:rStyle w:val="14"/>
                <w:lang w:val="en-US" w:eastAsia="zh-CN" w:bidi="ar"/>
              </w:rPr>
              <w:t>（含）至</w:t>
            </w:r>
            <w:r>
              <w:rPr>
                <w:rStyle w:val="15"/>
                <w:rFonts w:eastAsia="等线"/>
                <w:lang w:val="en-US" w:eastAsia="zh-CN" w:bidi="ar"/>
              </w:rPr>
              <w:t>90%</w:t>
            </w:r>
            <w:r>
              <w:rPr>
                <w:rStyle w:val="14"/>
                <w:lang w:val="en-US" w:eastAsia="zh-CN" w:bidi="ar"/>
              </w:rPr>
              <w:t>（</w:t>
            </w:r>
            <w:r>
              <w:rPr>
                <w:rStyle w:val="15"/>
                <w:rFonts w:eastAsia="等线"/>
                <w:lang w:val="en-US" w:eastAsia="zh-CN" w:bidi="ar"/>
              </w:rPr>
              <w:t>3</w:t>
            </w:r>
            <w:r>
              <w:rPr>
                <w:rStyle w:val="14"/>
                <w:lang w:val="en-US" w:eastAsia="zh-CN" w:bidi="ar"/>
              </w:rPr>
              <w:t>分）、</w:t>
            </w:r>
            <w:r>
              <w:rPr>
                <w:rStyle w:val="15"/>
                <w:rFonts w:eastAsia="等线"/>
                <w:lang w:val="en-US" w:eastAsia="zh-CN" w:bidi="ar"/>
              </w:rPr>
              <w:t>50%</w:t>
            </w:r>
            <w:r>
              <w:rPr>
                <w:rStyle w:val="14"/>
                <w:lang w:val="en-US" w:eastAsia="zh-CN" w:bidi="ar"/>
              </w:rPr>
              <w:t>（含）至</w:t>
            </w:r>
            <w:r>
              <w:rPr>
                <w:rStyle w:val="15"/>
                <w:rFonts w:eastAsia="等线"/>
                <w:lang w:val="en-US" w:eastAsia="zh-CN" w:bidi="ar"/>
              </w:rPr>
              <w:t>70%</w:t>
            </w:r>
            <w:r>
              <w:rPr>
                <w:rStyle w:val="14"/>
                <w:lang w:val="en-US" w:eastAsia="zh-CN" w:bidi="ar"/>
              </w:rPr>
              <w:t>（</w:t>
            </w:r>
            <w:r>
              <w:rPr>
                <w:rStyle w:val="15"/>
                <w:rFonts w:eastAsia="等线"/>
                <w:lang w:val="en-US" w:eastAsia="zh-CN" w:bidi="ar"/>
              </w:rPr>
              <w:t>2</w:t>
            </w:r>
            <w:r>
              <w:rPr>
                <w:rStyle w:val="14"/>
                <w:lang w:val="en-US" w:eastAsia="zh-CN" w:bidi="ar"/>
              </w:rPr>
              <w:t>分）、</w:t>
            </w:r>
            <w:r>
              <w:rPr>
                <w:rStyle w:val="15"/>
                <w:rFonts w:eastAsia="等线"/>
                <w:lang w:val="en-US" w:eastAsia="zh-CN" w:bidi="ar"/>
              </w:rPr>
              <w:t>20%</w:t>
            </w:r>
            <w:r>
              <w:rPr>
                <w:rStyle w:val="14"/>
                <w:lang w:val="en-US" w:eastAsia="zh-CN" w:bidi="ar"/>
              </w:rPr>
              <w:t>（含）至</w:t>
            </w:r>
            <w:r>
              <w:rPr>
                <w:rStyle w:val="15"/>
                <w:rFonts w:eastAsia="等线"/>
                <w:lang w:val="en-US" w:eastAsia="zh-CN" w:bidi="ar"/>
              </w:rPr>
              <w:t>50%</w:t>
            </w:r>
            <w:r>
              <w:rPr>
                <w:rStyle w:val="14"/>
                <w:lang w:val="en-US" w:eastAsia="zh-CN" w:bidi="ar"/>
              </w:rPr>
              <w:t>（</w:t>
            </w:r>
            <w:r>
              <w:rPr>
                <w:rStyle w:val="15"/>
                <w:rFonts w:eastAsia="等线"/>
                <w:lang w:val="en-US" w:eastAsia="zh-CN" w:bidi="ar"/>
              </w:rPr>
              <w:t>1</w:t>
            </w:r>
            <w:r>
              <w:rPr>
                <w:rStyle w:val="14"/>
                <w:lang w:val="en-US" w:eastAsia="zh-CN" w:bidi="ar"/>
              </w:rPr>
              <w:t>分）、</w:t>
            </w:r>
            <w:r>
              <w:rPr>
                <w:rStyle w:val="15"/>
                <w:rFonts w:eastAsia="等线"/>
                <w:lang w:val="en-US" w:eastAsia="zh-CN" w:bidi="ar"/>
              </w:rPr>
              <w:t>20%</w:t>
            </w:r>
            <w:r>
              <w:rPr>
                <w:rStyle w:val="14"/>
                <w:lang w:val="en-US" w:eastAsia="zh-CN" w:bidi="ar"/>
              </w:rPr>
              <w:t>以下（</w:t>
            </w:r>
            <w:r>
              <w:rPr>
                <w:rStyle w:val="15"/>
                <w:rFonts w:eastAsia="等线"/>
                <w:lang w:val="en-US" w:eastAsia="zh-CN" w:bidi="ar"/>
              </w:rPr>
              <w:t>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减分项</w:t>
            </w:r>
          </w:p>
        </w:tc>
        <w:tc>
          <w:tcPr>
            <w:tcW w:w="931"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等线" w:cs="Times New Roman"/>
                <w:i w:val="0"/>
                <w:color w:val="000000"/>
                <w:sz w:val="24"/>
                <w:szCs w:val="24"/>
                <w:u w:val="none"/>
              </w:rPr>
            </w:pPr>
          </w:p>
        </w:tc>
        <w:tc>
          <w:tcPr>
            <w:tcW w:w="6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color w:val="000000"/>
                <w:sz w:val="24"/>
                <w:szCs w:val="24"/>
                <w:u w:val="none"/>
              </w:rPr>
            </w:pP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反映提供材料的真实性，有效性以及相关工作合法合规情况。</w:t>
            </w:r>
          </w:p>
        </w:tc>
        <w:tc>
          <w:tcPr>
            <w:tcW w:w="1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4"/>
                <w:szCs w:val="24"/>
                <w:u w:val="none"/>
              </w:rPr>
            </w:pPr>
            <w:r>
              <w:rPr>
                <w:rStyle w:val="14"/>
                <w:lang w:val="en-US" w:eastAsia="zh-CN" w:bidi="ar"/>
              </w:rPr>
              <w:t>考核材料、数据中存在虚假信息的，或经有关部门监督检查发现问题的，视情节严重程度扣</w:t>
            </w:r>
            <w:r>
              <w:rPr>
                <w:rStyle w:val="15"/>
                <w:rFonts w:eastAsia="等线"/>
                <w:lang w:val="en-US" w:eastAsia="zh-CN" w:bidi="ar"/>
              </w:rPr>
              <w:t>1-10</w:t>
            </w:r>
            <w:r>
              <w:rPr>
                <w:rStyle w:val="14"/>
                <w:lang w:val="en-US" w:eastAsia="zh-CN" w:bidi="ar"/>
              </w:rPr>
              <w:t>分。</w:t>
            </w:r>
          </w:p>
        </w:tc>
        <w:tc>
          <w:tcPr>
            <w:tcW w:w="252" w:type="pct"/>
            <w:tcBorders>
              <w:top w:val="single" w:color="000000" w:sz="4" w:space="0"/>
              <w:left w:val="single" w:color="000000" w:sz="4" w:space="0"/>
              <w:bottom w:val="single" w:color="000000" w:sz="4" w:space="0"/>
              <w:right w:val="single" w:color="000000" w:sz="4" w:space="0"/>
            </w:tcBorders>
            <w:noWrap/>
            <w:vAlign w:val="bottom"/>
          </w:tcPr>
          <w:p>
            <w:pPr>
              <w:rPr>
                <w:rFonts w:hint="default" w:ascii="Times New Roman" w:hAnsi="Times New Roman" w:eastAsia="等线"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000" w:type="pct"/>
            <w:gridSpan w:val="7"/>
            <w:tcBorders>
              <w:top w:val="nil"/>
              <w:left w:val="nil"/>
              <w:bottom w:val="nil"/>
              <w:right w:val="nil"/>
            </w:tcBorders>
            <w:noWrap/>
            <w:vAlign w:val="center"/>
          </w:tcPr>
          <w:p>
            <w:pPr>
              <w:rPr>
                <w:rFonts w:hint="eastAsia" w:ascii="方正仿宋_GBK" w:hAnsi="方正仿宋_GBK" w:eastAsia="方正仿宋_GBK" w:cs="方正仿宋_GBK"/>
                <w:i w:val="0"/>
                <w:color w:val="000000"/>
                <w:sz w:val="24"/>
                <w:szCs w:val="24"/>
                <w:u w:val="none"/>
              </w:rPr>
            </w:pPr>
            <w:r>
              <w:rPr>
                <w:rFonts w:hint="eastAsia" w:ascii="方正楷体_GBK" w:hAnsi="方正楷体_GBK" w:eastAsia="方正楷体_GBK" w:cs="方正楷体_GBK"/>
                <w:i w:val="0"/>
                <w:color w:val="000000"/>
                <w:kern w:val="0"/>
                <w:sz w:val="24"/>
                <w:szCs w:val="24"/>
                <w:u w:val="none"/>
                <w:lang w:val="en-US" w:eastAsia="zh-CN" w:bidi="ar"/>
              </w:rPr>
              <w:t>注：某区县承保机构绩效评价得分由各机构得分按照保费加权计算。</w:t>
            </w:r>
          </w:p>
        </w:tc>
      </w:tr>
    </w:tbl>
    <w:p>
      <w:pPr>
        <w:bidi w:val="0"/>
        <w:jc w:val="left"/>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16"/>
        <w:gridCol w:w="1075"/>
        <w:gridCol w:w="1075"/>
        <w:gridCol w:w="1075"/>
        <w:gridCol w:w="787"/>
        <w:gridCol w:w="787"/>
        <w:gridCol w:w="792"/>
        <w:gridCol w:w="843"/>
        <w:gridCol w:w="1210"/>
        <w:gridCol w:w="1177"/>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49" w:type="pct"/>
            <w:tcBorders>
              <w:top w:val="nil"/>
              <w:left w:val="nil"/>
              <w:bottom w:val="nil"/>
              <w:right w:val="nil"/>
            </w:tcBorders>
            <w:noWrap/>
            <w:vAlign w:val="center"/>
          </w:tcPr>
          <w:p>
            <w:pPr>
              <w:keepNext w:val="0"/>
              <w:keepLines w:val="0"/>
              <w:widowControl/>
              <w:suppressLineNumbers w:val="0"/>
              <w:jc w:val="left"/>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附件5-1</w:t>
            </w:r>
          </w:p>
        </w:tc>
        <w:tc>
          <w:tcPr>
            <w:tcW w:w="431" w:type="pct"/>
            <w:tcBorders>
              <w:top w:val="nil"/>
              <w:left w:val="nil"/>
              <w:bottom w:val="nil"/>
              <w:right w:val="nil"/>
            </w:tcBorders>
            <w:noWrap/>
            <w:vAlign w:val="center"/>
          </w:tcPr>
          <w:p>
            <w:pPr>
              <w:rPr>
                <w:rFonts w:hint="eastAsia" w:ascii="等线" w:hAnsi="等线" w:eastAsia="等线" w:cs="等线"/>
                <w:i w:val="0"/>
                <w:color w:val="000000"/>
                <w:sz w:val="22"/>
                <w:szCs w:val="22"/>
                <w:u w:val="none"/>
              </w:rPr>
            </w:pPr>
          </w:p>
        </w:tc>
        <w:tc>
          <w:tcPr>
            <w:tcW w:w="431"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431"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322"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322"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322"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322"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462"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449"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453"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11"/>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农业保险承保理赔情况汇总表（承保机构填报）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80" w:type="pct"/>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填报单位（公章）：</w:t>
            </w:r>
          </w:p>
        </w:tc>
        <w:tc>
          <w:tcPr>
            <w:tcW w:w="431" w:type="pct"/>
            <w:tcBorders>
              <w:top w:val="nil"/>
              <w:left w:val="nil"/>
              <w:bottom w:val="single" w:color="000000" w:sz="4" w:space="0"/>
              <w:right w:val="nil"/>
            </w:tcBorders>
            <w:shd w:val="clear" w:color="auto" w:fill="FFFFFF"/>
            <w:noWrap/>
            <w:vAlign w:val="center"/>
          </w:tcPr>
          <w:p>
            <w:pPr>
              <w:rPr>
                <w:rFonts w:hint="eastAsia" w:ascii="仿宋_GB2312" w:hAnsi="等线" w:eastAsia="仿宋_GB2312" w:cs="仿宋_GB2312"/>
                <w:i w:val="0"/>
                <w:color w:val="000000"/>
                <w:sz w:val="24"/>
                <w:szCs w:val="24"/>
                <w:u w:val="none"/>
              </w:rPr>
            </w:pPr>
          </w:p>
        </w:tc>
        <w:tc>
          <w:tcPr>
            <w:tcW w:w="1399" w:type="pct"/>
            <w:gridSpan w:val="4"/>
            <w:tcBorders>
              <w:top w:val="nil"/>
              <w:left w:val="nil"/>
              <w:bottom w:val="single" w:color="000000" w:sz="4" w:space="0"/>
              <w:right w:val="nil"/>
            </w:tcBorders>
            <w:shd w:val="clear" w:color="auto" w:fill="FFFFFF"/>
            <w:noWrap/>
            <w:vAlign w:val="center"/>
          </w:tcPr>
          <w:p>
            <w:pPr>
              <w:jc w:val="center"/>
              <w:rPr>
                <w:rFonts w:hint="default" w:ascii="仿宋_GB2312" w:hAnsi="等线" w:eastAsia="仿宋_GB2312" w:cs="仿宋_GB2312"/>
                <w:i w:val="0"/>
                <w:color w:val="000000"/>
                <w:sz w:val="24"/>
                <w:szCs w:val="24"/>
                <w:u w:val="none"/>
              </w:rPr>
            </w:pPr>
          </w:p>
        </w:tc>
        <w:tc>
          <w:tcPr>
            <w:tcW w:w="1687" w:type="pct"/>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单位：元/亩(头)，万亩，万头,万元，万户（次）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4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保险品种</w:t>
            </w:r>
          </w:p>
        </w:tc>
        <w:tc>
          <w:tcPr>
            <w:tcW w:w="43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投保数量</w:t>
            </w:r>
          </w:p>
        </w:tc>
        <w:tc>
          <w:tcPr>
            <w:tcW w:w="43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保障金额</w:t>
            </w:r>
          </w:p>
        </w:tc>
        <w:tc>
          <w:tcPr>
            <w:tcW w:w="43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保费总额</w:t>
            </w:r>
          </w:p>
        </w:tc>
        <w:tc>
          <w:tcPr>
            <w:tcW w:w="1290"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保费总额承担情况</w:t>
            </w:r>
          </w:p>
        </w:tc>
        <w:tc>
          <w:tcPr>
            <w:tcW w:w="462"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投保户数</w:t>
            </w:r>
          </w:p>
        </w:tc>
        <w:tc>
          <w:tcPr>
            <w:tcW w:w="902"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已决赔款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4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3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3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3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中央</w:t>
            </w: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市级</w:t>
            </w:r>
          </w:p>
        </w:tc>
        <w:tc>
          <w:tcPr>
            <w:tcW w:w="322" w:type="pc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区县</w:t>
            </w:r>
          </w:p>
        </w:tc>
        <w:tc>
          <w:tcPr>
            <w:tcW w:w="322" w:type="pc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农户</w:t>
            </w:r>
          </w:p>
        </w:tc>
        <w:tc>
          <w:tcPr>
            <w:tcW w:w="462"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赔款金额</w:t>
            </w: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受益农户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一、中央补贴险种合计</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（一）种植业合计</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1.稻谷</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2.小麦</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3.玉米</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4.油菜</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5.大豆</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6.马铃薯</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7.稻谷制种</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8.玉米制种</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（二）养殖业合计</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方正楷体_GBK" w:hAnsi="方正楷体_GBK" w:eastAsia="方正楷体_GBK" w:cs="方正楷体_GBK"/>
                <w:b/>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9.能繁母猪</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10.育肥猪</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11.奶牛</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i w:val="0"/>
                <w:color w:val="000000"/>
                <w:sz w:val="24"/>
                <w:szCs w:val="24"/>
                <w:u w:val="none"/>
              </w:rPr>
            </w:pPr>
            <w:r>
              <w:rPr>
                <w:rFonts w:hint="eastAsia" w:ascii="方正楷体_GBK" w:hAnsi="方正楷体_GBK" w:eastAsia="方正楷体_GBK" w:cs="方正楷体_GBK"/>
                <w:b/>
                <w:i w:val="0"/>
                <w:color w:val="000000"/>
                <w:kern w:val="0"/>
                <w:sz w:val="24"/>
                <w:szCs w:val="24"/>
                <w:u w:val="none"/>
                <w:lang w:val="en-US" w:eastAsia="zh-CN" w:bidi="ar"/>
              </w:rPr>
              <w:t>（三）林业合计</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12.公益林</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13.商品林</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二、市级补贴险种合计</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14.柑橘成本保险</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15.生猪收益保险</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16.稻谷完全成本补充保险</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17.玉米完全成本补充保险</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18.马铃薯完全成本补充保险</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19.区县优势特色农产品保险</w:t>
            </w: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c>
          <w:tcPr>
            <w:tcW w:w="3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c>
          <w:tcPr>
            <w:tcW w:w="4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c>
          <w:tcPr>
            <w:tcW w:w="4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方正楷体_GBK" w:hAnsi="方正楷体_GBK" w:eastAsia="方正楷体_GBK" w:cs="方正楷体_GBK"/>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4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合计金额</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c>
          <w:tcPr>
            <w:tcW w:w="431"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c>
          <w:tcPr>
            <w:tcW w:w="322"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c>
          <w:tcPr>
            <w:tcW w:w="322"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c>
          <w:tcPr>
            <w:tcW w:w="322"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c>
          <w:tcPr>
            <w:tcW w:w="322"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c>
          <w:tcPr>
            <w:tcW w:w="462"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c>
          <w:tcPr>
            <w:tcW w:w="449"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c>
          <w:tcPr>
            <w:tcW w:w="453" w:type="pct"/>
            <w:tcBorders>
              <w:top w:val="single" w:color="000000" w:sz="4" w:space="0"/>
              <w:left w:val="single" w:color="000000" w:sz="4" w:space="0"/>
              <w:bottom w:val="single" w:color="000000" w:sz="4" w:space="0"/>
              <w:right w:val="single" w:color="000000" w:sz="4" w:space="0"/>
            </w:tcBorders>
            <w:noWrap/>
            <w:vAlign w:val="center"/>
          </w:tcPr>
          <w:p>
            <w:pPr>
              <w:rPr>
                <w:rFonts w:hint="default" w:ascii="等线" w:hAnsi="等线" w:eastAsia="等线" w:cs="等线"/>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000" w:type="pct"/>
            <w:gridSpan w:val="11"/>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楷体_GBK" w:hAnsi="方正楷体_GBK" w:eastAsia="方正楷体_GBK" w:cs="方正楷体_GBK"/>
                <w:i w:val="0"/>
                <w:color w:val="000000"/>
                <w:sz w:val="22"/>
                <w:szCs w:val="22"/>
                <w:u w:val="none"/>
              </w:rPr>
            </w:pPr>
            <w:r>
              <w:rPr>
                <w:rFonts w:hint="eastAsia" w:ascii="方正楷体_GBK" w:hAnsi="方正楷体_GBK" w:eastAsia="方正楷体_GBK" w:cs="方正楷体_GBK"/>
                <w:i w:val="0"/>
                <w:color w:val="000000"/>
                <w:kern w:val="0"/>
                <w:sz w:val="22"/>
                <w:szCs w:val="22"/>
                <w:u w:val="none"/>
                <w:lang w:val="en-US" w:eastAsia="zh-CN" w:bidi="ar"/>
              </w:rPr>
              <w:t>注：1.表格中“投保数量”一栏保留4位小数，其他栏保留两位小数。</w:t>
            </w:r>
            <w:r>
              <w:rPr>
                <w:rFonts w:hint="eastAsia" w:ascii="方正楷体_GBK" w:hAnsi="方正楷体_GBK" w:eastAsia="方正楷体_GBK" w:cs="方正楷体_GBK"/>
                <w:i w:val="0"/>
                <w:color w:val="000000"/>
                <w:kern w:val="0"/>
                <w:sz w:val="22"/>
                <w:szCs w:val="22"/>
                <w:u w:val="none"/>
                <w:lang w:val="en-US" w:eastAsia="zh-CN" w:bidi="ar"/>
              </w:rPr>
              <w:br w:type="textWrapping"/>
            </w:r>
            <w:r>
              <w:rPr>
                <w:rFonts w:hint="eastAsia" w:ascii="方正楷体_GBK" w:hAnsi="方正楷体_GBK" w:eastAsia="方正楷体_GBK" w:cs="方正楷体_GBK"/>
                <w:i w:val="0"/>
                <w:color w:val="000000"/>
                <w:kern w:val="0"/>
                <w:sz w:val="22"/>
                <w:szCs w:val="22"/>
                <w:u w:val="none"/>
                <w:lang w:val="en-US" w:eastAsia="zh-CN" w:bidi="ar"/>
              </w:rPr>
              <w:t xml:space="preserve">        2.填报表内信息时，对未开展的补贴险种留空即可，不可直接删除该栏已有内容。</w:t>
            </w:r>
          </w:p>
        </w:tc>
      </w:tr>
    </w:tbl>
    <w:p>
      <w:pPr>
        <w:bidi w:val="0"/>
        <w:jc w:val="left"/>
      </w:pPr>
    </w:p>
    <w:tbl>
      <w:tblPr>
        <w:tblStyle w:val="9"/>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53"/>
        <w:gridCol w:w="1248"/>
        <w:gridCol w:w="1114"/>
        <w:gridCol w:w="1111"/>
        <w:gridCol w:w="1111"/>
        <w:gridCol w:w="902"/>
        <w:gridCol w:w="905"/>
        <w:gridCol w:w="902"/>
        <w:gridCol w:w="908"/>
        <w:gridCol w:w="1352"/>
        <w:gridCol w:w="1154"/>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11" w:type="pct"/>
            <w:tcBorders>
              <w:top w:val="nil"/>
              <w:left w:val="nil"/>
              <w:bottom w:val="nil"/>
              <w:right w:val="nil"/>
            </w:tcBorders>
            <w:noWrap/>
            <w:vAlign w:val="center"/>
          </w:tcPr>
          <w:p>
            <w:pPr>
              <w:keepNext w:val="0"/>
              <w:keepLines w:val="0"/>
              <w:widowControl/>
              <w:suppressLineNumbers w:val="0"/>
              <w:jc w:val="left"/>
              <w:textAlignment w:val="center"/>
              <w:rPr>
                <w:rFonts w:ascii="方正黑体_GBK" w:hAnsi="方正黑体_GBK" w:eastAsia="方正黑体_GBK" w:cs="方正黑体_GBK"/>
                <w:i w:val="0"/>
                <w:color w:val="000000"/>
                <w:sz w:val="30"/>
                <w:szCs w:val="30"/>
                <w:u w:val="none"/>
              </w:rPr>
            </w:pPr>
            <w:r>
              <w:rPr>
                <w:rFonts w:hint="eastAsia" w:ascii="方正黑体_GBK" w:hAnsi="方正黑体_GBK" w:eastAsia="方正黑体_GBK" w:cs="方正黑体_GBK"/>
                <w:i w:val="0"/>
                <w:color w:val="000000"/>
                <w:kern w:val="0"/>
                <w:sz w:val="30"/>
                <w:szCs w:val="30"/>
                <w:u w:val="none"/>
                <w:lang w:val="en-US" w:eastAsia="zh-CN" w:bidi="ar"/>
              </w:rPr>
              <w:t>附件5-2</w:t>
            </w:r>
          </w:p>
        </w:tc>
        <w:tc>
          <w:tcPr>
            <w:tcW w:w="472" w:type="pct"/>
            <w:tcBorders>
              <w:top w:val="nil"/>
              <w:left w:val="nil"/>
              <w:bottom w:val="nil"/>
              <w:right w:val="nil"/>
            </w:tcBorders>
            <w:noWrap/>
            <w:vAlign w:val="center"/>
          </w:tcPr>
          <w:p>
            <w:pPr>
              <w:rPr>
                <w:rFonts w:hint="eastAsia" w:ascii="方正黑体_GBK" w:hAnsi="方正黑体_GBK" w:eastAsia="方正黑体_GBK" w:cs="方正黑体_GBK"/>
                <w:i w:val="0"/>
                <w:color w:val="000000"/>
                <w:sz w:val="30"/>
                <w:szCs w:val="30"/>
                <w:u w:val="none"/>
              </w:rPr>
            </w:pPr>
          </w:p>
        </w:tc>
        <w:tc>
          <w:tcPr>
            <w:tcW w:w="420" w:type="pct"/>
            <w:tcBorders>
              <w:top w:val="nil"/>
              <w:left w:val="nil"/>
              <w:bottom w:val="nil"/>
              <w:right w:val="nil"/>
            </w:tcBorders>
            <w:noWrap/>
            <w:vAlign w:val="center"/>
          </w:tcPr>
          <w:p>
            <w:pPr>
              <w:rPr>
                <w:rFonts w:hint="eastAsia" w:ascii="等线" w:hAnsi="等线" w:eastAsia="等线" w:cs="等线"/>
                <w:i w:val="0"/>
                <w:color w:val="000000"/>
                <w:sz w:val="22"/>
                <w:szCs w:val="22"/>
                <w:u w:val="none"/>
              </w:rPr>
            </w:pPr>
          </w:p>
        </w:tc>
        <w:tc>
          <w:tcPr>
            <w:tcW w:w="420"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420"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341"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341"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341"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342"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511"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436"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c>
          <w:tcPr>
            <w:tcW w:w="440" w:type="pct"/>
            <w:tcBorders>
              <w:top w:val="nil"/>
              <w:left w:val="nil"/>
              <w:bottom w:val="nil"/>
              <w:right w:val="nil"/>
            </w:tcBorders>
            <w:noWrap/>
            <w:vAlign w:val="center"/>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5000" w:type="pct"/>
            <w:gridSpan w:val="12"/>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农业保险承保理赔统计情况表—XX险种（承保机构填报）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04" w:type="pct"/>
            <w:gridSpan w:val="3"/>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填报单位（公章）:</w:t>
            </w:r>
          </w:p>
        </w:tc>
        <w:tc>
          <w:tcPr>
            <w:tcW w:w="420" w:type="pct"/>
            <w:tcBorders>
              <w:top w:val="nil"/>
              <w:left w:val="nil"/>
              <w:bottom w:val="single" w:color="000000" w:sz="4" w:space="0"/>
              <w:right w:val="nil"/>
            </w:tcBorders>
            <w:shd w:val="clear" w:color="auto" w:fill="FFFFFF"/>
            <w:noWrap/>
            <w:vAlign w:val="center"/>
          </w:tcPr>
          <w:p>
            <w:pPr>
              <w:rPr>
                <w:rFonts w:hint="eastAsia" w:ascii="方正楷体_GBK" w:hAnsi="方正楷体_GBK" w:eastAsia="方正楷体_GBK" w:cs="方正楷体_GBK"/>
                <w:i w:val="0"/>
                <w:color w:val="000000"/>
                <w:sz w:val="20"/>
                <w:szCs w:val="20"/>
                <w:u w:val="none"/>
              </w:rPr>
            </w:pPr>
          </w:p>
        </w:tc>
        <w:tc>
          <w:tcPr>
            <w:tcW w:w="420" w:type="pct"/>
            <w:tcBorders>
              <w:top w:val="nil"/>
              <w:left w:val="nil"/>
              <w:bottom w:val="single" w:color="000000" w:sz="4" w:space="0"/>
              <w:right w:val="nil"/>
            </w:tcBorders>
            <w:shd w:val="clear" w:color="auto" w:fill="FFFFFF"/>
            <w:noWrap/>
            <w:vAlign w:val="center"/>
          </w:tcPr>
          <w:p>
            <w:pPr>
              <w:rPr>
                <w:rFonts w:hint="eastAsia" w:ascii="方正楷体_GBK" w:hAnsi="方正楷体_GBK" w:eastAsia="方正楷体_GBK" w:cs="方正楷体_GBK"/>
                <w:i w:val="0"/>
                <w:color w:val="000000"/>
                <w:sz w:val="20"/>
                <w:szCs w:val="20"/>
                <w:u w:val="none"/>
              </w:rPr>
            </w:pPr>
          </w:p>
        </w:tc>
        <w:tc>
          <w:tcPr>
            <w:tcW w:w="683" w:type="pct"/>
            <w:gridSpan w:val="2"/>
            <w:tcBorders>
              <w:top w:val="nil"/>
              <w:left w:val="nil"/>
              <w:bottom w:val="single" w:color="000000" w:sz="4" w:space="0"/>
              <w:right w:val="nil"/>
            </w:tcBorders>
            <w:shd w:val="clear" w:color="auto" w:fill="FFFFFF"/>
            <w:noWrap/>
            <w:vAlign w:val="center"/>
          </w:tcPr>
          <w:p>
            <w:pPr>
              <w:jc w:val="center"/>
              <w:rPr>
                <w:rFonts w:hint="eastAsia" w:ascii="方正楷体_GBK" w:hAnsi="方正楷体_GBK" w:eastAsia="方正楷体_GBK" w:cs="方正楷体_GBK"/>
                <w:i w:val="0"/>
                <w:color w:val="000000"/>
                <w:sz w:val="20"/>
                <w:szCs w:val="20"/>
                <w:u w:val="none"/>
              </w:rPr>
            </w:pPr>
          </w:p>
        </w:tc>
        <w:tc>
          <w:tcPr>
            <w:tcW w:w="341" w:type="pct"/>
            <w:tcBorders>
              <w:top w:val="nil"/>
              <w:left w:val="nil"/>
              <w:bottom w:val="nil"/>
              <w:right w:val="nil"/>
            </w:tcBorders>
            <w:shd w:val="clear" w:color="auto" w:fill="FFFFFF"/>
            <w:noWrap/>
            <w:vAlign w:val="center"/>
          </w:tcPr>
          <w:p>
            <w:pPr>
              <w:rPr>
                <w:rFonts w:hint="eastAsia" w:ascii="方正楷体_GBK" w:hAnsi="方正楷体_GBK" w:eastAsia="方正楷体_GBK" w:cs="方正楷体_GBK"/>
                <w:i w:val="0"/>
                <w:color w:val="000000"/>
                <w:sz w:val="20"/>
                <w:szCs w:val="20"/>
                <w:u w:val="none"/>
              </w:rPr>
            </w:pPr>
          </w:p>
        </w:tc>
        <w:tc>
          <w:tcPr>
            <w:tcW w:w="342" w:type="pct"/>
            <w:tcBorders>
              <w:top w:val="nil"/>
              <w:left w:val="nil"/>
              <w:bottom w:val="single" w:color="000000" w:sz="4" w:space="0"/>
              <w:right w:val="nil"/>
            </w:tcBorders>
            <w:shd w:val="clear" w:color="auto" w:fill="FFFFFF"/>
            <w:noWrap/>
            <w:vAlign w:val="center"/>
          </w:tcPr>
          <w:p>
            <w:pPr>
              <w:rPr>
                <w:rFonts w:hint="eastAsia" w:ascii="方正楷体_GBK" w:hAnsi="方正楷体_GBK" w:eastAsia="方正楷体_GBK" w:cs="方正楷体_GBK"/>
                <w:i w:val="0"/>
                <w:color w:val="000000"/>
                <w:sz w:val="20"/>
                <w:szCs w:val="20"/>
                <w:u w:val="none"/>
              </w:rPr>
            </w:pPr>
          </w:p>
        </w:tc>
        <w:tc>
          <w:tcPr>
            <w:tcW w:w="1387" w:type="pct"/>
            <w:gridSpan w:val="3"/>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方正楷体_GBK" w:hAnsi="方正楷体_GBK" w:eastAsia="方正楷体_GBK" w:cs="方正楷体_GBK"/>
                <w:i w:val="0"/>
                <w:color w:val="000000"/>
                <w:sz w:val="20"/>
                <w:szCs w:val="20"/>
                <w:u w:val="none"/>
              </w:rPr>
            </w:pPr>
            <w:r>
              <w:rPr>
                <w:rFonts w:hint="eastAsia" w:ascii="方正楷体_GBK" w:hAnsi="方正楷体_GBK" w:eastAsia="方正楷体_GBK" w:cs="方正楷体_GBK"/>
                <w:i w:val="0"/>
                <w:color w:val="000000"/>
                <w:kern w:val="0"/>
                <w:sz w:val="20"/>
                <w:szCs w:val="20"/>
                <w:u w:val="none"/>
                <w:lang w:val="en-US" w:eastAsia="zh-CN" w:bidi="ar"/>
              </w:rPr>
              <w:t>单位：万/亩（头）、万元、万户（次）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472"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街镇</w:t>
            </w:r>
          </w:p>
        </w:tc>
        <w:tc>
          <w:tcPr>
            <w:tcW w:w="420"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投保数量</w:t>
            </w:r>
          </w:p>
        </w:tc>
        <w:tc>
          <w:tcPr>
            <w:tcW w:w="420"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保障金额</w:t>
            </w:r>
          </w:p>
        </w:tc>
        <w:tc>
          <w:tcPr>
            <w:tcW w:w="420"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保费总额</w:t>
            </w:r>
          </w:p>
        </w:tc>
        <w:tc>
          <w:tcPr>
            <w:tcW w:w="1367"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保费总额承担情况</w:t>
            </w:r>
          </w:p>
        </w:tc>
        <w:tc>
          <w:tcPr>
            <w:tcW w:w="51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投保户数</w:t>
            </w:r>
          </w:p>
        </w:tc>
        <w:tc>
          <w:tcPr>
            <w:tcW w:w="876"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理赔情况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72"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中央</w:t>
            </w:r>
          </w:p>
        </w:tc>
        <w:tc>
          <w:tcPr>
            <w:tcW w:w="3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市级</w:t>
            </w:r>
          </w:p>
        </w:tc>
        <w:tc>
          <w:tcPr>
            <w:tcW w:w="3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区县</w:t>
            </w:r>
          </w:p>
        </w:tc>
        <w:tc>
          <w:tcPr>
            <w:tcW w:w="3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农户</w:t>
            </w:r>
          </w:p>
        </w:tc>
        <w:tc>
          <w:tcPr>
            <w:tcW w:w="51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赔款金额</w:t>
            </w:r>
          </w:p>
        </w:tc>
        <w:tc>
          <w:tcPr>
            <w:tcW w:w="4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受益农户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83" w:type="pct"/>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合计</w:t>
            </w:r>
          </w:p>
        </w:tc>
        <w:tc>
          <w:tcPr>
            <w:tcW w:w="420"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20"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20"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341"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341"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341"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342"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511"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36"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c>
          <w:tcPr>
            <w:tcW w:w="440" w:type="pct"/>
            <w:tcBorders>
              <w:top w:val="nil"/>
              <w:left w:val="nil"/>
              <w:bottom w:val="nil"/>
              <w:right w:val="single" w:color="000000" w:sz="4" w:space="0"/>
            </w:tcBorders>
            <w:shd w:val="clear" w:color="auto" w:fill="FFFFFF"/>
            <w:noWrap w:val="0"/>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8"/>
                <w:szCs w:val="2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8"/>
                <w:szCs w:val="2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仿宋_GB2312" w:hAnsi="等线" w:eastAsia="仿宋_GB2312" w:cs="仿宋_GB2312"/>
                <w:b/>
                <w:i w:val="0"/>
                <w:color w:val="000000"/>
                <w:sz w:val="28"/>
                <w:szCs w:val="2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3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8"/>
                <w:szCs w:val="2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8"/>
                <w:szCs w:val="2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b/>
                <w:i w:val="0"/>
                <w:color w:val="000000"/>
                <w:sz w:val="28"/>
                <w:szCs w:val="2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42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34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34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51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仿宋_GB2312" w:hAnsi="等线"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2" w:hRule="atLeast"/>
        </w:trPr>
        <w:tc>
          <w:tcPr>
            <w:tcW w:w="5000" w:type="pct"/>
            <w:gridSpan w:val="12"/>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楷体_GBK" w:hAnsi="方正楷体_GBK" w:eastAsia="方正楷体_GBK" w:cs="方正楷体_GBK"/>
                <w:i w:val="0"/>
                <w:color w:val="000000"/>
                <w:sz w:val="22"/>
                <w:szCs w:val="22"/>
                <w:u w:val="none"/>
              </w:rPr>
            </w:pPr>
            <w:r>
              <w:rPr>
                <w:rFonts w:hint="eastAsia" w:ascii="方正楷体_GBK" w:hAnsi="方正楷体_GBK" w:eastAsia="方正楷体_GBK" w:cs="方正楷体_GBK"/>
                <w:i w:val="0"/>
                <w:color w:val="000000"/>
                <w:kern w:val="0"/>
                <w:sz w:val="22"/>
                <w:szCs w:val="22"/>
                <w:u w:val="none"/>
                <w:lang w:val="en-US" w:eastAsia="zh-CN" w:bidi="ar"/>
              </w:rPr>
              <w:t>注：1.填报数据中“投保数量”栏保留4位小数，其他栏保留2位小数。</w:t>
            </w:r>
            <w:r>
              <w:rPr>
                <w:rFonts w:hint="eastAsia" w:ascii="方正楷体_GBK" w:hAnsi="方正楷体_GBK" w:eastAsia="方正楷体_GBK" w:cs="方正楷体_GBK"/>
                <w:i w:val="0"/>
                <w:color w:val="000000"/>
                <w:kern w:val="0"/>
                <w:sz w:val="22"/>
                <w:szCs w:val="22"/>
                <w:u w:val="none"/>
                <w:lang w:val="en-US" w:eastAsia="zh-CN" w:bidi="ar"/>
              </w:rPr>
              <w:br w:type="textWrapping"/>
            </w:r>
            <w:r>
              <w:rPr>
                <w:rFonts w:hint="eastAsia" w:ascii="方正楷体_GBK" w:hAnsi="方正楷体_GBK" w:eastAsia="方正楷体_GBK" w:cs="方正楷体_GBK"/>
                <w:i w:val="0"/>
                <w:color w:val="000000"/>
                <w:kern w:val="0"/>
                <w:sz w:val="22"/>
                <w:szCs w:val="22"/>
                <w:u w:val="none"/>
                <w:lang w:val="en-US" w:eastAsia="zh-CN" w:bidi="ar"/>
              </w:rPr>
              <w:t xml:space="preserve">        2.根据中央、市级补贴险种排序，逐一填报。</w:t>
            </w:r>
            <w:r>
              <w:rPr>
                <w:rFonts w:hint="eastAsia" w:ascii="方正楷体_GBK" w:hAnsi="方正楷体_GBK" w:eastAsia="方正楷体_GBK" w:cs="方正楷体_GBK"/>
                <w:i w:val="0"/>
                <w:color w:val="000000"/>
                <w:kern w:val="0"/>
                <w:sz w:val="22"/>
                <w:szCs w:val="22"/>
                <w:u w:val="none"/>
                <w:lang w:val="en-US" w:eastAsia="zh-CN" w:bidi="ar"/>
              </w:rPr>
              <w:br w:type="textWrapping"/>
            </w:r>
            <w:r>
              <w:rPr>
                <w:rFonts w:hint="eastAsia" w:ascii="方正楷体_GBK" w:hAnsi="方正楷体_GBK" w:eastAsia="方正楷体_GBK" w:cs="方正楷体_GBK"/>
                <w:i w:val="0"/>
                <w:color w:val="000000"/>
                <w:kern w:val="0"/>
                <w:sz w:val="22"/>
                <w:szCs w:val="22"/>
                <w:u w:val="none"/>
                <w:lang w:val="en-US" w:eastAsia="zh-CN" w:bidi="ar"/>
              </w:rPr>
              <w:t xml:space="preserve">        3.填报表内信息时，对未经营业务的区县留空即可，不可直接删除该栏已有内容。</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简体">
    <w:altName w:val="方正黑体_GBK"/>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w:t>
    </w:r>
    <w:r>
      <w:rPr>
        <w:rFonts w:hint="eastAsia" w:ascii="宋体" w:hAnsi="宋体" w:eastAsia="宋体" w:cs="宋体"/>
        <w:b/>
        <w:bCs/>
        <w:color w:val="005192"/>
        <w:sz w:val="28"/>
        <w:szCs w:val="44"/>
        <w:lang w:val="en-US" w:eastAsia="zh-CN"/>
      </w:rPr>
      <w:t xml:space="preserve">财政局发布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重庆市长寿区财政局发布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重庆市长寿区财政局行政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037924"/>
    <w:multiLevelType w:val="singleLevel"/>
    <w:tmpl w:val="9C03792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0FA74B1D"/>
    <w:rsid w:val="13582C04"/>
    <w:rsid w:val="152D2DCA"/>
    <w:rsid w:val="187168EA"/>
    <w:rsid w:val="196673CA"/>
    <w:rsid w:val="1A6D1382"/>
    <w:rsid w:val="1B2F4AEE"/>
    <w:rsid w:val="1CF734C9"/>
    <w:rsid w:val="1DEC284C"/>
    <w:rsid w:val="1E6523AC"/>
    <w:rsid w:val="22440422"/>
    <w:rsid w:val="22BB4BBB"/>
    <w:rsid w:val="2AEB3417"/>
    <w:rsid w:val="31A15F24"/>
    <w:rsid w:val="32182B06"/>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font51"/>
    <w:basedOn w:val="10"/>
    <w:qFormat/>
    <w:uiPriority w:val="0"/>
    <w:rPr>
      <w:rFonts w:hint="eastAsia" w:ascii="方正仿宋_GBK" w:hAnsi="方正仿宋_GBK" w:eastAsia="方正仿宋_GBK" w:cs="方正仿宋_GBK"/>
      <w:color w:val="000000"/>
      <w:sz w:val="24"/>
      <w:szCs w:val="24"/>
      <w:u w:val="none"/>
    </w:rPr>
  </w:style>
  <w:style w:type="character" w:customStyle="1" w:styleId="15">
    <w:name w:val="font11"/>
    <w:basedOn w:val="1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5275</Words>
  <Characters>5588</Characters>
  <Lines>1</Lines>
  <Paragraphs>1</Paragraphs>
  <TotalTime>4</TotalTime>
  <ScaleCrop>false</ScaleCrop>
  <LinksUpToDate>false</LinksUpToDate>
  <CharactersWithSpaces>5949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2023-10-26T09:48:08Z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38252653830243A781CAC77049AC96C3_13</vt:lpwstr>
  </property>
</Properties>
</file>