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579" w:lineRule="exact"/>
        <w:jc w:val="center"/>
        <w:rPr>
          <w:rFonts w:ascii="Times New Roman" w:hAnsi="Times New Roman" w:eastAsia="方正小标宋_GBK" w:cs="Nimbus Roman"/>
          <w:sz w:val="44"/>
          <w:szCs w:val="44"/>
        </w:rPr>
      </w:pPr>
    </w:p>
    <w:p>
      <w:pPr>
        <w:overflowPunct w:val="0"/>
        <w:adjustRightInd w:val="0"/>
        <w:spacing w:line="579" w:lineRule="exact"/>
        <w:jc w:val="center"/>
        <w:rPr>
          <w:rFonts w:hint="eastAsia" w:ascii="方正小标宋_GBK" w:hAnsi="Times New Roman" w:eastAsia="方正小标宋_GBK" w:cs="Nimbus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Nimbus Roman"/>
          <w:sz w:val="44"/>
          <w:szCs w:val="44"/>
          <w:lang w:val="en-US" w:eastAsia="zh-CN"/>
        </w:rPr>
        <w:t xml:space="preserve">重庆市长寿区民政局 </w:t>
      </w:r>
    </w:p>
    <w:p>
      <w:pPr>
        <w:overflowPunct w:val="0"/>
        <w:adjustRightInd w:val="0"/>
        <w:spacing w:line="579" w:lineRule="exact"/>
        <w:jc w:val="center"/>
        <w:rPr>
          <w:rFonts w:hint="default" w:ascii="方正小标宋_GBK" w:hAnsi="Times New Roman" w:eastAsia="方正小标宋_GBK" w:cs="Nimbus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Nimbus Roman"/>
          <w:sz w:val="44"/>
          <w:szCs w:val="44"/>
          <w:lang w:val="en-US" w:eastAsia="zh-CN"/>
        </w:rPr>
        <w:t>关于征集我区商家参与</w:t>
      </w:r>
      <w:r>
        <w:rPr>
          <w:rFonts w:hint="eastAsia" w:ascii="方正小标宋_GBK" w:hAnsi="Times New Roman" w:eastAsia="方正小标宋_GBK" w:cs="Nimbus Roman"/>
          <w:sz w:val="44"/>
          <w:szCs w:val="44"/>
        </w:rPr>
        <w:t>重庆市2025年居家适老化改造产品“焕新”补贴政策</w:t>
      </w:r>
      <w:r>
        <w:rPr>
          <w:rFonts w:hint="eastAsia" w:ascii="方正小标宋_GBK" w:hAnsi="Times New Roman" w:eastAsia="方正小标宋_GBK" w:cs="Nimbus Roman"/>
          <w:sz w:val="44"/>
          <w:szCs w:val="44"/>
          <w:lang w:val="en-US" w:eastAsia="zh-CN"/>
        </w:rPr>
        <w:t>的</w:t>
      </w:r>
      <w:r>
        <w:rPr>
          <w:rFonts w:hint="eastAsia" w:ascii="方正小标宋_GBK" w:hAnsi="Times New Roman" w:eastAsia="方正小标宋_GBK" w:cs="Nimbus Roman"/>
          <w:sz w:val="44"/>
          <w:szCs w:val="44"/>
        </w:rPr>
        <w:t>公告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近期市民政局正在开展2025年居家适老化改造产品“焕新”补贴政策参与商家征集工作，为充分发动我区符合条件商家积极参与，</w:t>
      </w:r>
      <w:r>
        <w:rPr>
          <w:rFonts w:ascii="Times New Roman" w:hAnsi="Times New Roman" w:eastAsia="方正仿宋_GBK" w:cs="Nimbus Roman"/>
          <w:sz w:val="32"/>
          <w:szCs w:val="32"/>
        </w:rPr>
        <w:t>现面向全社会公开征集参与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商家</w:t>
      </w:r>
      <w:r>
        <w:rPr>
          <w:rFonts w:ascii="Times New Roman" w:hAnsi="Times New Roman" w:eastAsia="方正仿宋_GBK" w:cs="Nimbus Roman"/>
          <w:sz w:val="32"/>
          <w:szCs w:val="32"/>
        </w:rPr>
        <w:t>，具体情况公告如下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一、报名时间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Nimbus Roman"/>
          <w:sz w:val="32"/>
          <w:szCs w:val="32"/>
        </w:rPr>
        <w:t>月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Nimbus Roman"/>
          <w:sz w:val="32"/>
          <w:szCs w:val="32"/>
        </w:rPr>
        <w:t>日至2025年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9</w:t>
      </w:r>
      <w:r>
        <w:rPr>
          <w:rFonts w:ascii="Times New Roman" w:hAnsi="Times New Roman" w:eastAsia="方正仿宋_GBK" w:cs="Nimbus Roman"/>
          <w:sz w:val="32"/>
          <w:szCs w:val="32"/>
        </w:rPr>
        <w:t>月30日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二、报名条件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（一）</w:t>
      </w:r>
      <w:r>
        <w:rPr>
          <w:rFonts w:ascii="Times New Roman" w:hAnsi="Times New Roman" w:eastAsia="方正仿宋_GBK" w:cs="Nimbus Roman"/>
          <w:sz w:val="32"/>
          <w:szCs w:val="32"/>
        </w:rPr>
        <w:t>重庆依法注册、依法纳税、合法经营的企业（包括生产企业和销售企业），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具备相应的销售资质，若销售医疗类器材的企业，须具有</w:t>
      </w:r>
      <w:r>
        <w:rPr>
          <w:rFonts w:ascii="Times New Roman" w:hAnsi="Times New Roman" w:eastAsia="方正仿宋_GBK" w:cs="Nimbus Roman"/>
          <w:sz w:val="32"/>
          <w:szCs w:val="32"/>
        </w:rPr>
        <w:t>第二类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医疗器械经营资质，且</w:t>
      </w:r>
      <w:r>
        <w:rPr>
          <w:rFonts w:ascii="Times New Roman" w:hAnsi="Times New Roman" w:eastAsia="方正仿宋_GBK" w:cs="Nimbus Roman"/>
          <w:sz w:val="32"/>
          <w:szCs w:val="32"/>
        </w:rPr>
        <w:t>经营范围符合补贴目录。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（二）</w:t>
      </w:r>
      <w:r>
        <w:rPr>
          <w:rFonts w:ascii="Times New Roman" w:hAnsi="Times New Roman" w:eastAsia="方正仿宋_GBK" w:cs="Nimbus Roman"/>
          <w:sz w:val="32"/>
          <w:szCs w:val="32"/>
        </w:rPr>
        <w:t>具备线下服务或线下门店，能提供与补贴目录相关的产品及服务，能够开具重庆市内发票。承诺对消费者个人现场开具发票（确无法现场开具的，应在充分沟通基础上3日内开具），发票金额为产品的实际成交价，即：消费者个人支付金额＋政策补贴金额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生产企业须拥有所申报产品的自主品牌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  <w:t>。区域（省级）代理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经销商须获得品牌企业相关产品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  <w:t>独家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授权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  <w:t>其他销售商需获得品牌企业或区域（省级）代理经销商相关产品销售授权。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楷体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</w:t>
      </w:r>
      <w:r>
        <w:rPr>
          <w:rFonts w:hint="eastAsia" w:ascii="Times New Roman" w:hAnsi="Times New Roman" w:eastAsia="方正楷体_GBK" w:cs="Nimbus Roman"/>
          <w:sz w:val="32"/>
          <w:szCs w:val="32"/>
        </w:rPr>
        <w:t>四</w:t>
      </w:r>
      <w:r>
        <w:rPr>
          <w:rFonts w:ascii="Times New Roman" w:hAnsi="Times New Roman" w:eastAsia="方正楷体_GBK" w:cs="Nimbus Roman"/>
          <w:sz w:val="32"/>
          <w:szCs w:val="32"/>
        </w:rPr>
        <w:t>）</w:t>
      </w:r>
      <w:r>
        <w:rPr>
          <w:rFonts w:ascii="Times New Roman" w:hAnsi="Times New Roman" w:eastAsia="方正仿宋_GBK" w:cs="Nimbus Roman"/>
          <w:sz w:val="32"/>
          <w:szCs w:val="32"/>
        </w:rPr>
        <w:t>近三年内在经营活动中没有重大违法记录，未被国家和省、市有关部门列入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“</w:t>
      </w:r>
      <w:r>
        <w:rPr>
          <w:rFonts w:ascii="Times New Roman" w:hAnsi="Times New Roman" w:eastAsia="方正仿宋_GBK" w:cs="Nimbus Roman"/>
          <w:sz w:val="32"/>
          <w:szCs w:val="32"/>
        </w:rPr>
        <w:t>失信主体名单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”</w:t>
      </w:r>
      <w:r>
        <w:rPr>
          <w:rFonts w:ascii="Times New Roman" w:hAnsi="Times New Roman" w:eastAsia="方正仿宋_GBK" w:cs="Nimbus Roman"/>
          <w:sz w:val="32"/>
          <w:szCs w:val="32"/>
        </w:rPr>
        <w:t>，在类似政策或活动中未发生重大资金安全风险和隐患。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</w:t>
      </w:r>
      <w:r>
        <w:rPr>
          <w:rFonts w:hint="eastAsia" w:ascii="Times New Roman" w:hAnsi="Times New Roman" w:eastAsia="方正楷体_GBK" w:cs="Nimbus Roman"/>
          <w:sz w:val="32"/>
          <w:szCs w:val="32"/>
        </w:rPr>
        <w:t>五</w:t>
      </w:r>
      <w:r>
        <w:rPr>
          <w:rFonts w:ascii="Times New Roman" w:hAnsi="Times New Roman" w:eastAsia="方正楷体_GBK" w:cs="Nimbus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居家适老化改造焕新服务平台（以</w:t>
      </w:r>
      <w:r>
        <w:rPr>
          <w:rFonts w:ascii="Times New Roman" w:hAnsi="Times New Roman" w:eastAsia="方正仿宋_GBK" w:cs="Times New Roman"/>
          <w:sz w:val="32"/>
          <w:szCs w:val="32"/>
        </w:rPr>
        <w:t>下简称服务平台）为参与商家提供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商家资格审核、居家适老化产品上线的审核及发布、消费者补贴资格及余额核验、订单结算及支付、补贴申报材料归集及预审、焕新补贴政策宣传、商家培训、服务咨询及投诉处置等服务，商家自愿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缴纳服务平台提供服务的费用。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highlight w:val="none"/>
        </w:rPr>
      </w:pPr>
      <w:r>
        <w:rPr>
          <w:rFonts w:ascii="Times New Roman" w:hAnsi="Times New Roman" w:eastAsia="方正楷体_GBK" w:cs="Nimbus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Nimbus Roman"/>
          <w:sz w:val="32"/>
          <w:szCs w:val="32"/>
          <w:highlight w:val="none"/>
        </w:rPr>
        <w:t>六</w:t>
      </w:r>
      <w:r>
        <w:rPr>
          <w:rFonts w:ascii="Times New Roman" w:hAnsi="Times New Roman" w:eastAsia="方正楷体_GBK" w:cs="Nimbus Roman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同意在活动中采用暂缓部分交易金额的清算方式，即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服务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平台对活动开始后的10%交易金额（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最高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3万元）进行暂缓清算挂账设置，暂缓的资金作为该企业的活动保证金，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达到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3万元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后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交易金额正常清算。活动结束并经市民政局同意后，由服务平台全额清算暂缓资金。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（七）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申报企业所申报产品，至少须覆盖《2025年重庆市居家适老化改造产品“焕新”补贴政策实施方案》中《重庆市居家适老化改造产品“焕新”补贴范围目录（试行）》七类39项产品范围中的5项以上，且积极按照要求将有关信息录入指定平台，</w:t>
      </w:r>
      <w:r>
        <w:rPr>
          <w:rFonts w:ascii="Times New Roman" w:hAnsi="Times New Roman" w:eastAsia="方正仿宋_GBK" w:cs="Nimbus Roman"/>
          <w:sz w:val="32"/>
          <w:szCs w:val="32"/>
        </w:rPr>
        <w:t>有能力垫付消费者先行享受的补贴资金。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（八）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申报</w:t>
      </w:r>
      <w:r>
        <w:rPr>
          <w:rFonts w:ascii="Times New Roman" w:hAnsi="Times New Roman" w:eastAsia="方正仿宋_GBK" w:cs="Nimbus Roman"/>
          <w:sz w:val="32"/>
          <w:szCs w:val="32"/>
        </w:rPr>
        <w:t>产品具有国标13位商品条码或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企业商品编码</w:t>
      </w:r>
      <w:r>
        <w:rPr>
          <w:rFonts w:ascii="Times New Roman" w:hAnsi="Times New Roman" w:eastAsia="方正仿宋_GBK" w:cs="Nimbus Roman"/>
          <w:sz w:val="32"/>
          <w:szCs w:val="32"/>
        </w:rPr>
        <w:t>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（九）</w:t>
      </w:r>
      <w:r>
        <w:rPr>
          <w:rFonts w:ascii="Times New Roman" w:hAnsi="Times New Roman" w:eastAsia="方正仿宋_GBK" w:cs="Nimbus Roman"/>
          <w:sz w:val="32"/>
          <w:szCs w:val="32"/>
        </w:rPr>
        <w:t>申报的品牌产品应在功能性、易用性、可靠性、安全性等方面具备较高的技术水平，应符合相关国家、行业标准及地方标准，属于国家规定强制性市场准入要求范围的应获得相应准入资格。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（十）</w:t>
      </w:r>
      <w:r>
        <w:rPr>
          <w:rFonts w:ascii="Times New Roman" w:hAnsi="Times New Roman" w:eastAsia="方正仿宋_GBK" w:cs="Nimbus Roman"/>
          <w:sz w:val="32"/>
          <w:szCs w:val="32"/>
        </w:rPr>
        <w:t>对于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门磁、毫米波雷达睡眠监测仪</w:t>
      </w:r>
      <w:r>
        <w:rPr>
          <w:rFonts w:ascii="Times New Roman" w:hAnsi="Times New Roman" w:eastAsia="方正仿宋_GBK" w:cs="Nimbus Roman"/>
          <w:sz w:val="32"/>
          <w:szCs w:val="32"/>
        </w:rPr>
        <w:t>、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实时心电监护系统、呼吸功能监测预警仪、多参数监护仪、坠床（跌倒）监测雷达、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煤气泄漏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报警器、红外探测器、生命探测雷达、紧急呼叫器、情感陪护设备、毫米波雷达、烟雾报警器、溢水报警器、防走失胸卡</w:t>
      </w:r>
      <w:r>
        <w:rPr>
          <w:rFonts w:ascii="Times New Roman" w:hAnsi="Times New Roman" w:eastAsia="方正仿宋_GBK" w:cs="Nimbus Roman"/>
          <w:sz w:val="32"/>
          <w:szCs w:val="32"/>
        </w:rPr>
        <w:t>等智能适老化产品，申报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原则上应</w:t>
      </w:r>
      <w:r>
        <w:rPr>
          <w:rFonts w:ascii="Times New Roman" w:hAnsi="Times New Roman" w:eastAsia="方正仿宋_GBK" w:cs="Nimbus Roman"/>
          <w:sz w:val="32"/>
          <w:szCs w:val="32"/>
        </w:rPr>
        <w:t>具备相应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物联感知设备管理</w:t>
      </w:r>
      <w:r>
        <w:rPr>
          <w:rFonts w:ascii="Times New Roman" w:hAnsi="Times New Roman" w:eastAsia="方正仿宋_GBK" w:cs="Nimbus Roman"/>
          <w:sz w:val="32"/>
          <w:szCs w:val="32"/>
        </w:rPr>
        <w:t>平台或接入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市</w:t>
      </w:r>
      <w:r>
        <w:rPr>
          <w:rFonts w:ascii="Times New Roman" w:hAnsi="Times New Roman" w:eastAsia="方正仿宋_GBK" w:cs="Nimbus Roman"/>
          <w:sz w:val="32"/>
          <w:szCs w:val="32"/>
        </w:rPr>
        <w:t>（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区县</w:t>
      </w:r>
      <w:r>
        <w:rPr>
          <w:rFonts w:ascii="Times New Roman" w:hAnsi="Times New Roman" w:eastAsia="方正仿宋_GBK" w:cs="Nimbus Roman"/>
          <w:sz w:val="32"/>
          <w:szCs w:val="32"/>
        </w:rPr>
        <w:t>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养老</w:t>
      </w:r>
      <w:r>
        <w:rPr>
          <w:rFonts w:ascii="Times New Roman" w:hAnsi="Times New Roman" w:eastAsia="方正仿宋_GBK" w:cs="Nimbus Roman"/>
          <w:sz w:val="32"/>
          <w:szCs w:val="32"/>
        </w:rPr>
        <w:t>服务平台的能力，确保相关智能适老化产品能够有效使用。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（十一）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申报</w:t>
      </w:r>
      <w:r>
        <w:rPr>
          <w:rFonts w:ascii="Times New Roman" w:hAnsi="Times New Roman" w:eastAsia="方正仿宋_GBK" w:cs="Nimbus Roman"/>
          <w:sz w:val="32"/>
          <w:szCs w:val="32"/>
        </w:rPr>
        <w:t>企业应具备提供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居家适老化改造</w:t>
      </w:r>
      <w:r>
        <w:rPr>
          <w:rFonts w:ascii="Times New Roman" w:hAnsi="Times New Roman" w:eastAsia="方正仿宋_GBK" w:cs="Nimbus Roman"/>
          <w:sz w:val="32"/>
          <w:szCs w:val="32"/>
        </w:rPr>
        <w:t>线下体验服务的能力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，</w:t>
      </w:r>
      <w:r>
        <w:rPr>
          <w:rFonts w:ascii="Times New Roman" w:hAnsi="Times New Roman" w:eastAsia="方正仿宋_GBK" w:cs="Nimbus Roman"/>
          <w:sz w:val="32"/>
          <w:szCs w:val="32"/>
        </w:rPr>
        <w:t>能够提供产品讲解展示、现场交易及退换货服务，能协调提供物流配送、安装调试、保修维护等服务。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（十二）</w:t>
      </w:r>
      <w:r>
        <w:rPr>
          <w:rFonts w:ascii="Times New Roman" w:hAnsi="Times New Roman" w:eastAsia="方正仿宋_GBK" w:cs="Nimbus Roman"/>
          <w:sz w:val="32"/>
          <w:szCs w:val="32"/>
        </w:rPr>
        <w:t>具备系统化防范骗补、套补等风险防范的制度和措施，具有规范的销售、配送信息系统，有完善的进销存管机制，能提供与“焕新”活动相关、可溯、不可更改的台账资料。具备退货退款与支付在同一渠道完成的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服务能力</w:t>
      </w:r>
      <w:r>
        <w:rPr>
          <w:rFonts w:ascii="Times New Roman" w:hAnsi="Times New Roman" w:eastAsia="方正仿宋_GBK" w:cs="Nimbus Roman"/>
          <w:sz w:val="32"/>
          <w:szCs w:val="32"/>
        </w:rPr>
        <w:t>，便于监测及跟踪统计销售情况。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cs="Nimbus Roman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（十</w:t>
      </w:r>
      <w:r>
        <w:rPr>
          <w:rFonts w:hint="eastAsia" w:ascii="Times New Roman" w:hAnsi="Times New Roman" w:eastAsia="方正楷体_GBK" w:cs="Nimbus Roman"/>
          <w:sz w:val="32"/>
          <w:szCs w:val="32"/>
        </w:rPr>
        <w:t>三</w:t>
      </w:r>
      <w:r>
        <w:rPr>
          <w:rFonts w:ascii="Times New Roman" w:hAnsi="Times New Roman" w:eastAsia="方正楷体_GBK" w:cs="Nimbus Roman"/>
          <w:sz w:val="32"/>
          <w:szCs w:val="32"/>
        </w:rPr>
        <w:t>）</w:t>
      </w:r>
      <w:r>
        <w:rPr>
          <w:rFonts w:ascii="Times New Roman" w:hAnsi="Times New Roman" w:eastAsia="方正仿宋_GBK" w:cs="Nimbus Roman"/>
          <w:sz w:val="32"/>
          <w:szCs w:val="32"/>
        </w:rPr>
        <w:t>能配合审计工作，根据要求提交相应的居家适老化改造产品销售信息台账、单位证件复印件、销售发票、产品能效（水效）标识图片、垫付补贴凭证等相关审计材料。做好资金清算工作，在规定时间内退回不符合条件的补贴资金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三、申报流程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（一）申报审核。</w:t>
      </w:r>
      <w:r>
        <w:rPr>
          <w:rFonts w:ascii="Times New Roman" w:hAnsi="Times New Roman" w:eastAsia="方正仿宋_GBK" w:cs="Nimbus Roman"/>
          <w:sz w:val="32"/>
          <w:szCs w:val="32"/>
        </w:rPr>
        <w:t>符合条件的企业自愿申报，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扫描</w:t>
      </w:r>
      <w:r>
        <w:rPr>
          <w:rFonts w:hint="eastAsia" w:ascii="Times New Roman" w:hAnsi="Times New Roman" w:eastAsia="方正仿宋_GBK" w:cs="Nimbus Roman"/>
          <w:b/>
          <w:bCs/>
          <w:sz w:val="32"/>
          <w:szCs w:val="32"/>
          <w:lang w:eastAsia="zh-CN"/>
        </w:rPr>
        <w:t>二维码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Nimbus Roman"/>
          <w:sz w:val="32"/>
          <w:szCs w:val="32"/>
        </w:rPr>
        <w:t>在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服务平台</w:t>
      </w:r>
      <w:r>
        <w:rPr>
          <w:rFonts w:ascii="Times New Roman" w:hAnsi="Times New Roman" w:eastAsia="方正仿宋_GBK" w:cs="Nimbus Roman"/>
          <w:sz w:val="32"/>
          <w:szCs w:val="32"/>
        </w:rPr>
        <w:t>上提交全部电子版申报材料，并保持电话畅通，配合工作人员进行材料补充等工作，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</w:rPr>
        <w:t>服务平台进行预审后，由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  <w:t>民政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方正仿宋_GBK" w:cs="Nimbus Roman"/>
          <w:sz w:val="32"/>
          <w:szCs w:val="32"/>
          <w:highlight w:val="none"/>
          <w:lang w:eastAsia="zh-CN"/>
        </w:rPr>
        <w:t>审核、市民政局复核</w:t>
      </w:r>
      <w:r>
        <w:rPr>
          <w:rFonts w:ascii="Times New Roman" w:hAnsi="Times New Roman" w:eastAsia="方正仿宋_GBK" w:cs="Nimbus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首次报名截止时间为202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年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月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日18:00，其后每月20日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申请一次。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楷体_GBK" w:cs="Nimbus Roman"/>
          <w:sz w:val="32"/>
          <w:szCs w:val="32"/>
        </w:rPr>
        <w:t>（二）入围公布。</w:t>
      </w:r>
      <w:r>
        <w:rPr>
          <w:rFonts w:ascii="Times New Roman" w:hAnsi="Times New Roman" w:eastAsia="方正仿宋_GBK" w:cs="Nimbus Roman"/>
          <w:sz w:val="32"/>
          <w:szCs w:val="32"/>
        </w:rPr>
        <w:t>根据企业申报情况，对符合条件的汇总形成《重庆市2025年居家适老化改造产品“焕新”补贴政策参与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商家</w:t>
      </w:r>
      <w:r>
        <w:rPr>
          <w:rFonts w:ascii="Times New Roman" w:hAnsi="Times New Roman" w:eastAsia="方正仿宋_GBK" w:cs="Nimbus Roman"/>
          <w:sz w:val="32"/>
          <w:szCs w:val="32"/>
        </w:rPr>
        <w:t>名单》并向社会公告。市民政局将定期更新并公告。参与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商家</w:t>
      </w:r>
      <w:r>
        <w:rPr>
          <w:rFonts w:ascii="Times New Roman" w:hAnsi="Times New Roman" w:eastAsia="方正仿宋_GBK" w:cs="Nimbus Roman"/>
          <w:sz w:val="32"/>
          <w:szCs w:val="32"/>
        </w:rPr>
        <w:t>资格有效期与活动时间保持一致。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四、申报材料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楷体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登录居家适老化改造产品焕新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服务平台，</w:t>
      </w:r>
      <w:r>
        <w:rPr>
          <w:rFonts w:ascii="Times New Roman" w:hAnsi="Times New Roman" w:eastAsia="方正仿宋_GBK" w:cs="Nimbus Roman"/>
          <w:sz w:val="32"/>
          <w:szCs w:val="32"/>
        </w:rPr>
        <w:t>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服务</w:t>
      </w:r>
      <w:r>
        <w:rPr>
          <w:rFonts w:ascii="Times New Roman" w:hAnsi="Times New Roman" w:eastAsia="方正仿宋_GBK" w:cs="Nimbus Roman"/>
          <w:sz w:val="32"/>
          <w:szCs w:val="32"/>
        </w:rPr>
        <w:t>平台指引填写表单数据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（参考附件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Nimbus Roman"/>
          <w:sz w:val="32"/>
          <w:szCs w:val="32"/>
        </w:rPr>
        <w:t>，具体包括：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（一）申报企业基本信息，包括企业名称、注册地址、企业法人、企业简介，以及线下各服务网点地址等。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（二）申报企业承诺书（模板见附件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Nimbus Roman"/>
          <w:sz w:val="32"/>
          <w:szCs w:val="32"/>
        </w:rPr>
        <w:t>），盖企业公章。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（三）申报企业营业执照（复印件）、法定代表人身份证和银行开户许可证（复印件），《信用信息报告》（“信用中国”网站打印）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、产品授权书（协议）、近三个月申报产品销售凭证（发票、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POST单据以及其他佐证材料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Nimbus Roman"/>
          <w:sz w:val="32"/>
          <w:szCs w:val="32"/>
        </w:rPr>
        <w:t>等。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（四）</w:t>
      </w:r>
      <w:r>
        <w:rPr>
          <w:rFonts w:ascii="Times New Roman" w:hAnsi="Times New Roman" w:eastAsia="方正仿宋_GBK" w:cs="Nimbus Roman"/>
          <w:b w:val="0"/>
          <w:bCs w:val="0"/>
          <w:sz w:val="32"/>
          <w:szCs w:val="32"/>
        </w:rPr>
        <w:t>申报企业专项活动方案，包括但不限于供货渠道、物流配送方案、售后方案、风险防控方案（如防范恶意刷单或套现的具体举措）。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楷体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申报过程如有疑问，服务平台相关技术问题请联系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颜老师（</w:t>
      </w:r>
      <w:r>
        <w:rPr>
          <w:rFonts w:ascii="Times New Roman" w:hAnsi="Times New Roman" w:eastAsia="方正仿宋_GBK" w:cs="Nimbus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023-68738888）</w:t>
      </w:r>
      <w:r>
        <w:rPr>
          <w:rFonts w:ascii="Times New Roman" w:hAnsi="Times New Roman" w:eastAsia="方正仿宋_GBK" w:cs="Nimbus Roman"/>
          <w:sz w:val="32"/>
          <w:szCs w:val="32"/>
        </w:rPr>
        <w:t>；申报相关业务问题请联系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区民政局周老师（023-40244078）、市民政局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周老师（</w:t>
      </w:r>
      <w:r>
        <w:rPr>
          <w:rFonts w:ascii="Times New Roman" w:hAnsi="Times New Roman" w:eastAsia="方正仿宋_GBK" w:cs="Nimbus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023-88563098），</w:t>
      </w:r>
      <w:r>
        <w:rPr>
          <w:rFonts w:ascii="Times New Roman" w:hAnsi="Times New Roman" w:eastAsia="方正仿宋_GBK" w:cs="Nimbus Roman"/>
          <w:sz w:val="32"/>
          <w:szCs w:val="32"/>
        </w:rPr>
        <w:t>咨询时间：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工作日</w:t>
      </w:r>
      <w:r>
        <w:rPr>
          <w:rFonts w:ascii="Times New Roman" w:hAnsi="Times New Roman" w:eastAsia="方正仿宋_GBK" w:cs="Nimbus Roman"/>
          <w:sz w:val="32"/>
          <w:szCs w:val="32"/>
        </w:rPr>
        <w:t>09：00-1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8</w:t>
      </w:r>
      <w:r>
        <w:rPr>
          <w:rFonts w:ascii="Times New Roman" w:hAnsi="Times New Roman" w:eastAsia="方正仿宋_GBK" w:cs="Nimbus Roman"/>
          <w:sz w:val="32"/>
          <w:szCs w:val="32"/>
        </w:rPr>
        <w:t>：00。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五、参与企业职责和义务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（一）如实提供参加活动的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线上、</w:t>
      </w:r>
      <w:r>
        <w:rPr>
          <w:rFonts w:ascii="Times New Roman" w:hAnsi="Times New Roman" w:eastAsia="方正仿宋_GBK" w:cs="Nimbus Roman"/>
          <w:sz w:val="32"/>
          <w:szCs w:val="32"/>
        </w:rPr>
        <w:t>线下服务网点信息。如实在补贴目录中选择可销售的产品，不得出现选择了却无法销售的情形。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（二）积极配合渝悦养老应用、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服务</w:t>
      </w:r>
      <w:r>
        <w:rPr>
          <w:rFonts w:ascii="Times New Roman" w:hAnsi="Times New Roman" w:eastAsia="方正仿宋_GBK" w:cs="Nimbus Roman"/>
          <w:sz w:val="32"/>
          <w:szCs w:val="32"/>
        </w:rPr>
        <w:t>平台工作，完成人员培训、平台接入和支付环境升级改造等，如实上报销售、退换货等数据。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（三）做好专项活动宣传工作，提高活动知晓度和影响力；鼓励参与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商家</w:t>
      </w:r>
      <w:r>
        <w:rPr>
          <w:rFonts w:ascii="Times New Roman" w:hAnsi="Times New Roman" w:eastAsia="方正仿宋_GBK" w:cs="Nimbus Roman"/>
          <w:sz w:val="32"/>
          <w:szCs w:val="32"/>
        </w:rPr>
        <w:t>在专项活动中叠加让利支持。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四</w:t>
      </w:r>
      <w:r>
        <w:rPr>
          <w:rFonts w:ascii="Times New Roman" w:hAnsi="Times New Roman" w:eastAsia="方正仿宋_GBK" w:cs="Nimbus Roman"/>
          <w:sz w:val="32"/>
          <w:szCs w:val="32"/>
        </w:rPr>
        <w:t>）配合政府部门、渝悦养老应用、服务平台等对活动进行跟踪、监督和审计，包括但不限于提供台账、发票、订单信息、配送信息、顾客信息等。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（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五</w:t>
      </w:r>
      <w:r>
        <w:rPr>
          <w:rFonts w:ascii="Times New Roman" w:hAnsi="Times New Roman" w:eastAsia="方正仿宋_GBK" w:cs="Nimbus Roman"/>
          <w:sz w:val="32"/>
          <w:szCs w:val="32"/>
        </w:rPr>
        <w:t>）坚持诚信经营，对零售商品质量、服务品质负责，经营中不得采用“先涨价后折扣”、以非活动产品代替活动产品、对不同消费者群体购买同一产品收取不同价格等手段欺骗消费者。严禁出现刷单套现等骗取财政资金的违法违规行为，一经发现将依法依规处置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特此公告。</w:t>
      </w:r>
    </w:p>
    <w:p>
      <w:pPr>
        <w:overflowPunct w:val="0"/>
        <w:adjustRightInd w:val="0"/>
        <w:spacing w:line="579" w:lineRule="exact"/>
        <w:rPr>
          <w:rFonts w:ascii="Times New Roman" w:hAnsi="Times New Roman" w:eastAsia="方正仿宋_GBK" w:cs="Nimbus Roman"/>
          <w:sz w:val="32"/>
          <w:szCs w:val="32"/>
        </w:rPr>
      </w:pPr>
    </w:p>
    <w:p>
      <w:pPr>
        <w:overflowPunct w:val="0"/>
        <w:adjustRightInd w:val="0"/>
        <w:spacing w:line="579" w:lineRule="exact"/>
        <w:ind w:left="1918" w:leftChars="304" w:hanging="1280" w:hangingChars="400"/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1.2025年重庆市居家适老化改造“焕新”补贴政策参与商家申请表</w:t>
      </w: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（样表）</w:t>
      </w:r>
    </w:p>
    <w:p>
      <w:pPr>
        <w:overflowPunct w:val="0"/>
        <w:adjustRightInd w:val="0"/>
        <w:spacing w:line="579" w:lineRule="exact"/>
        <w:ind w:firstLine="1600" w:firstLineChars="5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2.</w:t>
      </w:r>
      <w:r>
        <w:rPr>
          <w:rFonts w:ascii="Times New Roman" w:hAnsi="Times New Roman" w:eastAsia="方正仿宋_GBK" w:cs="Nimbus Roman"/>
          <w:sz w:val="32"/>
          <w:szCs w:val="32"/>
        </w:rPr>
        <w:t>承诺书</w:t>
      </w:r>
    </w:p>
    <w:p>
      <w:pPr>
        <w:overflowPunct w:val="0"/>
        <w:adjustRightInd w:val="0"/>
        <w:spacing w:line="579" w:lineRule="exact"/>
        <w:ind w:left="1916" w:leftChars="760" w:hanging="320" w:hangingChars="100"/>
        <w:rPr>
          <w:rFonts w:hint="eastAsia"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3.2025年重庆市居家适老化改造“焕新”补贴产品申报目录</w:t>
      </w:r>
    </w:p>
    <w:p>
      <w:pPr>
        <w:numPr>
          <w:ilvl w:val="0"/>
          <w:numId w:val="0"/>
        </w:numPr>
        <w:overflowPunct w:val="0"/>
        <w:adjustRightInd w:val="0"/>
        <w:spacing w:line="579" w:lineRule="exact"/>
        <w:ind w:firstLine="1600" w:firstLineChars="500"/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4.二维码</w:t>
      </w:r>
    </w:p>
    <w:p>
      <w:pPr>
        <w:numPr>
          <w:ilvl w:val="0"/>
          <w:numId w:val="0"/>
        </w:numPr>
        <w:overflowPunct w:val="0"/>
        <w:adjustRightInd w:val="0"/>
        <w:spacing w:line="579" w:lineRule="exact"/>
        <w:ind w:left="1916" w:leftChars="760" w:hanging="320" w:hangingChars="100"/>
        <w:rPr>
          <w:rFonts w:hint="default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5.重庆市居家适老化改造产品“焕新”补贴范围目录（试行）</w:t>
      </w:r>
    </w:p>
    <w:p>
      <w:pPr>
        <w:overflowPunct w:val="0"/>
        <w:adjustRightInd w:val="0"/>
        <w:spacing w:line="579" w:lineRule="exact"/>
        <w:ind w:left="1596" w:leftChars="760"/>
        <w:rPr>
          <w:rFonts w:ascii="Times New Roman" w:hAnsi="Times New Roman" w:eastAsia="方正仿宋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1</w:t>
      </w:r>
    </w:p>
    <w:p>
      <w:pPr>
        <w:overflowPunct w:val="0"/>
        <w:spacing w:line="579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2025年重庆市居家适老化改造“焕新”补贴政策参与商家申请表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（样表）</w:t>
      </w:r>
    </w:p>
    <w:tbl>
      <w:tblPr>
        <w:tblStyle w:val="9"/>
        <w:tblpPr w:leftFromText="180" w:rightFromText="180" w:vertAnchor="text" w:horzAnchor="page" w:tblpX="1774" w:tblpY="121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214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企业名称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统一社会信用代码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企业</w:t>
            </w:r>
            <w:r>
              <w:rPr>
                <w:rFonts w:hint="eastAsia" w:ascii="Times New Roman" w:hAnsi="Times New Roman" w:eastAsia="宋体" w:cs="宋体"/>
                <w:sz w:val="24"/>
              </w:rPr>
              <w:t>经营地址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注册地址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企业经营范围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经营品牌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法定代表人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联系人姓名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企业承诺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我单位将按照</w:t>
            </w:r>
            <w:r>
              <w:rPr>
                <w:rFonts w:hint="eastAsia" w:ascii="Times New Roman" w:hAnsi="Times New Roman" w:cs="宋体"/>
                <w:sz w:val="24"/>
              </w:rPr>
              <w:t>《</w:t>
            </w:r>
            <w:r>
              <w:rPr>
                <w:rFonts w:hint="eastAsia" w:ascii="Times New Roman" w:hAnsi="Times New Roman" w:eastAsia="宋体" w:cs="宋体"/>
                <w:sz w:val="24"/>
              </w:rPr>
              <w:t>2025年重庆市居家适老化改造产品“焕新”补贴政策实施方案</w:t>
            </w:r>
            <w:r>
              <w:rPr>
                <w:rFonts w:hint="eastAsia" w:ascii="Times New Roman" w:hAnsi="Times New Roman" w:cs="宋体"/>
                <w:sz w:val="24"/>
              </w:rPr>
              <w:t>》</w:t>
            </w:r>
            <w:r>
              <w:rPr>
                <w:rFonts w:hint="eastAsia" w:ascii="Times New Roman" w:hAnsi="Times New Roman" w:eastAsia="宋体" w:cs="宋体"/>
                <w:sz w:val="24"/>
              </w:rPr>
              <w:t>有关要求，保证提供的所有申报数据、材料等信息真实有效，并愿意接受有关部门的监督。</w:t>
            </w:r>
          </w:p>
          <w:p>
            <w:pPr>
              <w:pStyle w:val="8"/>
              <w:wordWrap w:val="0"/>
              <w:spacing w:line="400" w:lineRule="exact"/>
              <w:ind w:left="0" w:leftChars="0" w:firstLine="0" w:firstLineChars="0"/>
              <w:rPr>
                <w:rFonts w:hAnsi="Times New Roman" w:eastAsia="宋体" w:cs="宋体"/>
                <w:sz w:val="24"/>
              </w:rPr>
            </w:pPr>
          </w:p>
          <w:p>
            <w:pPr>
              <w:pStyle w:val="8"/>
              <w:wordWrap w:val="0"/>
              <w:spacing w:line="400" w:lineRule="exact"/>
              <w:ind w:left="420" w:firstLine="480"/>
              <w:jc w:val="center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 xml:space="preserve">法定代表人（授权人）签字：      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（企业公章）         </w:t>
            </w:r>
          </w:p>
          <w:p>
            <w:pPr>
              <w:pStyle w:val="8"/>
              <w:wordWrap w:val="0"/>
              <w:spacing w:line="400" w:lineRule="exact"/>
              <w:ind w:left="420" w:firstLine="480"/>
              <w:jc w:val="center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>202</w:t>
            </w:r>
            <w:r>
              <w:rPr>
                <w:rFonts w:hint="eastAsia" w:hAnsi="Times New Roman" w:cs="宋体"/>
                <w:sz w:val="24"/>
              </w:rPr>
              <w:t>5</w:t>
            </w:r>
            <w:r>
              <w:rPr>
                <w:rFonts w:hint="eastAsia" w:hAnsi="Times New Roman" w:eastAsia="宋体" w:cs="宋体"/>
                <w:sz w:val="24"/>
              </w:rPr>
              <w:t xml:space="preserve">年  月  日       </w:t>
            </w:r>
          </w:p>
        </w:tc>
      </w:tr>
    </w:tbl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br w:type="page"/>
      </w:r>
    </w:p>
    <w:p>
      <w:pPr>
        <w:overflowPunct w:val="0"/>
        <w:spacing w:line="579" w:lineRule="exact"/>
        <w:rPr>
          <w:rFonts w:ascii="Times New Roman" w:hAnsi="Times New Roman" w:eastAsia="方正黑体_GBK" w:cs="Nimbus Roman"/>
          <w:sz w:val="10"/>
          <w:szCs w:val="10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2</w:t>
      </w:r>
    </w:p>
    <w:p>
      <w:pPr>
        <w:overflowPunct w:val="0"/>
        <w:spacing w:line="579" w:lineRule="exact"/>
        <w:jc w:val="center"/>
        <w:rPr>
          <w:rFonts w:hint="eastAsia" w:ascii="方正小标宋_GBK" w:hAnsi="Times New Roman" w:eastAsia="方正小标宋_GBK" w:cs="Nimbus Roman"/>
          <w:sz w:val="44"/>
          <w:szCs w:val="44"/>
        </w:rPr>
      </w:pPr>
      <w:r>
        <w:rPr>
          <w:rFonts w:hint="eastAsia" w:ascii="方正小标宋_GBK" w:hAnsi="Times New Roman" w:eastAsia="方正小标宋_GBK" w:cs="Nimbus Roman"/>
          <w:sz w:val="44"/>
          <w:szCs w:val="44"/>
        </w:rPr>
        <w:t>承诺书</w:t>
      </w:r>
    </w:p>
    <w:p>
      <w:pPr>
        <w:pStyle w:val="7"/>
        <w:overflowPunct w:val="0"/>
        <w:spacing w:line="579" w:lineRule="exact"/>
        <w:ind w:firstLine="440"/>
        <w:rPr>
          <w:rFonts w:ascii="Times New Roman" w:hAnsi="Times New Roman" w:cs="Nimbus Roman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本公司（名称：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，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统一社会信用代码：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       ）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，对申请参与重庆市202</w:t>
      </w:r>
      <w:r>
        <w:rPr>
          <w:rFonts w:ascii="Times New Roman" w:hAnsi="Times New Roman" w:eastAsia="方正仿宋_GBK" w:cs="Nimbus Roman"/>
          <w:sz w:val="32"/>
          <w:szCs w:val="32"/>
        </w:rPr>
        <w:t>5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年居家适老化改造产品“焕新”补贴政策（以下简称“补贴政策”）提交申报材料的合法性、真实性、准确性和完整性负责，并承诺如下：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1.基于平等、自愿原则申报</w:t>
      </w:r>
      <w:r>
        <w:rPr>
          <w:rFonts w:ascii="Times New Roman" w:hAnsi="Times New Roman" w:eastAsia="方正仿宋_GBK" w:cs="Nimbus Roman"/>
          <w:sz w:val="32"/>
          <w:szCs w:val="32"/>
        </w:rPr>
        <w:t>参与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，严格遵守活动各项要求。</w:t>
      </w:r>
    </w:p>
    <w:p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2.承诺积极配合重庆市民政局及相关单位的活动开展要求，做好员工培训、产品支持、物料投放、</w:t>
      </w:r>
      <w:r>
        <w:rPr>
          <w:rFonts w:ascii="Times New Roman" w:hAnsi="Times New Roman" w:eastAsia="方正仿宋_GBK" w:cs="Nimbus Roman"/>
          <w:sz w:val="32"/>
          <w:szCs w:val="32"/>
        </w:rPr>
        <w:t>服务管理平台接入和支付环境升级改造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及宣传</w:t>
      </w:r>
      <w:r>
        <w:rPr>
          <w:rFonts w:ascii="Times New Roman" w:hAnsi="Times New Roman" w:eastAsia="方正仿宋_GBK" w:cs="Nimbus Roman"/>
          <w:sz w:val="32"/>
          <w:szCs w:val="32"/>
        </w:rPr>
        <w:t>等相关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工作。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3.承诺不弄虚作假，加强内部管理，基于现有手段认真防范恶意套取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、骗取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的行为。</w:t>
      </w:r>
      <w:r>
        <w:rPr>
          <w:rFonts w:ascii="Times New Roman" w:hAnsi="Times New Roman" w:eastAsia="方正仿宋_GBK" w:cs="Nimbus Roman"/>
          <w:sz w:val="32"/>
          <w:szCs w:val="32"/>
        </w:rPr>
        <w:t>如活动交易触发风控系统规则，我司愿意配合执行资金冻结、终端管控等相应管控措施并承担相应责任。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4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.承诺如实申报可销售的产品，明确向消费者详细介绍所售</w:t>
      </w:r>
      <w:r>
        <w:rPr>
          <w:rFonts w:ascii="Times New Roman" w:hAnsi="Times New Roman" w:eastAsia="方正仿宋_GBK" w:cs="Nimbus Roman"/>
          <w:sz w:val="32"/>
          <w:szCs w:val="32"/>
        </w:rPr>
        <w:t>商品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对补贴政策的适用情况，</w:t>
      </w:r>
      <w:r>
        <w:rPr>
          <w:rFonts w:ascii="Times New Roman" w:hAnsi="Times New Roman" w:eastAsia="方正仿宋_GBK" w:cs="Nimbus Roman"/>
          <w:sz w:val="32"/>
          <w:szCs w:val="32"/>
        </w:rPr>
        <w:t>做好认真解答、咨询等工作，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不误导、欺骗消费者，不变相侵吞</w:t>
      </w:r>
      <w:r>
        <w:rPr>
          <w:rFonts w:ascii="Times New Roman" w:hAnsi="Times New Roman" w:eastAsia="方正仿宋_GBK" w:cs="Nimbus Roman"/>
          <w:sz w:val="32"/>
          <w:szCs w:val="32"/>
        </w:rPr>
        <w:t>补贴资金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。不乘机哄抬价格和变相涨价，不强制捆绑和搭售，不</w:t>
      </w:r>
      <w:r>
        <w:rPr>
          <w:rFonts w:ascii="Times New Roman" w:hAnsi="Times New Roman" w:eastAsia="方正仿宋_GBK" w:cs="Nimbus Roman"/>
          <w:color w:val="000000"/>
          <w:sz w:val="32"/>
          <w:szCs w:val="32"/>
          <w:shd w:val="clear" w:color="auto" w:fill="FFFFFF"/>
        </w:rPr>
        <w:t>对不同消费者群体购买同一产品收取不同价格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。不降低服务水平和质量，不得以参与补贴政策为由拒绝“七天无理由退货”等消费者合法诉求。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kern w:val="2"/>
          <w:sz w:val="32"/>
          <w:szCs w:val="32"/>
        </w:rPr>
        <w:t>5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.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同意并承诺本次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采用暂缓部分交易金额的清算方式，即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市民政局委托交易服务机构对活动开始后的10%交易金额（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最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高3万元）进行暂缓清算挂账设置，暂缓的资金作为该企业的活动保证金，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达到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3万元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后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交易金额正常清算。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结束并经审计单位审核通过后，经市民政局同意，由交易服务机构全额清算暂缓资金。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kern w:val="2"/>
          <w:sz w:val="32"/>
          <w:szCs w:val="32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在本次居家适老化改造焕新补贴活动中，</w:t>
      </w:r>
      <w:r>
        <w:rPr>
          <w:rFonts w:hint="eastAsia" w:ascii="Times New Roman" w:hAnsi="Times New Roman" w:eastAsia="方正仿宋_GBK" w:cs="Nimbus Roman"/>
          <w:kern w:val="2"/>
          <w:sz w:val="32"/>
          <w:szCs w:val="32"/>
        </w:rPr>
        <w:t>承诺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自愿向</w:t>
      </w:r>
      <w:r>
        <w:rPr>
          <w:rFonts w:ascii="Times New Roman" w:hAnsi="Times New Roman" w:eastAsia="方正仿宋_GBK" w:cs="Times New Roman"/>
          <w:sz w:val="32"/>
          <w:szCs w:val="32"/>
        </w:rPr>
        <w:t>服务平台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支付相应的服务费用。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7.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承诺严格按照重庆市民政局要求对销售流程进行严格管控，提供完善的售后服务。</w:t>
      </w:r>
    </w:p>
    <w:p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8</w:t>
      </w:r>
      <w:r>
        <w:rPr>
          <w:rFonts w:ascii="Times New Roman" w:hAnsi="Times New Roman" w:eastAsia="方正仿宋_GBK" w:cs="Nimbus Roman"/>
          <w:sz w:val="32"/>
          <w:szCs w:val="32"/>
        </w:rPr>
        <w:t>.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承诺协助消费者将有效身份证明、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产品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销售发票、购物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凭证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等材料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上传</w:t>
      </w:r>
      <w:r>
        <w:rPr>
          <w:rFonts w:hint="eastAsia" w:ascii="Times New Roman" w:hAnsi="Times New Roman" w:eastAsia="方正仿宋_GBK" w:cs="Nimbus Roman"/>
          <w:color w:val="000000"/>
          <w:sz w:val="32"/>
          <w:szCs w:val="32"/>
        </w:rPr>
        <w:t>至服务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平台</w:t>
      </w:r>
      <w:r>
        <w:rPr>
          <w:rFonts w:ascii="Times New Roman" w:hAnsi="Times New Roman" w:eastAsia="方正仿宋_GBK" w:cs="Nimbus Roman"/>
          <w:sz w:val="32"/>
          <w:szCs w:val="32"/>
        </w:rPr>
        <w:t>。如因本公司信息核实不严谨、录入错误、数据失真等原因导致无法报销补助款项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的</w:t>
      </w:r>
      <w:r>
        <w:rPr>
          <w:rFonts w:ascii="Times New Roman" w:hAnsi="Times New Roman" w:eastAsia="方正仿宋_GBK" w:cs="Nimbus Roman"/>
          <w:sz w:val="32"/>
          <w:szCs w:val="32"/>
        </w:rPr>
        <w:t>，我司愿承担相关责任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和损失</w:t>
      </w:r>
      <w:r>
        <w:rPr>
          <w:rFonts w:ascii="Times New Roman" w:hAnsi="Times New Roman" w:eastAsia="方正仿宋_GBK" w:cs="Nimbus Roman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9</w:t>
      </w:r>
      <w:r>
        <w:rPr>
          <w:rFonts w:ascii="Times New Roman" w:hAnsi="Times New Roman" w:eastAsia="方正仿宋_GBK" w:cs="Nimbus Roman"/>
          <w:sz w:val="32"/>
          <w:szCs w:val="32"/>
        </w:rPr>
        <w:t>.承诺在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期间认真、妥善处理消费者投诉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</w:t>
      </w:r>
      <w:r>
        <w:rPr>
          <w:rFonts w:ascii="Times New Roman" w:hAnsi="Times New Roman" w:eastAsia="方正仿宋_GBK" w:cs="Nimbus Roman"/>
          <w:sz w:val="32"/>
          <w:szCs w:val="32"/>
        </w:rPr>
        <w:t>建议，不推脱责任，不恶意转移矛盾。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如因违背上述承诺导致的一切后果由本公司承担。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特此承诺。</w:t>
      </w:r>
    </w:p>
    <w:p>
      <w:pPr>
        <w:overflowPunct w:val="0"/>
        <w:spacing w:line="579" w:lineRule="exact"/>
        <w:rPr>
          <w:rFonts w:ascii="Times New Roman" w:hAnsi="Times New Roman" w:eastAsia="方正仿宋_GBK" w:cs="Nimbus Roman"/>
          <w:sz w:val="32"/>
          <w:szCs w:val="32"/>
          <w:lang w:val="zh-CN"/>
        </w:rPr>
      </w:pPr>
    </w:p>
    <w:p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公司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名称（签章）：          </w:t>
      </w:r>
    </w:p>
    <w:p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法定代表人（签字）：          </w:t>
      </w:r>
    </w:p>
    <w:p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  <w:sectPr>
          <w:pgSz w:w="11906" w:h="16838"/>
          <w:pgMar w:top="2098" w:right="1474" w:bottom="1985" w:left="1588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日期：     年     月    日</w:t>
      </w:r>
    </w:p>
    <w:p>
      <w:pPr>
        <w:pStyle w:val="2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>
      <w:pPr>
        <w:pStyle w:val="2"/>
        <w:ind w:firstLine="880" w:firstLineChars="200"/>
        <w:jc w:val="both"/>
        <w:rPr>
          <w:rFonts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</w:rPr>
        <w:t>2025年重庆市居家适老化改造“焕新”补贴产品申报目录</w:t>
      </w:r>
    </w:p>
    <w:tbl>
      <w:tblPr>
        <w:tblStyle w:val="9"/>
        <w:tblW w:w="12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709"/>
        <w:gridCol w:w="709"/>
        <w:gridCol w:w="709"/>
        <w:gridCol w:w="992"/>
        <w:gridCol w:w="1134"/>
        <w:gridCol w:w="1276"/>
        <w:gridCol w:w="992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品类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品牌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十三位商品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条码（企业商品编码）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参数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功能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用途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建议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零售价</w:t>
            </w:r>
          </w:p>
        </w:tc>
        <w:tc>
          <w:tcPr>
            <w:tcW w:w="39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实物图片、产品说明书、相关证书及证明材料（按产品附文档备注“序号+品牌+品名”）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  <w:sectPr>
          <w:footerReference r:id="rId3" w:type="default"/>
          <w:type w:val="nextColumn"/>
          <w:pgSz w:w="16838" w:h="11906" w:orient="landscape"/>
          <w:pgMar w:top="2098" w:right="1474" w:bottom="1985" w:left="1588" w:header="851" w:footer="1474" w:gutter="0"/>
          <w:cols w:space="425" w:num="1"/>
          <w:docGrid w:type="lines"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4e6a253cbcf70f527a8dae3f750b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6a253cbcf70f527a8dae3f750ba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overflowPunct w:val="0"/>
        <w:adjustRightIn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重庆市居家适老化改造产品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焕新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补贴范围目录（试行）</w:t>
      </w:r>
    </w:p>
    <w:tbl>
      <w:tblPr>
        <w:tblStyle w:val="9"/>
        <w:tblW w:w="141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1"/>
        <w:gridCol w:w="2153"/>
        <w:gridCol w:w="9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功能说明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一、地面和门改造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地面防滑产品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通过使用防滑涂料、防滑地胶、防滑贴、防滑垫等产品对卫生间、厨房、卧室、客厅、饭厅等区域进行防滑处理，避免老年人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滑倒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，提高安全性。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斜坡辅具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通过斜坡辅具对不易消除的高差进行规范处理，实现高差的平稳过渡。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下压式门把手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可用单手手掌或者手指轻松操作，增加摩擦力稳定性，方便老年人开门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门铃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供听力视力障碍老年人使用，包括闪光振动门铃、呼叫门铃等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门磁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监测独居老人在家是否发生意外,降低独居老人的安全隐患。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二、卧室改造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护理床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包括手摇护理床和电动护理床，帮助老年人完成起身、侧翻、上下床、吃饭等动作，辅助喂食、处理排泄物等。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床边护栏或者抓杆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辅助老年人起身、上下床、防止翻身滚下床，保证老年人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睡眠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和活动安全 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防压疮床垫座垫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避免长期卧床的老年人发生严重压疮，包括气条波动喷气型、适老化净味透气型等。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毫米波雷达睡眠监测仪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非接触式、高精度的监测方式，帮助用户全面了解睡眠状态，改善睡眠质量。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实时心电监护系统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符合医疗器械标准，通过人工智能远程检测、监测，便携易穿戴，具有多导联、干电极、非标准检测位置等特点的连续心电监测，及时预警有心血管疾病、慢性病管理需求的老年人异常情况。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呼吸功能监测预警仪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符合医疗器械标准，监测呼吸情况，评估睡眠质量，筛查睡眠呼吸障碍疾病，提高生活质量。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多参数监护仪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符合医疗器械标准，通过各种功能模块，实时监测老年人的心电信号、心率、血氧饱和度、血压、呼吸频率和体温等重要参数，实现对各参数监督报警。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坠床监测雷达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对老年人坠床情况进行监测，可通过电话语音、短信等多种手段向监护人发出预警信息。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三、如厕洗浴设备改造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扶手等支撑类装置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辅助老年人起身、站立、转身和坐下，方便老年人如厕和洗浴，包括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字形或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形扶手、适老化如厕（洗浴）扶手架等。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配置马桶增高器、马桶辅助升降椅、移动马桶、便盆、接尿器、坐便椅等方便老年人如厕。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洗浴装置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通过配置浴杆和浴帘、坐式淋浴器、洗澡床、便携式洗浴机等方便老年人或者照护人员协助老年人洗浴。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淋浴椅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辅助老年人洗澡用，避免老年人滑倒，提高安全性。承重力≥100kg。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四、厨房设备改造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适老可升降灶台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降低操作台、灶台、洗菜池高度或者在其下方留出容膝空间，方便乘轮椅或者体型矮小老年人操作。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炉灶自动熄火保护装置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在火焰意外熄灭时，自动切断燃气供应，防止漏气，减少安全隐患。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煤气泄漏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报警器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煤气泄漏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意外时，响铃提醒老年人及时处理，实时传输数据，向老年人亲属及服务机构推送意外风险信息。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五、物理环境改造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电源插座及开关改造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通过配置智能插座、电力脉象仪、大按键开关等设备方便老年人操作，可联动控制实现对家电设备的用电监管和安全管理。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防撞护角/防撞条、提示标识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在家居尖角或墙角安装防撞护角或防撞条，避免老人磕碰划伤，必要时粘贴防滑条、警示条等符合相关标准和老年人认知特点的提示标识。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六、智能监测改造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跌倒监测雷达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对老年人跌倒情况进行监测，可以通过电话语音、短信等多种手段，向监护人发出预警信息。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红外探测器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安装在居家环境中，监测老年人活动信息。实时传输数据，如发生老年人长时间在某个区域，向老年人家属及服务机构推送意外风险信息。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生命探测雷达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对老年人生命体征进行监测，可通过电话语音、短信等多种手段，向监护人等发出预警信息。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紧急呼叫器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安装在卧室床头、客厅沙发旁边、卫生间（坐）蹲便器旁、淋浴区等位置，用于老年人发生紧急情况时主动报警，支持语音呼叫。实时传输数据，如发生紧急呼叫，向老年人亲属及服务机构推送意外风险信息。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情感陪护设备</w:t>
            </w:r>
          </w:p>
        </w:tc>
        <w:tc>
          <w:tcPr>
            <w:tcW w:w="9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在居家环境中，用于填补老年人时间和情感空缺，丰富老年精神生活的终端设备，通过语音、触摸、按键等方式交互，内置一键求助、语音呼叫、情感连线、养老服务、健康医疗、文化娱乐等应用。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通过毫米波雷达技术监测老年人在居家生活场景中的情况，实现监测预警。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烟雾报警器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对周围环境中的烟雾浓度监测，响铃提醒老年人及时处理，可用手机、电话语音、短信等多种手段，同时向老年人紧急联系人发出报警信息。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溢水报警器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发生溢水意外时，响铃提醒老年人及时处理。实时传输数据，向老年人家属及服务机构推送风险信息。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防走失胸卡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用于监测认知障碍（失智）老年人或者其他精神障碍老年人定位，避免老年人走失。便携式挂绳，随时携带，身份识别，定位追踪，紧急呼叫等功能。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七、辅具适配改造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助听器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帮助老年人听清声音来源，增加与周围的交流，包括盒式、耳内、耳背、骨导等类型助听器，须经有资质的验配师进行适配。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kern w:val="0"/>
                <w:sz w:val="22"/>
                <w:szCs w:val="22"/>
              </w:rPr>
              <w:t>手杖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kern w:val="0"/>
                <w:sz w:val="22"/>
                <w:szCs w:val="22"/>
              </w:rPr>
              <w:t>辅助老年人平稳站立和行走，高度可调节，适合不同身高使用，承重≥100KG，包括但不限于单头、三脚、四脚、防走失、凳拐、腋杖等类型。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轮椅/助行器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家人、照护人员推行/帮助老年人站立行走，扩大老年人活动空间，包括手动轮椅、电动轮椅、爬楼梯轮椅、老年助行推车、老年电动代步车、助行器、安全步态训练车、助老外骨骼机器人、四肢联动康复仪、下肢助行机器人、适老防滑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助视器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帮助视力障碍的老年人能看清周围环境，近用助视器主要分为光学和电子两种类型。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生活自助餐具（打包）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方便上肢及神经系统有功能障碍的老人进食，包括防洒碗（盘）、助食筷、弯柄勺（叉）等辅助老年人进食。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移位设备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辅助照护人员，为长期卧床或者行动困难的老年人翻身移动。包括移位机、移位枕、移位带等。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卧床二便辅助设备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方便照护人员及时为长期卧床或行动困难老年人处置大小便。智能尿湿感知器、穿戴式智能二便护理机器人等。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康复辅助设备</w:t>
            </w:r>
          </w:p>
        </w:tc>
        <w:tc>
          <w:tcPr>
            <w:tcW w:w="9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进行健康管理，改善身体健康，恢复生理功能。包括理疗烤灯、家用制氧机、康复辅具（通过艾灸、电子脉冲、红外光波、矫形固定等方式促进老年人肩颈、腰背、膝关节、足部等部位缓解疼痛）、智能药盒、血糖仪、血压计、血氧仪等。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5F398"/>
    <w:rsid w:val="329721C4"/>
    <w:rsid w:val="3B02499E"/>
    <w:rsid w:val="3DF629D1"/>
    <w:rsid w:val="3F7B9957"/>
    <w:rsid w:val="49FC613B"/>
    <w:rsid w:val="5BF3C0F5"/>
    <w:rsid w:val="5D5C5B22"/>
    <w:rsid w:val="5FBBF712"/>
    <w:rsid w:val="65FE3DB5"/>
    <w:rsid w:val="673FB659"/>
    <w:rsid w:val="67BFE6A6"/>
    <w:rsid w:val="6EE52DFF"/>
    <w:rsid w:val="6FFB2033"/>
    <w:rsid w:val="79E5F398"/>
    <w:rsid w:val="7ADFA9DD"/>
    <w:rsid w:val="7BFD77D0"/>
    <w:rsid w:val="7D4847C3"/>
    <w:rsid w:val="7DB97809"/>
    <w:rsid w:val="7EDF8CA7"/>
    <w:rsid w:val="8FFEAF57"/>
    <w:rsid w:val="9FF944E1"/>
    <w:rsid w:val="A77F1B8C"/>
    <w:rsid w:val="BA6E58AD"/>
    <w:rsid w:val="C1BC4826"/>
    <w:rsid w:val="CDF7DC16"/>
    <w:rsid w:val="DEF7D24C"/>
    <w:rsid w:val="DFCF27EC"/>
    <w:rsid w:val="EFFD4E13"/>
    <w:rsid w:val="F7F7A269"/>
    <w:rsid w:val="F9FE2157"/>
    <w:rsid w:val="FAFFF770"/>
    <w:rsid w:val="FBBDFC97"/>
    <w:rsid w:val="FBCF1F7C"/>
    <w:rsid w:val="FBFFD949"/>
    <w:rsid w:val="FF63C6FF"/>
    <w:rsid w:val="FFAF7C2E"/>
    <w:rsid w:val="FFE3AFC1"/>
    <w:rsid w:val="FFFBC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2"/>
    <w:next w:val="1"/>
    <w:qFormat/>
    <w:uiPriority w:val="0"/>
    <w:pPr>
      <w:ind w:firstLine="420" w:firstLineChars="100"/>
    </w:pPr>
    <w:rPr>
      <w:rFonts w:ascii="Calibri"/>
    </w:rPr>
  </w:style>
  <w:style w:type="paragraph" w:styleId="8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3539</Words>
  <Characters>3639</Characters>
  <Lines>0</Lines>
  <Paragraphs>0</Paragraphs>
  <TotalTime>70</TotalTime>
  <ScaleCrop>false</ScaleCrop>
  <LinksUpToDate>false</LinksUpToDate>
  <CharactersWithSpaces>3724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2025-05-31T09:51:00Z</dcterms:created>
  <dc:creator>kylin</dc:creator>
  <cp:lastModifiedBy>Administrator</cp:lastModifiedBy>
  <cp:lastPrinted>2025-07-18T04:45:00Z</cp:lastPrinted>
  <dcterms:modified xsi:type="dcterms:W3CDTF">2025-07-21T09:46:44Z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043B98E72DDF25C88F3934682225D2D1</vt:lpwstr>
  </property>
  <property fmtid="{D5CDD505-2E9C-101B-9397-08002B2CF9AE}" pid="4" name="KSOTemplateDocerSaveRecord">
    <vt:lpwstr>eyJoZGlkIjoiNTRmYzRkMDkzYzNiNmEzZmFiOGE2MjFjOTYwNjg3NjUiLCJ1c2VySWQiOiI3Mzc3OTY0OTkifQ==</vt:lpwstr>
  </property>
</Properties>
</file>