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4"/>
        <w:snapToGrid w:val="0"/>
        <w:spacing w:line="680" w:lineRule="exact"/>
        <w:jc w:val="center"/>
        <w:rPr>
          <w:rFonts w:eastAsia="方正仿宋_GBK"/>
          <w:bCs/>
        </w:rPr>
      </w:pPr>
      <w:bookmarkStart w:id="0" w:name="docNum"/>
    </w:p>
    <w:p>
      <w:pPr>
        <w:pStyle w:val="4"/>
        <w:snapToGrid w:val="0"/>
        <w:spacing w:line="680" w:lineRule="exact"/>
        <w:jc w:val="center"/>
        <w:rPr>
          <w:rFonts w:eastAsia="方正仿宋_GBK"/>
          <w:bCs/>
        </w:rPr>
      </w:pPr>
    </w:p>
    <w:p>
      <w:pPr>
        <w:pStyle w:val="4"/>
        <w:snapToGrid w:val="0"/>
        <w:spacing w:line="680" w:lineRule="exact"/>
        <w:jc w:val="center"/>
        <w:rPr>
          <w:rFonts w:eastAsia="方正仿宋_GBK"/>
          <w:bCs/>
        </w:rPr>
      </w:pPr>
    </w:p>
    <w:p>
      <w:pPr>
        <w:pStyle w:val="4"/>
        <w:snapToGrid w:val="0"/>
        <w:spacing w:line="240" w:lineRule="atLeast"/>
        <w:jc w:val="center"/>
        <w:rPr>
          <w:rFonts w:eastAsia="方正仿宋_GBK"/>
          <w:bCs/>
        </w:rPr>
      </w:pPr>
      <w:r>
        <w:rPr>
          <w:rFonts w:eastAsia="方正仿宋_GBK"/>
          <w:bCs/>
        </w:rPr>
        <w:t>渝（长）环准〔2023〕23号</w:t>
      </w:r>
      <w:bookmarkEnd w:id="0"/>
    </w:p>
    <w:p>
      <w:pPr>
        <w:pStyle w:val="4"/>
        <w:snapToGrid w:val="0"/>
        <w:spacing w:line="240" w:lineRule="atLeast"/>
        <w:jc w:val="center"/>
        <w:rPr>
          <w:rFonts w:eastAsia="方正仿宋_GBK"/>
          <w:bCs/>
        </w:rPr>
      </w:pPr>
    </w:p>
    <w:p>
      <w:pPr>
        <w:pStyle w:val="11"/>
        <w:spacing w:line="594" w:lineRule="exact"/>
        <w:rPr>
          <w:rFonts w:ascii="Times New Roman" w:hAnsi="Times New Roman" w:eastAsia="方正仿宋_GBK" w:cs="Times New Roman"/>
          <w:bCs/>
          <w:sz w:val="32"/>
          <w:szCs w:val="32"/>
        </w:rPr>
      </w:pPr>
      <w:bookmarkStart w:id="1" w:name="companyName"/>
      <w:r>
        <w:rPr>
          <w:rFonts w:ascii="Times New Roman" w:hAnsi="Times New Roman" w:eastAsia="方正仿宋_GBK" w:cs="Times New Roman"/>
          <w:bCs/>
          <w:sz w:val="32"/>
          <w:szCs w:val="32"/>
        </w:rPr>
        <w:t>重庆博腾制药科技股份有限公司</w:t>
      </w:r>
      <w:bookmarkEnd w:id="1"/>
      <w:r>
        <w:rPr>
          <w:rFonts w:ascii="Times New Roman" w:hAnsi="Times New Roman" w:eastAsia="方正仿宋_GBK" w:cs="Times New Roman"/>
          <w:bCs/>
          <w:sz w:val="32"/>
          <w:szCs w:val="32"/>
        </w:rPr>
        <w:t>：</w:t>
      </w:r>
    </w:p>
    <w:p>
      <w:pPr>
        <w:adjustRightInd w:val="0"/>
        <w:snapToGrid w:val="0"/>
        <w:spacing w:line="594" w:lineRule="exact"/>
        <w:ind w:firstLine="640" w:firstLineChars="200"/>
        <w:rPr>
          <w:rFonts w:eastAsia="方正仿宋_GBK"/>
          <w:sz w:val="32"/>
          <w:szCs w:val="32"/>
        </w:rPr>
      </w:pPr>
      <w:r>
        <w:rPr>
          <w:rFonts w:eastAsia="方正仿宋_GBK"/>
          <w:sz w:val="32"/>
          <w:szCs w:val="32"/>
        </w:rPr>
        <w:t>你单位报送的甲类库扩容项目（项目代码：2205-500115-04-01-703895）环境影响评价文件审批申请表及相关资料收悉。根据《中华人民共和国环境影响评价法》等法律法规的有关规定，我局原则同意</w:t>
      </w:r>
      <w:r>
        <w:rPr>
          <w:rFonts w:hint="eastAsia" w:eastAsia="方正仿宋_GBK"/>
          <w:sz w:val="32"/>
          <w:szCs w:val="32"/>
        </w:rPr>
        <w:t>重庆医设源环境</w:t>
      </w:r>
      <w:bookmarkStart w:id="3" w:name="_GoBack"/>
      <w:bookmarkEnd w:id="3"/>
      <w:r>
        <w:rPr>
          <w:rFonts w:hint="eastAsia" w:eastAsia="方正仿宋_GBK"/>
          <w:sz w:val="32"/>
          <w:szCs w:val="32"/>
        </w:rPr>
        <w:t>技术有限公司</w:t>
      </w:r>
      <w:r>
        <w:rPr>
          <w:rFonts w:eastAsia="方正仿宋_GBK"/>
          <w:sz w:val="32"/>
          <w:szCs w:val="32"/>
        </w:rPr>
        <w:t>（统一社会信用代码：91500103MA7GPCN508）编制的项目环境影响报告表结论及其提出的环境保护措施。</w:t>
      </w:r>
    </w:p>
    <w:p>
      <w:pPr>
        <w:pStyle w:val="5"/>
        <w:numPr>
          <w:ilvl w:val="0"/>
          <w:numId w:val="1"/>
        </w:numPr>
        <w:spacing w:before="0" w:beforeAutospacing="0" w:after="0" w:afterAutospacing="0" w:line="594" w:lineRule="exact"/>
        <w:ind w:firstLine="640" w:firstLineChars="200"/>
        <w:jc w:val="both"/>
        <w:rPr>
          <w:rFonts w:ascii="Times New Roman" w:hAnsi="Times New Roman" w:eastAsia="方正仿宋_GBK"/>
          <w:kern w:val="2"/>
          <w:sz w:val="32"/>
          <w:szCs w:val="32"/>
        </w:rPr>
      </w:pPr>
      <w:r>
        <w:rPr>
          <w:rFonts w:ascii="Times New Roman" w:hAnsi="Times New Roman" w:eastAsia="方正仿宋_GBK"/>
          <w:sz w:val="32"/>
          <w:szCs w:val="32"/>
        </w:rPr>
        <w:t>项目主要建设内容：项目位于长寿经济技术开发区晏家组团B标准分区博腾现有厂区内，不新增厂外占地面积。在厂区内西南侧预留空地内新建1座甲类库，库房为单层建筑，结构形式为框架结构，占地面积720m</w:t>
      </w:r>
      <w:r>
        <w:rPr>
          <w:rFonts w:ascii="Times New Roman" w:hAnsi="Times New Roman" w:eastAsia="方正仿宋_GBK"/>
          <w:sz w:val="32"/>
          <w:szCs w:val="32"/>
          <w:vertAlign w:val="superscript"/>
        </w:rPr>
        <w:t>2</w:t>
      </w:r>
      <w:r>
        <w:rPr>
          <w:rFonts w:ascii="Times New Roman" w:hAnsi="Times New Roman" w:eastAsia="方正仿宋_GBK"/>
          <w:sz w:val="32"/>
          <w:szCs w:val="32"/>
        </w:rPr>
        <w:t>，建筑面积610m</w:t>
      </w:r>
      <w:r>
        <w:rPr>
          <w:rFonts w:ascii="Times New Roman" w:hAnsi="Times New Roman" w:eastAsia="方正仿宋_GBK"/>
          <w:sz w:val="32"/>
          <w:szCs w:val="32"/>
          <w:vertAlign w:val="superscript"/>
        </w:rPr>
        <w:t>2</w:t>
      </w:r>
      <w:r>
        <w:rPr>
          <w:rFonts w:ascii="Times New Roman" w:hAnsi="Times New Roman" w:eastAsia="方正仿宋_GBK"/>
          <w:sz w:val="32"/>
          <w:szCs w:val="32"/>
        </w:rPr>
        <w:t>。库房内设置3个防火分区储存外购的化学品原料，不涉及生产及化学品分装。项目仅作为博腾现有项目的配套库房建设，建成后全厂化学品的储存能力提升，但不新增生产设备，亦不改变厂区的现有生产能力。本项目总投资450万元，其中环保投资20万元。</w:t>
      </w:r>
    </w:p>
    <w:p>
      <w:pPr>
        <w:overflowPunct w:val="0"/>
        <w:topLinePunct w:val="1"/>
        <w:spacing w:line="594" w:lineRule="exact"/>
        <w:ind w:firstLine="640" w:firstLineChars="200"/>
        <w:textAlignment w:val="center"/>
        <w:rPr>
          <w:rFonts w:eastAsia="方正仿宋_GBK"/>
          <w:sz w:val="32"/>
          <w:szCs w:val="32"/>
        </w:rPr>
      </w:pPr>
      <w:r>
        <w:rPr>
          <w:rFonts w:eastAsia="方正仿宋_GBK"/>
          <w:sz w:val="32"/>
          <w:szCs w:val="32"/>
        </w:rPr>
        <w:t>二、项目建设与运营管理中，必须认真落实项目环境影响报告表提出的各项污染防治措施，实施清洁生产，减少污染物产生和排放，重点应做好以下工作：</w:t>
      </w:r>
    </w:p>
    <w:p>
      <w:pPr>
        <w:spacing w:line="594" w:lineRule="exact"/>
        <w:ind w:firstLine="640" w:firstLineChars="200"/>
        <w:rPr>
          <w:rFonts w:eastAsia="方正仿宋_GBK"/>
          <w:sz w:val="32"/>
          <w:szCs w:val="32"/>
        </w:rPr>
      </w:pPr>
      <w:r>
        <w:rPr>
          <w:rFonts w:eastAsia="方正仿宋_GBK"/>
          <w:sz w:val="32"/>
          <w:szCs w:val="32"/>
        </w:rPr>
        <w:t>（一）严格落实大气污染防治措施。项目库房内储存的化学品均为密封包装的原料，库房内不进行开封或分装等操作，在原料储存过程中不会产生废气。</w:t>
      </w:r>
    </w:p>
    <w:p>
      <w:pPr>
        <w:pStyle w:val="5"/>
        <w:spacing w:before="0" w:beforeAutospacing="0" w:after="0" w:afterAutospacing="0" w:line="594" w:lineRule="exact"/>
        <w:ind w:firstLine="640" w:firstLineChars="200"/>
        <w:jc w:val="both"/>
        <w:rPr>
          <w:rFonts w:ascii="Times New Roman" w:hAnsi="Times New Roman"/>
          <w:color w:val="000000"/>
          <w:sz w:val="21"/>
          <w:szCs w:val="21"/>
        </w:rPr>
      </w:pPr>
      <w:r>
        <w:rPr>
          <w:rFonts w:ascii="Times New Roman" w:hAnsi="Times New Roman" w:eastAsia="方正仿宋_GBK"/>
          <w:sz w:val="32"/>
          <w:szCs w:val="32"/>
        </w:rPr>
        <w:t>（</w:t>
      </w:r>
      <w:r>
        <w:rPr>
          <w:rFonts w:ascii="Times New Roman" w:hAnsi="Times New Roman" w:eastAsia="方正仿宋_GBK"/>
          <w:bCs/>
          <w:sz w:val="32"/>
          <w:szCs w:val="32"/>
        </w:rPr>
        <w:t>二）</w:t>
      </w:r>
      <w:r>
        <w:rPr>
          <w:rFonts w:ascii="Times New Roman" w:hAnsi="Times New Roman" w:eastAsia="方正仿宋_GBK"/>
          <w:kern w:val="2"/>
          <w:sz w:val="32"/>
          <w:szCs w:val="32"/>
        </w:rPr>
        <w:t>严格落实水污染防治措施。项目不新增劳动定员，无生活污水；库房地面做无水清洁，不产生地面清洁废水；正常情况下库房内无废水产生与排放。发生紧急事故时，库房紧急冲淋洗眼器冲洗废水依托厂区现有污水处理站，库房紧急冲淋洗眼器冲洗废水属于低浓度废水，直接排入综合废水处理单元调节池。废水分质分类预处理后汇入综合处理单元，达《污水综合排放标准》(GB8978-1996)中三级标准后排入园区污水管网，经园区污水处理厂进一步处理达《化工园区主要水污染物排放标准》（DB50/457-2012）中表1标准限值（其中COD排放浓度执行60mg/L标准，未规定的指标执行《污水综合排放标准》（GB8978-1996）中一级标准）后排入长江。</w:t>
      </w:r>
    </w:p>
    <w:p>
      <w:pPr>
        <w:snapToGrid w:val="0"/>
        <w:spacing w:line="594" w:lineRule="exact"/>
        <w:ind w:firstLine="640" w:firstLineChars="200"/>
        <w:rPr>
          <w:rFonts w:eastAsia="方正仿宋_GBK"/>
          <w:bCs/>
          <w:sz w:val="32"/>
          <w:szCs w:val="32"/>
        </w:rPr>
      </w:pPr>
      <w:r>
        <w:rPr>
          <w:rFonts w:eastAsia="方正仿宋_GBK"/>
          <w:sz w:val="32"/>
          <w:szCs w:val="32"/>
        </w:rPr>
        <w:t>（三）严格落实噪声污染防治措施。项目噪声源主要为事故排风风机，声源强度在70~85B（A）之间，通过选用低噪声设备，并采取消声、减振等措施进行降噪，厂界噪声可达《工业企业厂界环境噪声排放标准》(12348-2008)3类标准。</w:t>
      </w:r>
    </w:p>
    <w:p>
      <w:pPr>
        <w:snapToGrid w:val="0"/>
        <w:spacing w:line="594" w:lineRule="exact"/>
        <w:ind w:firstLine="640" w:firstLineChars="200"/>
        <w:rPr>
          <w:rFonts w:eastAsia="方正仿宋_GBK"/>
          <w:bCs/>
          <w:sz w:val="32"/>
          <w:szCs w:val="32"/>
        </w:rPr>
      </w:pPr>
      <w:r>
        <w:rPr>
          <w:rFonts w:eastAsia="方正仿宋_GBK"/>
          <w:sz w:val="32"/>
          <w:szCs w:val="32"/>
        </w:rPr>
        <w:t>（四）严格落实地下水和土壤污染防治措施。项目采取管网可视化和分区防渗措施，储罐区设置围堰、设置事故水收集系统等，并设置地下水监控井，建立地下水监测环境管理体系。</w:t>
      </w:r>
    </w:p>
    <w:p>
      <w:pPr>
        <w:overflowPunct w:val="0"/>
        <w:spacing w:line="594" w:lineRule="exact"/>
        <w:ind w:firstLine="640" w:firstLineChars="200"/>
        <w:rPr>
          <w:rFonts w:eastAsia="方正仿宋_GBK"/>
          <w:sz w:val="32"/>
          <w:szCs w:val="32"/>
        </w:rPr>
      </w:pPr>
      <w:r>
        <w:rPr>
          <w:rFonts w:eastAsia="方正仿宋_GBK"/>
          <w:sz w:val="32"/>
          <w:szCs w:val="32"/>
        </w:rPr>
        <w:t>（五）加强固体废物管理。项目为仓储项目，主要暂存桶装化学品，库内不进行任何生产，不生产一般工业固废和危险废物。</w:t>
      </w:r>
    </w:p>
    <w:p>
      <w:pPr>
        <w:overflowPunct w:val="0"/>
        <w:topLinePunct w:val="1"/>
        <w:spacing w:line="594" w:lineRule="exact"/>
        <w:ind w:firstLine="800" w:firstLineChars="250"/>
        <w:textAlignment w:val="center"/>
        <w:rPr>
          <w:rFonts w:eastAsia="方正仿宋_GBK"/>
          <w:sz w:val="32"/>
          <w:szCs w:val="32"/>
        </w:rPr>
      </w:pPr>
      <w:r>
        <w:rPr>
          <w:rFonts w:eastAsia="方正仿宋_GBK"/>
          <w:sz w:val="32"/>
          <w:szCs w:val="32"/>
        </w:rPr>
        <w:t>（六）严格落实环境风险防范措施。严格落实和完善项目环境影响报告表中提出的各项风险防范措施，编制应急预案，建立环境风险防范制度，落实环境风险防范责任，加强环境风险管理，并储备应急物资。</w:t>
      </w:r>
    </w:p>
    <w:p>
      <w:pPr>
        <w:spacing w:line="594" w:lineRule="exact"/>
        <w:ind w:firstLine="640" w:firstLineChars="200"/>
        <w:rPr>
          <w:rFonts w:eastAsia="方正仿宋_GBK"/>
          <w:sz w:val="32"/>
          <w:szCs w:val="32"/>
        </w:rPr>
      </w:pPr>
      <w:r>
        <w:rPr>
          <w:rFonts w:eastAsia="方正仿宋_GBK"/>
          <w:sz w:val="32"/>
          <w:szCs w:val="32"/>
        </w:rPr>
        <w:t>（七）建立健全相应的环境保护管理机构和制度，加强环境管理与环境监测工作，并根据运营期的实际情况，进一步完善环境保护措施。</w:t>
      </w:r>
    </w:p>
    <w:p>
      <w:pPr>
        <w:spacing w:line="594" w:lineRule="exact"/>
        <w:ind w:firstLine="640" w:firstLineChars="200"/>
        <w:rPr>
          <w:rFonts w:eastAsia="方正仿宋_GBK"/>
          <w:sz w:val="32"/>
          <w:szCs w:val="32"/>
        </w:rPr>
      </w:pPr>
      <w:r>
        <w:rPr>
          <w:rFonts w:eastAsia="方正仿宋_GBK"/>
          <w:sz w:val="32"/>
          <w:szCs w:val="32"/>
        </w:rPr>
        <w:t>三、项目建设必须严格执行环境保护设施与主体工程同时设计、同时施工、同时投入使用的环境保护“三同时”制度。项目环保投资应纳入工程投资概算并予以落实。项目竣工后，你单位应按照有关规定对配套建设的环境保护设施进行验收，编制验收报告并依法向社会公开验收报告，公示期满5个工作日内，应登录全国建设项目竣工环境保护验收信息平台，填报验收等相关信息。</w:t>
      </w:r>
    </w:p>
    <w:p>
      <w:pPr>
        <w:adjustRightInd w:val="0"/>
        <w:snapToGrid w:val="0"/>
        <w:spacing w:line="594" w:lineRule="exact"/>
        <w:ind w:firstLine="640" w:firstLineChars="200"/>
        <w:rPr>
          <w:rFonts w:eastAsia="方正仿宋_GBK"/>
          <w:sz w:val="32"/>
          <w:szCs w:val="32"/>
        </w:rPr>
      </w:pPr>
      <w:r>
        <w:rPr>
          <w:rFonts w:eastAsia="方正仿宋_GBK"/>
          <w:sz w:val="32"/>
          <w:szCs w:val="32"/>
        </w:rPr>
        <w:t>四、若项目的性质、规模、地点、采用的生产工艺或者防治污染措施发生重大变动的，应依法重新报批项目环境影响评价文件。自批准之日起超过5年该项目方开工建设的，其环评文件应当报我局重新审核。</w:t>
      </w:r>
    </w:p>
    <w:p>
      <w:pPr>
        <w:adjustRightInd w:val="0"/>
        <w:snapToGrid w:val="0"/>
        <w:spacing w:line="594" w:lineRule="exact"/>
        <w:ind w:firstLine="640" w:firstLineChars="200"/>
        <w:rPr>
          <w:rFonts w:eastAsia="方正仿宋_GBK"/>
          <w:sz w:val="32"/>
          <w:szCs w:val="32"/>
        </w:rPr>
      </w:pPr>
      <w:r>
        <w:rPr>
          <w:rFonts w:eastAsia="方正仿宋_GBK"/>
          <w:sz w:val="32"/>
          <w:szCs w:val="32"/>
        </w:rPr>
        <w:t>五、按《环境影响评价法》和原环保部《建设项目环境影响后评价管理办法（试行）》相关要求，建设单位应适时开展环境影响后评价并报我局备案。</w:t>
      </w:r>
    </w:p>
    <w:p>
      <w:pPr>
        <w:adjustRightInd w:val="0"/>
        <w:snapToGrid w:val="0"/>
        <w:spacing w:line="594" w:lineRule="exact"/>
        <w:ind w:firstLine="640" w:firstLineChars="200"/>
        <w:rPr>
          <w:rFonts w:eastAsia="方正仿宋_GBK"/>
          <w:sz w:val="32"/>
          <w:szCs w:val="32"/>
        </w:rPr>
      </w:pPr>
      <w:r>
        <w:rPr>
          <w:rFonts w:eastAsia="方正仿宋_GBK"/>
          <w:sz w:val="32"/>
          <w:szCs w:val="32"/>
        </w:rPr>
        <w:t>六、项目按规定接受长寿区生态环境保护综合行政执法支队的环保日常监管。</w:t>
      </w:r>
    </w:p>
    <w:p>
      <w:pPr>
        <w:pStyle w:val="11"/>
        <w:spacing w:line="560" w:lineRule="exact"/>
        <w:ind w:firstLine="640" w:firstLineChars="200"/>
        <w:rPr>
          <w:rFonts w:ascii="Times New Roman" w:hAnsi="Times New Roman" w:eastAsia="方正仿宋_GBK" w:cs="Times New Roman"/>
          <w:bCs/>
          <w:sz w:val="32"/>
          <w:szCs w:val="32"/>
        </w:rPr>
      </w:pPr>
      <w:r>
        <w:rPr>
          <w:rFonts w:ascii="Times New Roman" w:hAnsi="Times New Roman" w:eastAsia="方正仿宋_GBK" w:cs="Times New Roman"/>
          <w:bCs/>
          <w:sz w:val="32"/>
          <w:szCs w:val="32"/>
        </w:rPr>
        <w:t xml:space="preserve">                       </w:t>
      </w:r>
    </w:p>
    <w:p>
      <w:pPr>
        <w:pStyle w:val="11"/>
        <w:spacing w:line="560" w:lineRule="exact"/>
        <w:ind w:firstLine="640" w:firstLineChars="200"/>
        <w:rPr>
          <w:rFonts w:ascii="Times New Roman" w:hAnsi="Times New Roman" w:eastAsia="方正仿宋_GBK" w:cs="Times New Roman"/>
          <w:bCs/>
          <w:sz w:val="32"/>
          <w:szCs w:val="32"/>
        </w:rPr>
      </w:pPr>
    </w:p>
    <w:p>
      <w:pPr>
        <w:pStyle w:val="11"/>
        <w:spacing w:line="560" w:lineRule="exact"/>
        <w:ind w:firstLine="640" w:firstLineChars="200"/>
        <w:rPr>
          <w:rFonts w:ascii="Times New Roman" w:hAnsi="Times New Roman" w:eastAsia="方正仿宋_GBK" w:cs="Times New Roman"/>
          <w:bCs/>
          <w:sz w:val="32"/>
          <w:szCs w:val="32"/>
        </w:rPr>
      </w:pPr>
    </w:p>
    <w:p>
      <w:pPr>
        <w:wordWrap w:val="0"/>
        <w:spacing w:line="540" w:lineRule="exact"/>
        <w:ind w:left="210" w:right="323" w:firstLine="646"/>
        <w:jc w:val="right"/>
        <w:rPr>
          <w:rFonts w:eastAsia="方正仿宋_GBK"/>
          <w:bCs/>
          <w:sz w:val="32"/>
        </w:rPr>
      </w:pPr>
      <w:r>
        <w:rPr>
          <w:rFonts w:eastAsia="方正仿宋_GBK"/>
          <w:bCs/>
          <w:sz w:val="32"/>
        </w:rPr>
        <w:t>重庆市长寿区生态环境局</w:t>
      </w:r>
      <w:r>
        <w:rPr>
          <w:rFonts w:hint="eastAsia" w:eastAsia="方正仿宋_GBK"/>
          <w:bCs/>
          <w:sz w:val="32"/>
        </w:rPr>
        <w:t xml:space="preserve">  </w:t>
      </w:r>
    </w:p>
    <w:p>
      <w:pPr>
        <w:wordWrap w:val="0"/>
        <w:spacing w:line="540" w:lineRule="exact"/>
        <w:ind w:left="210" w:right="323" w:firstLine="646"/>
        <w:jc w:val="right"/>
        <w:rPr>
          <w:rFonts w:eastAsia="方正仿宋_GBK"/>
          <w:bCs/>
          <w:sz w:val="32"/>
        </w:rPr>
      </w:pPr>
      <w:r>
        <w:rPr>
          <w:rFonts w:eastAsia="方正仿宋_GBK"/>
          <w:bCs/>
          <w:sz w:val="32"/>
        </w:rPr>
        <w:t xml:space="preserve">   </w:t>
      </w:r>
      <w:bookmarkStart w:id="2" w:name="timeDate"/>
      <w:r>
        <w:rPr>
          <w:rFonts w:eastAsia="方正仿宋_GBK"/>
          <w:bCs/>
          <w:sz w:val="32"/>
        </w:rPr>
        <w:t>2023年3月15日</w:t>
      </w:r>
      <w:bookmarkEnd w:id="2"/>
      <w:r>
        <w:rPr>
          <w:rFonts w:eastAsia="方正仿宋_GBK"/>
          <w:bCs/>
          <w:sz w:val="32"/>
        </w:rPr>
        <w:t xml:space="preserve">   </w:t>
      </w:r>
      <w:r>
        <w:rPr>
          <w:rFonts w:hint="eastAsia" w:eastAsia="方正仿宋_GBK"/>
          <w:bCs/>
          <w:sz w:val="32"/>
        </w:rPr>
        <w:t xml:space="preserve">   </w:t>
      </w:r>
    </w:p>
    <w:p>
      <w:pPr>
        <w:spacing w:line="560" w:lineRule="exact"/>
        <w:rPr>
          <w:rFonts w:eastAsia="方正仿宋_GBK"/>
          <w:bCs/>
          <w:sz w:val="32"/>
          <w:szCs w:val="32"/>
        </w:rPr>
      </w:pPr>
    </w:p>
    <w:p>
      <w:pPr>
        <w:spacing w:line="560" w:lineRule="exact"/>
        <w:rPr>
          <w:rFonts w:hint="eastAsia" w:eastAsia="方正仿宋_GBK"/>
          <w:sz w:val="32"/>
          <w:szCs w:val="32"/>
        </w:rPr>
      </w:pPr>
    </w:p>
    <w:p>
      <w:pPr>
        <w:spacing w:line="560" w:lineRule="exact"/>
        <w:rPr>
          <w:rFonts w:hint="eastAsia" w:eastAsia="方正仿宋_GBK"/>
          <w:sz w:val="32"/>
          <w:szCs w:val="32"/>
        </w:rPr>
      </w:pPr>
    </w:p>
    <w:p>
      <w:pPr>
        <w:spacing w:line="560" w:lineRule="exact"/>
        <w:rPr>
          <w:rFonts w:hint="eastAsia" w:eastAsia="方正仿宋_GBK"/>
          <w:sz w:val="32"/>
          <w:szCs w:val="32"/>
        </w:rPr>
      </w:pPr>
    </w:p>
    <w:p>
      <w:pPr>
        <w:spacing w:line="560" w:lineRule="exact"/>
        <w:rPr>
          <w:rFonts w:hint="eastAsia" w:eastAsia="方正仿宋_GBK"/>
          <w:sz w:val="32"/>
          <w:szCs w:val="32"/>
        </w:rPr>
      </w:pPr>
    </w:p>
    <w:p>
      <w:pPr>
        <w:spacing w:line="560" w:lineRule="exact"/>
        <w:rPr>
          <w:rFonts w:hint="eastAsia" w:eastAsia="方正仿宋_GBK"/>
          <w:sz w:val="32"/>
          <w:szCs w:val="32"/>
        </w:rPr>
      </w:pPr>
    </w:p>
    <w:p>
      <w:pPr>
        <w:spacing w:line="560" w:lineRule="exact"/>
        <w:rPr>
          <w:rFonts w:hint="eastAsia" w:eastAsia="方正仿宋_GBK"/>
          <w:sz w:val="32"/>
          <w:szCs w:val="32"/>
        </w:rPr>
      </w:pPr>
    </w:p>
    <w:p>
      <w:pPr>
        <w:spacing w:line="560" w:lineRule="exact"/>
        <w:rPr>
          <w:rFonts w:hint="eastAsia" w:eastAsia="方正仿宋_GBK"/>
          <w:sz w:val="32"/>
          <w:szCs w:val="32"/>
        </w:rPr>
      </w:pPr>
    </w:p>
    <w:p>
      <w:pPr>
        <w:spacing w:line="560" w:lineRule="exact"/>
        <w:rPr>
          <w:rFonts w:hint="eastAsia" w:eastAsia="方正仿宋_GBK"/>
          <w:sz w:val="32"/>
          <w:szCs w:val="32"/>
        </w:rPr>
      </w:pPr>
    </w:p>
    <w:p>
      <w:pPr>
        <w:spacing w:line="560" w:lineRule="exact"/>
        <w:rPr>
          <w:rFonts w:hint="eastAsia" w:eastAsia="方正仿宋_GBK"/>
          <w:sz w:val="32"/>
          <w:szCs w:val="32"/>
        </w:rPr>
      </w:pPr>
    </w:p>
    <w:p>
      <w:pPr>
        <w:spacing w:line="560" w:lineRule="exact"/>
        <w:rPr>
          <w:rFonts w:eastAsia="方正仿宋_GBK"/>
          <w:sz w:val="32"/>
          <w:szCs w:val="32"/>
        </w:rPr>
      </w:pPr>
    </w:p>
    <w:p>
      <w:pPr>
        <w:pStyle w:val="11"/>
        <w:spacing w:line="560" w:lineRule="exact"/>
        <w:rPr>
          <w:rFonts w:ascii="Times New Roman" w:hAnsi="Times New Roman" w:cs="Times New Roman"/>
        </w:rPr>
      </w:pPr>
      <w:r>
        <w:rPr>
          <w:rFonts w:ascii="Times New Roman" w:hAnsi="Times New Roman" w:eastAsia="方正仿宋_GBK" w:cs="Times New Roman"/>
          <w:sz w:val="28"/>
          <w:szCs w:val="28"/>
        </w:rPr>
        <w:t xml:space="preserve">抄送：区生态环境保护综合行政执法支队，长寿经开区生态环境局。 </w:t>
      </w:r>
    </w:p>
    <w:sectPr>
      <w:footerReference r:id="rId4" w:type="default"/>
      <w:footerReference r:id="rId5" w:type="even"/>
      <w:pgSz w:w="11906" w:h="16838"/>
      <w:pgMar w:top="2098" w:right="1474" w:bottom="1985"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方正仿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Verdana">
    <w:panose1 w:val="020B0604030504040204"/>
    <w:charset w:val="00"/>
    <w:family w:val="auto"/>
    <w:pitch w:val="default"/>
    <w:sig w:usb0="A0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6"/>
      <w:framePr w:wrap="around" w:vAnchor="text" w:hAnchor="margin" w:xAlign="center" w:y="1"/>
      <w:rPr>
        <w:rStyle w:val="9"/>
      </w:rPr>
    </w:pPr>
    <w:r>
      <w:rPr>
        <w:rStyle w:val="9"/>
      </w:rPr>
      <w:fldChar w:fldCharType="begin"/>
    </w:r>
    <w:r>
      <w:rPr>
        <w:rStyle w:val="9"/>
      </w:rPr>
      <w:instrText xml:space="preserve">PAGE  </w:instrText>
    </w:r>
    <w:r>
      <w:rPr>
        <w:rStyle w:val="9"/>
      </w:rPr>
      <w:fldChar w:fldCharType="separate"/>
    </w:r>
    <w:r>
      <w:rPr>
        <w:rStyle w:val="9"/>
      </w:rPr>
      <w:t>1</w:t>
    </w:r>
    <w:r>
      <w:rPr>
        <w:rStyle w:val="9"/>
      </w:rPr>
      <w:fldChar w:fldCharType="end"/>
    </w: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6"/>
      <w:framePr w:wrap="around" w:vAnchor="text" w:hAnchor="margin" w:xAlign="center" w:y="1"/>
      <w:rPr>
        <w:rStyle w:val="9"/>
      </w:rPr>
    </w:pPr>
    <w:r>
      <w:rPr>
        <w:rStyle w:val="9"/>
      </w:rPr>
      <w:fldChar w:fldCharType="begin"/>
    </w:r>
    <w:r>
      <w:rPr>
        <w:rStyle w:val="9"/>
      </w:rPr>
      <w:instrText xml:space="preserve">PAGE  </w:instrText>
    </w:r>
    <w:r>
      <w:rPr>
        <w:rStyle w:val="9"/>
      </w:rPr>
      <w:fldChar w:fldCharType="end"/>
    </w:r>
  </w:p>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678774107">
    <w:nsid w:val="64100F5B"/>
    <w:multiLevelType w:val="singleLevel"/>
    <w:tmpl w:val="64100F5B"/>
    <w:lvl w:ilvl="0" w:tentative="1">
      <w:start w:val="1"/>
      <w:numFmt w:val="chineseCounting"/>
      <w:suff w:val="nothing"/>
      <w:lvlText w:val="%1、"/>
      <w:lvlJc w:val="left"/>
    </w:lvl>
  </w:abstractNum>
  <w:num w:numId="1">
    <w:abstractNumId w:val="167877410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6B2012"/>
    <w:rsid w:val="00173F42"/>
    <w:rsid w:val="001C585C"/>
    <w:rsid w:val="001D74F0"/>
    <w:rsid w:val="00281DA2"/>
    <w:rsid w:val="004508FC"/>
    <w:rsid w:val="004A0B9E"/>
    <w:rsid w:val="004E5A62"/>
    <w:rsid w:val="005406D4"/>
    <w:rsid w:val="00543117"/>
    <w:rsid w:val="006B2012"/>
    <w:rsid w:val="0072155E"/>
    <w:rsid w:val="007B25CC"/>
    <w:rsid w:val="00855D9E"/>
    <w:rsid w:val="008B30BC"/>
    <w:rsid w:val="00A66E55"/>
    <w:rsid w:val="00A76360"/>
    <w:rsid w:val="00B36D54"/>
    <w:rsid w:val="00C11F82"/>
    <w:rsid w:val="00C224E6"/>
    <w:rsid w:val="00CF4887"/>
    <w:rsid w:val="00E56B90"/>
    <w:rsid w:val="00E622EA"/>
    <w:rsid w:val="00EB6D52"/>
    <w:rsid w:val="00F479C8"/>
    <w:rsid w:val="00F75A10"/>
    <w:rsid w:val="00FB5653"/>
    <w:rsid w:val="00FF7088"/>
    <w:rsid w:val="60642F44"/>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方正仿宋_GBK"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0" w:name="footnote text"/>
    <w:lsdException w:uiPriority="0" w:name="annotation text"/>
    <w:lsdException w:uiPriority="0" w:name="header"/>
    <w:lsdException w:uiPriority="99"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99"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uto"/>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4"/>
    <w:qFormat/>
    <w:uiPriority w:val="0"/>
    <w:pPr>
      <w:keepNext/>
      <w:spacing w:line="240" w:lineRule="exact"/>
      <w:jc w:val="center"/>
      <w:outlineLvl w:val="0"/>
    </w:pPr>
    <w:rPr>
      <w:rFonts w:ascii="仿宋_GB2312" w:eastAsia="仿宋_GB2312"/>
      <w:b/>
      <w:color w:val="000000"/>
      <w:sz w:val="24"/>
    </w:rPr>
  </w:style>
  <w:style w:type="character" w:default="1" w:styleId="7">
    <w:name w:val="Default Paragraph Font"/>
    <w:link w:val="8"/>
    <w:unhideWhenUsed/>
    <w:uiPriority w:val="1"/>
    <w:rPr>
      <w:rFonts w:eastAsia="宋体"/>
      <w:sz w:val="21"/>
      <w:szCs w:val="21"/>
    </w:rPr>
  </w:style>
  <w:style w:type="table" w:default="1" w:styleId="10">
    <w:name w:val="Normal Table"/>
    <w:unhideWhenUsed/>
    <w:qFormat/>
    <w:uiPriority w:val="99"/>
    <w:tblPr>
      <w:tblStyle w:val="10"/>
      <w:tblLayout w:type="fixed"/>
      <w:tblCellMar>
        <w:top w:w="0" w:type="dxa"/>
        <w:left w:w="108" w:type="dxa"/>
        <w:bottom w:w="0" w:type="dxa"/>
        <w:right w:w="108" w:type="dxa"/>
      </w:tblCellMar>
    </w:tblPr>
  </w:style>
  <w:style w:type="paragraph" w:styleId="3">
    <w:name w:val="Normal Indent"/>
    <w:basedOn w:val="1"/>
    <w:unhideWhenUsed/>
    <w:uiPriority w:val="99"/>
    <w:pPr>
      <w:ind w:firstLine="420" w:firstLineChars="200"/>
    </w:pPr>
  </w:style>
  <w:style w:type="paragraph" w:styleId="4">
    <w:name w:val="Body Text"/>
    <w:basedOn w:val="1"/>
    <w:link w:val="16"/>
    <w:uiPriority w:val="0"/>
    <w:pPr>
      <w:widowControl/>
      <w:jc w:val="left"/>
    </w:pPr>
    <w:rPr>
      <w:kern w:val="0"/>
      <w:sz w:val="32"/>
      <w:szCs w:val="20"/>
    </w:rPr>
  </w:style>
  <w:style w:type="paragraph" w:styleId="5">
    <w:name w:val="Plain Text"/>
    <w:basedOn w:val="1"/>
    <w:link w:val="17"/>
    <w:uiPriority w:val="0"/>
    <w:pPr>
      <w:widowControl/>
      <w:spacing w:before="100" w:beforeAutospacing="1" w:after="100" w:afterAutospacing="1"/>
      <w:jc w:val="left"/>
    </w:pPr>
    <w:rPr>
      <w:rFonts w:ascii="宋体" w:hAnsi="宋体"/>
      <w:kern w:val="0"/>
      <w:sz w:val="24"/>
    </w:rPr>
  </w:style>
  <w:style w:type="paragraph" w:styleId="6">
    <w:name w:val="footer"/>
    <w:basedOn w:val="1"/>
    <w:link w:val="18"/>
    <w:unhideWhenUsed/>
    <w:uiPriority w:val="99"/>
    <w:pPr>
      <w:tabs>
        <w:tab w:val="center" w:pos="4153"/>
        <w:tab w:val="right" w:pos="8306"/>
      </w:tabs>
      <w:snapToGrid w:val="0"/>
      <w:jc w:val="left"/>
    </w:pPr>
    <w:rPr>
      <w:sz w:val="18"/>
      <w:szCs w:val="18"/>
    </w:rPr>
  </w:style>
  <w:style w:type="paragraph" w:customStyle="1" w:styleId="8">
    <w:name w:val="Char Char1 Char"/>
    <w:basedOn w:val="1"/>
    <w:link w:val="7"/>
    <w:uiPriority w:val="0"/>
    <w:rPr>
      <w:rFonts w:eastAsia="宋体"/>
      <w:sz w:val="21"/>
      <w:szCs w:val="21"/>
    </w:rPr>
  </w:style>
  <w:style w:type="character" w:styleId="9">
    <w:name w:val="page number"/>
    <w:basedOn w:val="7"/>
    <w:unhideWhenUsed/>
    <w:uiPriority w:val="99"/>
    <w:rPr/>
  </w:style>
  <w:style w:type="paragraph" w:customStyle="1" w:styleId="11">
    <w:name w:val="tb"/>
    <w:basedOn w:val="1"/>
    <w:link w:val="15"/>
    <w:qFormat/>
    <w:uiPriority w:val="0"/>
    <w:pPr>
      <w:spacing w:line="400" w:lineRule="atLeast"/>
    </w:pPr>
    <w:rPr>
      <w:rFonts w:ascii="宋体" w:hAnsi="Arial"/>
      <w:sz w:val="24"/>
      <w:szCs w:val="22"/>
    </w:rPr>
  </w:style>
  <w:style w:type="paragraph" w:customStyle="1" w:styleId="12">
    <w:name w:val="_Style 2"/>
    <w:basedOn w:val="1"/>
    <w:uiPriority w:val="0"/>
    <w:pPr>
      <w:widowControl/>
      <w:spacing w:after="160" w:line="240" w:lineRule="exact"/>
      <w:jc w:val="left"/>
    </w:pPr>
    <w:rPr>
      <w:rFonts w:ascii="Verdana" w:hAnsi="Verdana"/>
      <w:kern w:val="0"/>
      <w:sz w:val="24"/>
      <w:szCs w:val="20"/>
      <w:lang w:eastAsia="en-US"/>
    </w:rPr>
  </w:style>
  <w:style w:type="paragraph" w:customStyle="1" w:styleId="13">
    <w:name w:val="样式 正文缩进正文缩进2正文缩进 Char Char正文缩进 Char Char Char Char正文缩进 Char ..."/>
    <w:basedOn w:val="3"/>
    <w:qFormat/>
    <w:uiPriority w:val="0"/>
    <w:pPr>
      <w:spacing w:line="360" w:lineRule="auto"/>
      <w:ind w:firstLine="200"/>
    </w:pPr>
    <w:rPr>
      <w:rFonts w:cs="宋体"/>
      <w:sz w:val="24"/>
      <w:szCs w:val="20"/>
    </w:rPr>
  </w:style>
  <w:style w:type="character" w:customStyle="1" w:styleId="14">
    <w:name w:val="标题 1 Char"/>
    <w:basedOn w:val="7"/>
    <w:link w:val="2"/>
    <w:uiPriority w:val="0"/>
    <w:rPr>
      <w:rFonts w:ascii="仿宋_GB2312" w:eastAsia="仿宋_GB2312" w:cs="Times New Roman"/>
      <w:b/>
      <w:color w:val="000000"/>
      <w:sz w:val="24"/>
      <w:szCs w:val="24"/>
    </w:rPr>
  </w:style>
  <w:style w:type="character" w:customStyle="1" w:styleId="15">
    <w:name w:val="tb Char"/>
    <w:link w:val="11"/>
    <w:uiPriority w:val="0"/>
    <w:rPr>
      <w:rFonts w:ascii="宋体" w:hAnsi="Arial" w:eastAsia="宋体"/>
      <w:sz w:val="24"/>
    </w:rPr>
  </w:style>
  <w:style w:type="character" w:customStyle="1" w:styleId="16">
    <w:name w:val="正文文本 Char"/>
    <w:basedOn w:val="7"/>
    <w:link w:val="4"/>
    <w:uiPriority w:val="0"/>
    <w:rPr>
      <w:rFonts w:eastAsia="宋体" w:cs="Times New Roman"/>
      <w:kern w:val="0"/>
      <w:szCs w:val="20"/>
    </w:rPr>
  </w:style>
  <w:style w:type="character" w:customStyle="1" w:styleId="17">
    <w:name w:val="纯文本 Char"/>
    <w:basedOn w:val="7"/>
    <w:link w:val="5"/>
    <w:uiPriority w:val="0"/>
    <w:rPr>
      <w:rFonts w:ascii="宋体" w:hAnsi="宋体" w:eastAsia="宋体" w:cs="Times New Roman"/>
      <w:kern w:val="0"/>
      <w:sz w:val="24"/>
      <w:szCs w:val="24"/>
    </w:rPr>
  </w:style>
  <w:style w:type="character" w:customStyle="1" w:styleId="18">
    <w:name w:val="页脚 Char"/>
    <w:basedOn w:val="7"/>
    <w:link w:val="6"/>
    <w:semiHidden/>
    <w:uiPriority w:val="99"/>
    <w:rPr>
      <w:rFonts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260</Words>
  <Characters>1487</Characters>
  <Lines>12</Lines>
  <Paragraphs>3</Paragraphs>
  <TotalTime>0</TotalTime>
  <ScaleCrop>false</ScaleCrop>
  <LinksUpToDate>false</LinksUpToDate>
  <CharactersWithSpaces>0</CharactersWithSpaces>
  <Application>WPS Office 专业版_9.1.0.4895_{F1E327BC-269C-435d-A152-05C5408002CA}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2023-03-15T03:18:00Z</dcterms:created>
  <dc:creator>LYL</dc:creator>
  <cp:lastModifiedBy>Administrator</cp:lastModifiedBy>
  <dcterms:modified xsi:type="dcterms:W3CDTF">2023-03-16T09:08:06Z</dcterms:modified>
  <dc:title>渝（长）环准〔2023〕23号</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2052-9.1.0.4895</vt:lpwstr>
  </property>
</Properties>
</file>