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E4" w:rsidRPr="008038E4" w:rsidRDefault="008038E4" w:rsidP="008038E4">
      <w:pPr>
        <w:pStyle w:val="a5"/>
        <w:snapToGrid w:val="0"/>
        <w:spacing w:line="680" w:lineRule="exact"/>
        <w:jc w:val="center"/>
        <w:rPr>
          <w:rFonts w:eastAsia="方正仿宋_GBK" w:hint="eastAsia"/>
          <w:bCs/>
        </w:rPr>
      </w:pPr>
      <w:bookmarkStart w:id="0" w:name="docNum"/>
    </w:p>
    <w:p w:rsidR="008038E4" w:rsidRPr="008038E4" w:rsidRDefault="008038E4" w:rsidP="008038E4">
      <w:pPr>
        <w:pStyle w:val="a5"/>
        <w:snapToGrid w:val="0"/>
        <w:spacing w:line="680" w:lineRule="exact"/>
        <w:jc w:val="center"/>
        <w:rPr>
          <w:rFonts w:eastAsia="方正仿宋_GBK" w:hint="eastAsia"/>
          <w:bCs/>
        </w:rPr>
      </w:pPr>
    </w:p>
    <w:p w:rsidR="008038E4" w:rsidRPr="008038E4" w:rsidRDefault="008038E4" w:rsidP="008038E4">
      <w:pPr>
        <w:pStyle w:val="a5"/>
        <w:snapToGrid w:val="0"/>
        <w:spacing w:line="680" w:lineRule="exact"/>
        <w:jc w:val="center"/>
        <w:rPr>
          <w:rFonts w:eastAsia="方正仿宋_GBK" w:hint="eastAsia"/>
          <w:bCs/>
        </w:rPr>
      </w:pPr>
    </w:p>
    <w:p w:rsidR="008038E4" w:rsidRPr="008038E4" w:rsidRDefault="008038E4" w:rsidP="008038E4">
      <w:pPr>
        <w:pStyle w:val="a5"/>
        <w:snapToGrid w:val="0"/>
        <w:spacing w:line="680" w:lineRule="exact"/>
        <w:jc w:val="center"/>
        <w:rPr>
          <w:rFonts w:eastAsia="方正仿宋_GBK" w:hint="eastAsia"/>
          <w:bCs/>
        </w:rPr>
      </w:pPr>
    </w:p>
    <w:p w:rsidR="008038E4" w:rsidRPr="008038E4" w:rsidRDefault="008038E4" w:rsidP="008038E4">
      <w:pPr>
        <w:pStyle w:val="a5"/>
        <w:snapToGrid w:val="0"/>
        <w:spacing w:line="240" w:lineRule="atLeast"/>
        <w:jc w:val="center"/>
        <w:rPr>
          <w:rFonts w:eastAsia="方正仿宋_GBK" w:hint="eastAsia"/>
          <w:bCs/>
        </w:rPr>
      </w:pPr>
      <w:r w:rsidRPr="008038E4">
        <w:rPr>
          <w:rFonts w:eastAsia="方正仿宋_GBK" w:hint="eastAsia"/>
          <w:bCs/>
        </w:rPr>
        <w:t>渝（长）环准〔</w:t>
      </w:r>
      <w:r w:rsidRPr="008038E4">
        <w:rPr>
          <w:rFonts w:eastAsia="方正仿宋_GBK" w:hint="eastAsia"/>
          <w:bCs/>
        </w:rPr>
        <w:t>2023</w:t>
      </w:r>
      <w:r w:rsidRPr="008038E4">
        <w:rPr>
          <w:rFonts w:eastAsia="方正仿宋_GBK" w:hint="eastAsia"/>
          <w:bCs/>
        </w:rPr>
        <w:t>〕</w:t>
      </w:r>
      <w:r w:rsidRPr="008038E4">
        <w:rPr>
          <w:rFonts w:eastAsia="方正仿宋_GBK" w:hint="eastAsia"/>
          <w:bCs/>
        </w:rPr>
        <w:t>22</w:t>
      </w:r>
      <w:r w:rsidRPr="008038E4">
        <w:rPr>
          <w:rFonts w:eastAsia="方正仿宋_GBK" w:hint="eastAsia"/>
          <w:bCs/>
        </w:rPr>
        <w:t>号</w:t>
      </w:r>
      <w:bookmarkEnd w:id="0"/>
    </w:p>
    <w:p w:rsidR="008038E4" w:rsidRPr="008038E4" w:rsidRDefault="008038E4" w:rsidP="008038E4">
      <w:pPr>
        <w:pStyle w:val="a5"/>
        <w:snapToGrid w:val="0"/>
        <w:spacing w:line="240" w:lineRule="atLeast"/>
        <w:jc w:val="center"/>
        <w:rPr>
          <w:rFonts w:eastAsia="方正仿宋_GBK" w:hint="eastAsia"/>
          <w:bCs/>
        </w:rPr>
      </w:pPr>
    </w:p>
    <w:p w:rsidR="008038E4" w:rsidRPr="008038E4" w:rsidRDefault="008038E4" w:rsidP="008038E4">
      <w:pPr>
        <w:pStyle w:val="tb"/>
        <w:spacing w:line="560" w:lineRule="exact"/>
        <w:rPr>
          <w:rFonts w:ascii="Times New Roman" w:eastAsia="方正仿宋_GBK" w:hAnsi="Times New Roman"/>
          <w:bCs/>
          <w:sz w:val="32"/>
          <w:szCs w:val="32"/>
        </w:rPr>
      </w:pPr>
      <w:bookmarkStart w:id="1" w:name="companyName"/>
      <w:r w:rsidRPr="008038E4">
        <w:rPr>
          <w:rFonts w:ascii="Times New Roman" w:eastAsia="方正仿宋_GBK" w:hAnsi="Times New Roman" w:hint="eastAsia"/>
          <w:bCs/>
          <w:sz w:val="32"/>
          <w:szCs w:val="32"/>
        </w:rPr>
        <w:t>中盐重庆长寿盐化有限公司</w:t>
      </w:r>
      <w:bookmarkEnd w:id="1"/>
      <w:r w:rsidRPr="008038E4">
        <w:rPr>
          <w:rFonts w:ascii="Times New Roman" w:eastAsia="方正仿宋_GBK" w:hAnsi="Times New Roman" w:hint="eastAsia"/>
          <w:bCs/>
          <w:sz w:val="32"/>
          <w:szCs w:val="32"/>
        </w:rPr>
        <w:t>：</w:t>
      </w:r>
    </w:p>
    <w:p w:rsidR="008038E4" w:rsidRPr="008038E4" w:rsidRDefault="008038E4" w:rsidP="008038E4">
      <w:pPr>
        <w:adjustRightInd w:val="0"/>
        <w:snapToGrid w:val="0"/>
        <w:spacing w:line="560" w:lineRule="exact"/>
        <w:ind w:firstLineChars="200" w:firstLine="640"/>
        <w:rPr>
          <w:rFonts w:eastAsia="方正仿宋_GBK"/>
          <w:sz w:val="32"/>
          <w:szCs w:val="32"/>
        </w:rPr>
      </w:pPr>
      <w:r w:rsidRPr="008038E4">
        <w:rPr>
          <w:rFonts w:eastAsia="方正仿宋_GBK"/>
          <w:sz w:val="32"/>
          <w:szCs w:val="32"/>
        </w:rPr>
        <w:t>你单位报送的</w:t>
      </w:r>
      <w:r w:rsidRPr="008038E4">
        <w:rPr>
          <w:rFonts w:eastAsia="方正仿宋_GBK" w:hint="eastAsia"/>
          <w:sz w:val="32"/>
          <w:szCs w:val="32"/>
        </w:rPr>
        <w:t>中盐重庆长寿盐化有限公司新建长平</w:t>
      </w:r>
      <w:r w:rsidRPr="008038E4">
        <w:rPr>
          <w:rFonts w:eastAsia="方正仿宋_GBK" w:hint="eastAsia"/>
          <w:sz w:val="32"/>
          <w:szCs w:val="32"/>
        </w:rPr>
        <w:t>4</w:t>
      </w:r>
      <w:r w:rsidRPr="008038E4">
        <w:rPr>
          <w:rFonts w:eastAsia="方正仿宋_GBK" w:hint="eastAsia"/>
          <w:sz w:val="32"/>
          <w:szCs w:val="32"/>
        </w:rPr>
        <w:t>井项目</w:t>
      </w:r>
      <w:r w:rsidRPr="008038E4">
        <w:rPr>
          <w:rFonts w:eastAsia="方正仿宋_GBK"/>
          <w:sz w:val="32"/>
          <w:szCs w:val="32"/>
        </w:rPr>
        <w:t>（项目代码：</w:t>
      </w:r>
      <w:r w:rsidRPr="008038E4">
        <w:rPr>
          <w:rFonts w:eastAsia="方正仿宋_GBK"/>
          <w:sz w:val="32"/>
          <w:szCs w:val="32"/>
        </w:rPr>
        <w:t>2204-500115-04-01-991663</w:t>
      </w:r>
      <w:r w:rsidRPr="008038E4">
        <w:rPr>
          <w:rFonts w:eastAsia="方正仿宋_GBK"/>
          <w:sz w:val="32"/>
          <w:szCs w:val="32"/>
        </w:rPr>
        <w:t>）环境影响评价文件审批申请表及相关资料收悉。根据《中华人民共和国环境影响评价法》等法律法规的有关规定，我局原则同意</w:t>
      </w:r>
      <w:r w:rsidRPr="008038E4">
        <w:rPr>
          <w:rFonts w:eastAsia="方正仿宋_GBK" w:hint="eastAsia"/>
          <w:sz w:val="32"/>
          <w:szCs w:val="32"/>
          <w:lang w:val="zh-CN"/>
        </w:rPr>
        <w:t>重庆学正环境污染治理有限公司</w:t>
      </w:r>
      <w:r w:rsidRPr="008038E4">
        <w:rPr>
          <w:rFonts w:eastAsia="方正仿宋_GBK"/>
          <w:sz w:val="32"/>
          <w:szCs w:val="32"/>
        </w:rPr>
        <w:t>（统一社会信用代码：</w:t>
      </w:r>
      <w:r w:rsidRPr="008038E4">
        <w:rPr>
          <w:rFonts w:eastAsia="方正仿宋_GBK"/>
          <w:sz w:val="32"/>
          <w:szCs w:val="32"/>
          <w:lang w:val="zh-CN"/>
        </w:rPr>
        <w:t>915001080542832293</w:t>
      </w:r>
      <w:r w:rsidRPr="008038E4">
        <w:rPr>
          <w:rFonts w:eastAsia="方正仿宋_GBK"/>
          <w:sz w:val="32"/>
          <w:szCs w:val="32"/>
        </w:rPr>
        <w:t>）编制的项目环境影响报告</w:t>
      </w:r>
      <w:r w:rsidRPr="008038E4">
        <w:rPr>
          <w:rFonts w:eastAsia="方正仿宋_GBK" w:hint="eastAsia"/>
          <w:sz w:val="32"/>
          <w:szCs w:val="32"/>
        </w:rPr>
        <w:t>书</w:t>
      </w:r>
      <w:r w:rsidRPr="008038E4">
        <w:rPr>
          <w:rFonts w:eastAsia="方正仿宋_GBK"/>
          <w:sz w:val="32"/>
          <w:szCs w:val="32"/>
        </w:rPr>
        <w:t>结论及其提出的环境保护措施。</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t>一、项目主要建设内容：该项目属扩建性质，在原矿区范围内新建长平</w:t>
      </w:r>
      <w:r w:rsidRPr="008038E4">
        <w:rPr>
          <w:rFonts w:eastAsia="方正仿宋_GBK" w:hint="eastAsia"/>
          <w:sz w:val="32"/>
          <w:szCs w:val="32"/>
          <w:lang w:val="zh-CN"/>
        </w:rPr>
        <w:t>4</w:t>
      </w:r>
      <w:r w:rsidRPr="008038E4">
        <w:rPr>
          <w:rFonts w:eastAsia="方正仿宋_GBK" w:hint="eastAsia"/>
          <w:sz w:val="32"/>
          <w:szCs w:val="32"/>
          <w:lang w:val="zh-CN"/>
        </w:rPr>
        <w:t>井，与长盐</w:t>
      </w:r>
      <w:r w:rsidRPr="008038E4">
        <w:rPr>
          <w:rFonts w:eastAsia="方正仿宋_GBK" w:hint="eastAsia"/>
          <w:sz w:val="32"/>
          <w:szCs w:val="32"/>
          <w:lang w:val="zh-CN"/>
        </w:rPr>
        <w:t>2</w:t>
      </w:r>
      <w:r w:rsidRPr="008038E4">
        <w:rPr>
          <w:rFonts w:eastAsia="方正仿宋_GBK" w:hint="eastAsia"/>
          <w:sz w:val="32"/>
          <w:szCs w:val="32"/>
          <w:lang w:val="zh-CN"/>
        </w:rPr>
        <w:t>井形成</w:t>
      </w:r>
      <w:r w:rsidRPr="008038E4">
        <w:rPr>
          <w:rFonts w:eastAsia="方正仿宋_GBK" w:hint="eastAsia"/>
          <w:sz w:val="32"/>
          <w:szCs w:val="32"/>
          <w:lang w:val="zh-CN"/>
        </w:rPr>
        <w:t>1</w:t>
      </w:r>
      <w:r w:rsidRPr="008038E4">
        <w:rPr>
          <w:rFonts w:eastAsia="方正仿宋_GBK" w:hint="eastAsia"/>
          <w:sz w:val="32"/>
          <w:szCs w:val="32"/>
          <w:lang w:val="zh-CN"/>
        </w:rPr>
        <w:t>组对接井组，开采规模为</w:t>
      </w:r>
      <w:r w:rsidRPr="008038E4">
        <w:rPr>
          <w:rFonts w:eastAsia="方正仿宋_GBK" w:hint="eastAsia"/>
          <w:sz w:val="32"/>
          <w:szCs w:val="32"/>
          <w:lang w:val="zh-CN"/>
        </w:rPr>
        <w:t>30</w:t>
      </w:r>
      <w:r w:rsidRPr="008038E4">
        <w:rPr>
          <w:rFonts w:eastAsia="方正仿宋_GBK" w:hint="eastAsia"/>
          <w:sz w:val="32"/>
          <w:szCs w:val="32"/>
          <w:lang w:val="zh-CN"/>
        </w:rPr>
        <w:t>万吨</w:t>
      </w:r>
      <w:r w:rsidRPr="008038E4">
        <w:rPr>
          <w:rFonts w:eastAsia="方正仿宋_GBK" w:hint="eastAsia"/>
          <w:sz w:val="32"/>
          <w:szCs w:val="32"/>
          <w:lang w:val="zh-CN"/>
        </w:rPr>
        <w:t>/</w:t>
      </w:r>
      <w:r w:rsidRPr="008038E4">
        <w:rPr>
          <w:rFonts w:eastAsia="方正仿宋_GBK" w:hint="eastAsia"/>
          <w:sz w:val="32"/>
          <w:szCs w:val="32"/>
          <w:lang w:val="zh-CN"/>
        </w:rPr>
        <w:t>年液体盐；同时改造长探</w:t>
      </w:r>
      <w:r w:rsidRPr="008038E4">
        <w:rPr>
          <w:rFonts w:eastAsia="方正仿宋_GBK" w:hint="eastAsia"/>
          <w:sz w:val="32"/>
          <w:szCs w:val="32"/>
          <w:lang w:val="zh-CN"/>
        </w:rPr>
        <w:t>1</w:t>
      </w:r>
      <w:r w:rsidRPr="008038E4">
        <w:rPr>
          <w:rFonts w:eastAsia="方正仿宋_GBK" w:hint="eastAsia"/>
          <w:sz w:val="32"/>
          <w:szCs w:val="32"/>
          <w:lang w:val="zh-CN"/>
        </w:rPr>
        <w:t>井—长平</w:t>
      </w:r>
      <w:r w:rsidRPr="008038E4">
        <w:rPr>
          <w:rFonts w:eastAsia="方正仿宋_GBK" w:hint="eastAsia"/>
          <w:sz w:val="32"/>
          <w:szCs w:val="32"/>
          <w:lang w:val="zh-CN"/>
        </w:rPr>
        <w:t>3</w:t>
      </w:r>
      <w:r w:rsidRPr="008038E4">
        <w:rPr>
          <w:rFonts w:eastAsia="方正仿宋_GBK" w:hint="eastAsia"/>
          <w:sz w:val="32"/>
          <w:szCs w:val="32"/>
          <w:lang w:val="zh-CN"/>
        </w:rPr>
        <w:t>井水平对接井组采卤泵，开采规模由</w:t>
      </w:r>
      <w:r w:rsidRPr="008038E4">
        <w:rPr>
          <w:rFonts w:eastAsia="方正仿宋_GBK" w:hint="eastAsia"/>
          <w:sz w:val="32"/>
          <w:szCs w:val="32"/>
          <w:lang w:val="zh-CN"/>
        </w:rPr>
        <w:t>20</w:t>
      </w:r>
      <w:r w:rsidRPr="008038E4">
        <w:rPr>
          <w:rFonts w:eastAsia="方正仿宋_GBK" w:hint="eastAsia"/>
          <w:sz w:val="32"/>
          <w:szCs w:val="32"/>
          <w:lang w:val="zh-CN"/>
        </w:rPr>
        <w:t>万吨</w:t>
      </w:r>
      <w:r w:rsidRPr="008038E4">
        <w:rPr>
          <w:rFonts w:eastAsia="方正仿宋_GBK" w:hint="eastAsia"/>
          <w:sz w:val="32"/>
          <w:szCs w:val="32"/>
          <w:lang w:val="zh-CN"/>
        </w:rPr>
        <w:t>/</w:t>
      </w:r>
      <w:r w:rsidRPr="008038E4">
        <w:rPr>
          <w:rFonts w:eastAsia="方正仿宋_GBK" w:hint="eastAsia"/>
          <w:sz w:val="32"/>
          <w:szCs w:val="32"/>
          <w:lang w:val="zh-CN"/>
        </w:rPr>
        <w:t>年增加至</w:t>
      </w:r>
      <w:r w:rsidRPr="008038E4">
        <w:rPr>
          <w:rFonts w:eastAsia="方正仿宋_GBK" w:hint="eastAsia"/>
          <w:sz w:val="32"/>
          <w:szCs w:val="32"/>
          <w:lang w:val="zh-CN"/>
        </w:rPr>
        <w:t>30</w:t>
      </w:r>
      <w:r w:rsidRPr="008038E4">
        <w:rPr>
          <w:rFonts w:eastAsia="方正仿宋_GBK" w:hint="eastAsia"/>
          <w:sz w:val="32"/>
          <w:szCs w:val="32"/>
          <w:lang w:val="zh-CN"/>
        </w:rPr>
        <w:t>万吨</w:t>
      </w:r>
      <w:r w:rsidRPr="008038E4">
        <w:rPr>
          <w:rFonts w:eastAsia="方正仿宋_GBK" w:hint="eastAsia"/>
          <w:sz w:val="32"/>
          <w:szCs w:val="32"/>
          <w:lang w:val="zh-CN"/>
        </w:rPr>
        <w:t>/</w:t>
      </w:r>
      <w:r w:rsidRPr="008038E4">
        <w:rPr>
          <w:rFonts w:eastAsia="方正仿宋_GBK" w:hint="eastAsia"/>
          <w:sz w:val="32"/>
          <w:szCs w:val="32"/>
          <w:lang w:val="zh-CN"/>
        </w:rPr>
        <w:t>年液体盐；项目实施后，总开采规模提高至</w:t>
      </w:r>
      <w:r w:rsidRPr="008038E4">
        <w:rPr>
          <w:rFonts w:eastAsia="方正仿宋_GBK" w:hint="eastAsia"/>
          <w:sz w:val="32"/>
          <w:szCs w:val="32"/>
          <w:lang w:val="zh-CN"/>
        </w:rPr>
        <w:t>60</w:t>
      </w:r>
      <w:r w:rsidRPr="008038E4">
        <w:rPr>
          <w:rFonts w:eastAsia="方正仿宋_GBK" w:hint="eastAsia"/>
          <w:sz w:val="32"/>
          <w:szCs w:val="32"/>
          <w:lang w:val="zh-CN"/>
        </w:rPr>
        <w:t>万吨</w:t>
      </w:r>
      <w:r w:rsidRPr="008038E4">
        <w:rPr>
          <w:rFonts w:eastAsia="方正仿宋_GBK" w:hint="eastAsia"/>
          <w:sz w:val="32"/>
          <w:szCs w:val="32"/>
          <w:lang w:val="zh-CN"/>
        </w:rPr>
        <w:t>/</w:t>
      </w:r>
      <w:r w:rsidRPr="008038E4">
        <w:rPr>
          <w:rFonts w:eastAsia="方正仿宋_GBK" w:hint="eastAsia"/>
          <w:sz w:val="32"/>
          <w:szCs w:val="32"/>
          <w:lang w:val="zh-CN"/>
        </w:rPr>
        <w:t>年液体盐。开采对象为三叠系嘉陵江组四段二亚段含盐矿层，采用水平定向井井组连通采卤工艺，服务年限为</w:t>
      </w:r>
      <w:r w:rsidRPr="008038E4">
        <w:rPr>
          <w:rFonts w:eastAsia="方正仿宋_GBK" w:hint="eastAsia"/>
          <w:sz w:val="32"/>
          <w:szCs w:val="32"/>
          <w:lang w:val="zh-CN"/>
        </w:rPr>
        <w:t>41</w:t>
      </w:r>
      <w:r w:rsidRPr="008038E4">
        <w:rPr>
          <w:rFonts w:eastAsia="方正仿宋_GBK" w:hint="eastAsia"/>
          <w:sz w:val="32"/>
          <w:szCs w:val="32"/>
          <w:lang w:val="zh-CN"/>
        </w:rPr>
        <w:t>年。配套埋地采集卤管线</w:t>
      </w:r>
      <w:r w:rsidRPr="008038E4">
        <w:rPr>
          <w:rFonts w:eastAsia="方正仿宋_GBK" w:hint="eastAsia"/>
          <w:sz w:val="32"/>
          <w:szCs w:val="32"/>
          <w:lang w:val="zh-CN"/>
        </w:rPr>
        <w:t>1170</w:t>
      </w:r>
      <w:r w:rsidRPr="008038E4">
        <w:rPr>
          <w:rFonts w:eastAsia="方正仿宋_GBK" w:hint="eastAsia"/>
          <w:sz w:val="32"/>
          <w:szCs w:val="32"/>
          <w:lang w:val="zh-CN"/>
        </w:rPr>
        <w:t>米，现有生产中心更换</w:t>
      </w:r>
      <w:r w:rsidRPr="008038E4">
        <w:rPr>
          <w:rFonts w:eastAsia="方正仿宋_GBK" w:hint="eastAsia"/>
          <w:sz w:val="32"/>
          <w:szCs w:val="32"/>
          <w:lang w:val="zh-CN"/>
        </w:rPr>
        <w:t>2</w:t>
      </w:r>
      <w:r w:rsidRPr="008038E4">
        <w:rPr>
          <w:rFonts w:eastAsia="方正仿宋_GBK" w:hint="eastAsia"/>
          <w:sz w:val="32"/>
          <w:szCs w:val="32"/>
          <w:lang w:val="zh-CN"/>
        </w:rPr>
        <w:t>台采卤泵，取水泵房等公辅设施、清水池、卤水池等均依托一期项目。项目总投资</w:t>
      </w:r>
      <w:r w:rsidRPr="008038E4">
        <w:rPr>
          <w:rFonts w:eastAsia="方正仿宋_GBK" w:hint="eastAsia"/>
          <w:sz w:val="32"/>
          <w:szCs w:val="32"/>
          <w:lang w:val="zh-CN"/>
        </w:rPr>
        <w:t>1800</w:t>
      </w:r>
      <w:r w:rsidRPr="008038E4">
        <w:rPr>
          <w:rFonts w:eastAsia="方正仿宋_GBK" w:hint="eastAsia"/>
          <w:sz w:val="32"/>
          <w:szCs w:val="32"/>
          <w:lang w:val="zh-CN"/>
        </w:rPr>
        <w:t>万元，其中环保投资约</w:t>
      </w:r>
      <w:r w:rsidRPr="008038E4">
        <w:rPr>
          <w:rFonts w:eastAsia="方正仿宋_GBK" w:hint="eastAsia"/>
          <w:sz w:val="32"/>
          <w:szCs w:val="32"/>
          <w:lang w:val="zh-CN"/>
        </w:rPr>
        <w:t>61.5</w:t>
      </w:r>
      <w:r w:rsidRPr="008038E4">
        <w:rPr>
          <w:rFonts w:eastAsia="方正仿宋_GBK" w:hint="eastAsia"/>
          <w:sz w:val="32"/>
          <w:szCs w:val="32"/>
          <w:lang w:val="zh-CN"/>
        </w:rPr>
        <w:lastRenderedPageBreak/>
        <w:t>万元。</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t>二、项目建设与运营管理中，必须认真落实项目环境影响报告书提出的各项污染防治措施，实施清洁生产，减少污染物产生和排放，重点应做好以下工作：</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（一）严格落实生态环境保护措施。</w:t>
      </w:r>
      <w:r w:rsidRPr="008038E4">
        <w:rPr>
          <w:rFonts w:eastAsia="方正仿宋_GBK" w:hint="eastAsia"/>
          <w:sz w:val="32"/>
          <w:szCs w:val="32"/>
          <w:lang w:val="zh-CN"/>
        </w:rPr>
        <w:t>项目总占地面积约</w:t>
      </w:r>
      <w:r w:rsidRPr="008038E4">
        <w:rPr>
          <w:rFonts w:eastAsia="方正仿宋_GBK" w:hint="eastAsia"/>
          <w:sz w:val="32"/>
          <w:szCs w:val="32"/>
          <w:lang w:val="zh-CN"/>
        </w:rPr>
        <w:t>15348</w:t>
      </w:r>
      <w:r w:rsidRPr="008038E4">
        <w:rPr>
          <w:rFonts w:eastAsia="方正仿宋_GBK" w:hint="eastAsia"/>
          <w:sz w:val="32"/>
          <w:szCs w:val="32"/>
          <w:lang w:val="zh-CN"/>
        </w:rPr>
        <w:t>平方米，其中永久占地约</w:t>
      </w:r>
      <w:r w:rsidRPr="008038E4">
        <w:rPr>
          <w:rFonts w:eastAsia="方正仿宋_GBK" w:hint="eastAsia"/>
          <w:sz w:val="32"/>
          <w:szCs w:val="32"/>
          <w:lang w:val="zh-CN"/>
        </w:rPr>
        <w:t>28</w:t>
      </w:r>
      <w:r w:rsidRPr="008038E4">
        <w:rPr>
          <w:rFonts w:eastAsia="方正仿宋_GBK" w:hint="eastAsia"/>
          <w:sz w:val="32"/>
          <w:szCs w:val="32"/>
          <w:lang w:val="zh-CN"/>
        </w:rPr>
        <w:t>平方米，临时占地约</w:t>
      </w:r>
      <w:r w:rsidRPr="008038E4">
        <w:rPr>
          <w:rFonts w:eastAsia="方正仿宋_GBK" w:hint="eastAsia"/>
          <w:sz w:val="32"/>
          <w:szCs w:val="32"/>
          <w:lang w:val="zh-CN"/>
        </w:rPr>
        <w:t>15320</w:t>
      </w:r>
      <w:r w:rsidRPr="008038E4">
        <w:rPr>
          <w:rFonts w:eastAsia="方正仿宋_GBK" w:hint="eastAsia"/>
          <w:sz w:val="32"/>
          <w:szCs w:val="32"/>
          <w:lang w:val="zh-CN"/>
        </w:rPr>
        <w:t>平方米，占地类型以园地、耕地为主，开工前应完善土地征用手续。临时占地主要植物为农田植被，施工结束后按管道保护要求对施工作业带采取植浅根系本土植物搭配当地林木进行植被恢复。钻井场边界与评价范围内古树黄葛树最近距离约</w:t>
      </w:r>
      <w:r w:rsidRPr="008038E4">
        <w:rPr>
          <w:rFonts w:eastAsia="方正仿宋_GBK" w:hint="eastAsia"/>
          <w:sz w:val="32"/>
          <w:szCs w:val="32"/>
          <w:lang w:val="zh-CN"/>
        </w:rPr>
        <w:t>180</w:t>
      </w:r>
      <w:r w:rsidRPr="008038E4">
        <w:rPr>
          <w:rFonts w:eastAsia="方正仿宋_GBK" w:hint="eastAsia"/>
          <w:sz w:val="32"/>
          <w:szCs w:val="32"/>
          <w:lang w:val="zh-CN"/>
        </w:rPr>
        <w:t>米，现有取水泵房与评价范围内国家一级保护野生植物水杉最近距离约</w:t>
      </w:r>
      <w:r w:rsidRPr="008038E4">
        <w:rPr>
          <w:rFonts w:eastAsia="方正仿宋_GBK" w:hint="eastAsia"/>
          <w:sz w:val="32"/>
          <w:szCs w:val="32"/>
          <w:lang w:val="zh-CN"/>
        </w:rPr>
        <w:t>220</w:t>
      </w:r>
      <w:r w:rsidRPr="008038E4">
        <w:rPr>
          <w:rFonts w:eastAsia="方正仿宋_GBK" w:hint="eastAsia"/>
          <w:sz w:val="32"/>
          <w:szCs w:val="32"/>
          <w:lang w:val="zh-CN"/>
        </w:rPr>
        <w:t>米，采集卤管线与国家二级保护动物普通鵟、黑鸢、红隼及重庆市市级保护动物小鷿鷈主要活动区域最近距离约</w:t>
      </w:r>
      <w:r w:rsidRPr="008038E4">
        <w:rPr>
          <w:rFonts w:eastAsia="方正仿宋_GBK" w:hint="eastAsia"/>
          <w:sz w:val="32"/>
          <w:szCs w:val="32"/>
          <w:lang w:val="zh-CN"/>
        </w:rPr>
        <w:t>500</w:t>
      </w:r>
      <w:r w:rsidRPr="008038E4">
        <w:rPr>
          <w:rFonts w:eastAsia="方正仿宋_GBK" w:hint="eastAsia"/>
          <w:sz w:val="32"/>
          <w:szCs w:val="32"/>
          <w:lang w:val="zh-CN"/>
        </w:rPr>
        <w:t>米。项目无涉水施工，不涉及重要鱼类“三场一通道”，</w:t>
      </w:r>
      <w:r w:rsidRPr="008038E4">
        <w:rPr>
          <w:rFonts w:eastAsia="方正仿宋_GBK" w:hint="eastAsia"/>
          <w:sz w:val="32"/>
          <w:szCs w:val="32"/>
        </w:rPr>
        <w:t>项目</w:t>
      </w:r>
      <w:r w:rsidRPr="008038E4">
        <w:rPr>
          <w:rFonts w:eastAsia="方正仿宋_GBK" w:hint="eastAsia"/>
          <w:sz w:val="32"/>
          <w:szCs w:val="32"/>
          <w:lang w:val="zh-CN"/>
        </w:rPr>
        <w:t>依托现有取水泵房及取水口，仅增加工作时间，不涉及改造；取水口设网箱滤网，并采用自流取水，减缓对鱼卵鱼苗的卷载效应影响。</w:t>
      </w:r>
      <w:r w:rsidRPr="008038E4">
        <w:rPr>
          <w:rFonts w:eastAsia="方正仿宋_GBK" w:hint="eastAsia"/>
          <w:sz w:val="32"/>
          <w:szCs w:val="32"/>
        </w:rPr>
        <w:t>项目</w:t>
      </w:r>
      <w:r w:rsidRPr="008038E4">
        <w:rPr>
          <w:rFonts w:eastAsia="方正仿宋_GBK" w:hint="eastAsia"/>
          <w:sz w:val="32"/>
          <w:szCs w:val="32"/>
          <w:lang w:val="zh-CN"/>
        </w:rPr>
        <w:t>施工便道充分利用现有道路，严格控制施工作业范围，合理安排施工场地，管道临时堆放和加工、表土堆放等临时工程均布置在作业带内；土壤耕作层分层开挖、分层堆放、分层回填；剥离表土采用防雨布遮挡，后期用于复绿复垦；施工迹地应进行生态修复，施工结束后管道中心线两侧</w:t>
      </w:r>
      <w:r w:rsidRPr="008038E4">
        <w:rPr>
          <w:rFonts w:eastAsia="方正仿宋_GBK" w:hint="eastAsia"/>
          <w:sz w:val="32"/>
          <w:szCs w:val="32"/>
          <w:lang w:val="zh-CN"/>
        </w:rPr>
        <w:t>5</w:t>
      </w:r>
      <w:r w:rsidRPr="008038E4">
        <w:rPr>
          <w:rFonts w:eastAsia="方正仿宋_GBK" w:hint="eastAsia"/>
          <w:sz w:val="32"/>
          <w:szCs w:val="32"/>
          <w:lang w:val="zh-CN"/>
        </w:rPr>
        <w:t>米范围内种植浅根系植物，两侧</w:t>
      </w:r>
      <w:r w:rsidRPr="008038E4">
        <w:rPr>
          <w:rFonts w:eastAsia="方正仿宋_GBK" w:hint="eastAsia"/>
          <w:sz w:val="32"/>
          <w:szCs w:val="32"/>
          <w:lang w:val="zh-CN"/>
        </w:rPr>
        <w:t>5</w:t>
      </w:r>
      <w:r w:rsidRPr="008038E4">
        <w:rPr>
          <w:rFonts w:eastAsia="方正仿宋_GBK" w:hint="eastAsia"/>
          <w:sz w:val="32"/>
          <w:szCs w:val="32"/>
          <w:lang w:val="zh-CN"/>
        </w:rPr>
        <w:t>米以外的临时占地根据周边植被类型采取本土植物进行</w:t>
      </w:r>
      <w:r w:rsidRPr="008038E4">
        <w:rPr>
          <w:rFonts w:eastAsia="方正仿宋_GBK" w:hint="eastAsia"/>
          <w:sz w:val="32"/>
          <w:szCs w:val="32"/>
          <w:lang w:val="zh-CN"/>
        </w:rPr>
        <w:lastRenderedPageBreak/>
        <w:t>植被恢复。严格控制施工作业时间，高噪声机械作业尽量避开清晨黄昏等时段，以减少对鸟类等动物的惊扰；严禁捕杀保护动物。</w:t>
      </w:r>
      <w:r w:rsidRPr="008038E4">
        <w:rPr>
          <w:rFonts w:eastAsia="方正仿宋_GBK" w:hint="eastAsia"/>
          <w:sz w:val="32"/>
          <w:szCs w:val="32"/>
        </w:rPr>
        <w:t>施工期严格执行环评报告提出的生态保护措施，施工结束后严格执行生态恢复措施。</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（二）严格落实大气污染防治措施。</w:t>
      </w:r>
      <w:r w:rsidRPr="008038E4">
        <w:rPr>
          <w:rFonts w:eastAsia="方正仿宋_GBK" w:hint="eastAsia"/>
          <w:sz w:val="32"/>
          <w:szCs w:val="32"/>
          <w:lang w:val="zh-CN"/>
        </w:rPr>
        <w:t>施工期大气污染物主要为施工扬尘和施工机具排放的尾气，采取洒水降尘、密闭运输、使用尾气排放达标的机械等措施，减轻对环境的影响。运营期以电为能源开采盐岩，钻井场、管线正常工况下均无生产性废气排放。不新增劳动定员，依托生产中心现有食堂，食堂油烟经净化后达标排放。</w:t>
      </w:r>
    </w:p>
    <w:p w:rsidR="008038E4" w:rsidRPr="008038E4" w:rsidRDefault="008038E4" w:rsidP="008038E4">
      <w:pPr>
        <w:adjustRightInd w:val="0"/>
        <w:snapToGrid w:val="0"/>
        <w:spacing w:line="560" w:lineRule="exact"/>
        <w:ind w:firstLineChars="200" w:firstLine="643"/>
        <w:rPr>
          <w:rFonts w:eastAsia="方正仿宋_GBK" w:hint="eastAsia"/>
          <w:b/>
          <w:bCs/>
          <w:sz w:val="32"/>
          <w:szCs w:val="32"/>
          <w:lang w:val="zh-CN"/>
        </w:rPr>
      </w:pPr>
      <w:r w:rsidRPr="008038E4">
        <w:rPr>
          <w:rFonts w:eastAsia="方正仿宋_GBK" w:hint="eastAsia"/>
          <w:b/>
          <w:bCs/>
          <w:sz w:val="32"/>
          <w:szCs w:val="32"/>
          <w:lang w:val="zh-CN"/>
        </w:rPr>
        <w:t>（三）严格落实水污染防治措施。</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rPr>
        <w:t>1</w:t>
      </w:r>
      <w:r w:rsidRPr="008038E4">
        <w:rPr>
          <w:rFonts w:eastAsia="方正仿宋_GBK" w:hint="eastAsia"/>
          <w:b/>
          <w:bCs/>
          <w:sz w:val="32"/>
          <w:szCs w:val="32"/>
        </w:rPr>
        <w:t>、</w:t>
      </w:r>
      <w:r w:rsidRPr="008038E4">
        <w:rPr>
          <w:rFonts w:eastAsia="方正仿宋_GBK" w:hint="eastAsia"/>
          <w:b/>
          <w:bCs/>
          <w:sz w:val="32"/>
          <w:szCs w:val="32"/>
          <w:lang w:val="zh-CN"/>
        </w:rPr>
        <w:t>地表水环境影响。</w:t>
      </w:r>
      <w:r w:rsidRPr="008038E4">
        <w:rPr>
          <w:rFonts w:eastAsia="方正仿宋_GBK" w:hint="eastAsia"/>
          <w:sz w:val="32"/>
          <w:szCs w:val="32"/>
          <w:lang w:val="zh-CN"/>
        </w:rPr>
        <w:t>施工场地废水经隔油沉淀后回用于施工场地、道路的洒水抑尘；钻井场地四周设截排水沟及</w:t>
      </w:r>
      <w:r w:rsidRPr="008038E4">
        <w:rPr>
          <w:rFonts w:eastAsia="方正仿宋_GBK" w:hint="eastAsia"/>
          <w:sz w:val="32"/>
          <w:szCs w:val="32"/>
          <w:lang w:val="zh-CN"/>
        </w:rPr>
        <w:t>1000</w:t>
      </w:r>
      <w:r w:rsidRPr="008038E4">
        <w:rPr>
          <w:rFonts w:eastAsia="方正仿宋_GBK" w:hint="eastAsia"/>
          <w:sz w:val="32"/>
          <w:szCs w:val="32"/>
          <w:lang w:val="zh-CN"/>
        </w:rPr>
        <w:t>立方米污水池</w:t>
      </w:r>
      <w:r w:rsidRPr="008038E4">
        <w:rPr>
          <w:rFonts w:eastAsia="方正仿宋_GBK" w:hint="eastAsia"/>
          <w:sz w:val="32"/>
          <w:szCs w:val="32"/>
          <w:lang w:val="zh-CN"/>
        </w:rPr>
        <w:t>1</w:t>
      </w:r>
      <w:r w:rsidRPr="008038E4">
        <w:rPr>
          <w:rFonts w:eastAsia="方正仿宋_GBK" w:hint="eastAsia"/>
          <w:sz w:val="32"/>
          <w:szCs w:val="32"/>
          <w:lang w:val="zh-CN"/>
        </w:rPr>
        <w:t>座，场外雨水沿截排水沟导流至附近河沟排放，废钻井液（水基）、洗井废水及场内雨水经污水池预处理后回注于井下。管道试压采用清水，废水回注于井下。施工人员生活污水依托现有居民生活污水设施处理。运营期生产废水为现有生产中心泵房水泵漏失卤水和地面冲洗水，依托现有隔油池沉淀池收集处理后回用于生产。项目不新增生活污水和食堂废水。</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rPr>
        <w:t>2</w:t>
      </w:r>
      <w:r w:rsidRPr="008038E4">
        <w:rPr>
          <w:rFonts w:eastAsia="方正仿宋_GBK" w:hint="eastAsia"/>
          <w:b/>
          <w:bCs/>
          <w:sz w:val="32"/>
          <w:szCs w:val="32"/>
        </w:rPr>
        <w:t>、</w:t>
      </w:r>
      <w:r w:rsidRPr="008038E4">
        <w:rPr>
          <w:rFonts w:eastAsia="方正仿宋_GBK" w:hint="eastAsia"/>
          <w:b/>
          <w:bCs/>
          <w:sz w:val="32"/>
          <w:szCs w:val="32"/>
          <w:lang w:val="zh-CN"/>
        </w:rPr>
        <w:t>地下水环境影响。</w:t>
      </w:r>
      <w:r w:rsidRPr="008038E4">
        <w:rPr>
          <w:rFonts w:eastAsia="方正仿宋_GBK" w:hint="eastAsia"/>
          <w:sz w:val="32"/>
          <w:szCs w:val="32"/>
          <w:lang w:val="zh-CN"/>
        </w:rPr>
        <w:t>施工期选用清水和水基钻井液（非聚磺系），采用全井段套管保护</w:t>
      </w:r>
      <w:r w:rsidRPr="008038E4">
        <w:rPr>
          <w:rFonts w:eastAsia="方正仿宋_GBK" w:hint="eastAsia"/>
          <w:sz w:val="32"/>
          <w:szCs w:val="32"/>
          <w:lang w:val="zh-CN"/>
        </w:rPr>
        <w:t>+</w:t>
      </w:r>
      <w:r w:rsidRPr="008038E4">
        <w:rPr>
          <w:rFonts w:eastAsia="方正仿宋_GBK" w:hint="eastAsia"/>
          <w:sz w:val="32"/>
          <w:szCs w:val="32"/>
          <w:lang w:val="zh-CN"/>
        </w:rPr>
        <w:t>水泥返空固井工艺；钻井场地全时段储备重泥浆和井下堵漏剂，一旦发生漏失及时封堵。钻井场地</w:t>
      </w:r>
      <w:r w:rsidRPr="008038E4">
        <w:rPr>
          <w:rFonts w:eastAsia="方正仿宋_GBK" w:hint="eastAsia"/>
          <w:sz w:val="32"/>
          <w:szCs w:val="32"/>
          <w:lang w:val="zh-CN"/>
        </w:rPr>
        <w:lastRenderedPageBreak/>
        <w:t>污水池、危废暂存间、柴油发电机房采取重点防渗（等效黏土防渗层厚度大于</w:t>
      </w:r>
      <w:r w:rsidRPr="008038E4">
        <w:rPr>
          <w:rFonts w:eastAsia="方正仿宋_GBK" w:hint="eastAsia"/>
          <w:sz w:val="32"/>
          <w:szCs w:val="32"/>
          <w:lang w:val="zh-CN"/>
        </w:rPr>
        <w:t>6</w:t>
      </w:r>
      <w:r w:rsidRPr="008038E4">
        <w:rPr>
          <w:rFonts w:eastAsia="方正仿宋_GBK" w:hint="eastAsia"/>
          <w:sz w:val="32"/>
          <w:szCs w:val="32"/>
          <w:lang w:val="zh-CN"/>
        </w:rPr>
        <w:t>米，渗透系数小于等于</w:t>
      </w:r>
      <w:r w:rsidRPr="008038E4">
        <w:rPr>
          <w:rFonts w:eastAsia="方正仿宋_GBK" w:hint="eastAsia"/>
          <w:sz w:val="32"/>
          <w:szCs w:val="32"/>
          <w:lang w:val="zh-CN"/>
        </w:rPr>
        <w:t>1.0</w:t>
      </w:r>
      <w:r w:rsidRPr="008038E4">
        <w:rPr>
          <w:rFonts w:eastAsia="方正仿宋_GBK" w:hint="eastAsia"/>
          <w:sz w:val="32"/>
          <w:szCs w:val="32"/>
          <w:lang w:val="zh-CN"/>
        </w:rPr>
        <w:t>×</w:t>
      </w:r>
      <w:r w:rsidRPr="008038E4">
        <w:rPr>
          <w:rFonts w:eastAsia="方正仿宋_GBK" w:hint="eastAsia"/>
          <w:sz w:val="32"/>
          <w:szCs w:val="32"/>
          <w:lang w:val="zh-CN"/>
        </w:rPr>
        <w:t>10</w:t>
      </w:r>
      <w:r w:rsidRPr="008038E4">
        <w:rPr>
          <w:rFonts w:eastAsia="方正仿宋_GBK" w:hint="eastAsia"/>
          <w:sz w:val="32"/>
          <w:szCs w:val="32"/>
          <w:vertAlign w:val="superscript"/>
          <w:lang w:val="zh-CN"/>
        </w:rPr>
        <w:t>-7</w:t>
      </w:r>
      <w:r w:rsidRPr="008038E4">
        <w:rPr>
          <w:rFonts w:eastAsia="方正仿宋_GBK" w:hint="eastAsia"/>
          <w:sz w:val="32"/>
          <w:szCs w:val="32"/>
          <w:lang w:val="zh-CN"/>
        </w:rPr>
        <w:t>厘米</w:t>
      </w:r>
      <w:r w:rsidRPr="008038E4">
        <w:rPr>
          <w:rFonts w:eastAsia="方正仿宋_GBK" w:hint="eastAsia"/>
          <w:sz w:val="32"/>
          <w:szCs w:val="32"/>
          <w:lang w:val="zh-CN"/>
        </w:rPr>
        <w:t>/</w:t>
      </w:r>
      <w:r w:rsidRPr="008038E4">
        <w:rPr>
          <w:rFonts w:eastAsia="方正仿宋_GBK" w:hint="eastAsia"/>
          <w:sz w:val="32"/>
          <w:szCs w:val="32"/>
          <w:lang w:val="zh-CN"/>
        </w:rPr>
        <w:t>秒）。</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（四）严格落实噪声污染防治措施。</w:t>
      </w:r>
      <w:r w:rsidRPr="008038E4">
        <w:rPr>
          <w:rFonts w:eastAsia="方正仿宋_GBK" w:hint="eastAsia"/>
          <w:sz w:val="32"/>
          <w:szCs w:val="32"/>
          <w:lang w:val="zh-CN"/>
        </w:rPr>
        <w:t>施工期尽可能选用低噪声设备，钻井设备采取减振、隔声措施，柴油发电机置于室内并采取减振措施；合理安排施工时间，高噪声设备避免夜间施工；因工艺要求或特殊需要必须夜间连续作业的，施工单位应完善相应环保手续，确保施工期噪声不扰民。运营期噪声源主要为生产中心输卤泵、取水泵房现有水泵等，选用低噪声设备，输卤泵置于生产中心泵房，取水泵设置在地下，确保运营期生产中心厂界噪声满足《工业企业厂界环境噪声排放标准》（</w:t>
      </w:r>
      <w:r w:rsidRPr="008038E4">
        <w:rPr>
          <w:rFonts w:eastAsia="方正仿宋_GBK" w:hint="eastAsia"/>
          <w:sz w:val="32"/>
          <w:szCs w:val="32"/>
          <w:lang w:val="zh-CN"/>
        </w:rPr>
        <w:t>GB12348-2008</w:t>
      </w:r>
      <w:r w:rsidRPr="008038E4">
        <w:rPr>
          <w:rFonts w:eastAsia="方正仿宋_GBK" w:hint="eastAsia"/>
          <w:sz w:val="32"/>
          <w:szCs w:val="32"/>
          <w:lang w:val="zh-CN"/>
        </w:rPr>
        <w:t>）</w:t>
      </w:r>
      <w:r w:rsidRPr="008038E4">
        <w:rPr>
          <w:rFonts w:eastAsia="方正仿宋_GBK" w:hint="eastAsia"/>
          <w:sz w:val="32"/>
          <w:szCs w:val="32"/>
          <w:lang w:val="zh-CN"/>
        </w:rPr>
        <w:t>2</w:t>
      </w:r>
      <w:r w:rsidRPr="008038E4">
        <w:rPr>
          <w:rFonts w:eastAsia="方正仿宋_GBK" w:hint="eastAsia"/>
          <w:sz w:val="32"/>
          <w:szCs w:val="32"/>
          <w:lang w:val="zh-CN"/>
        </w:rPr>
        <w:t>类标准要求，取水泵房厂界噪声满足《工业企业厂界环境噪声排放标准》（</w:t>
      </w:r>
      <w:r w:rsidRPr="008038E4">
        <w:rPr>
          <w:rFonts w:eastAsia="方正仿宋_GBK" w:hint="eastAsia"/>
          <w:sz w:val="32"/>
          <w:szCs w:val="32"/>
          <w:lang w:val="zh-CN"/>
        </w:rPr>
        <w:t>GB12348-2008</w:t>
      </w:r>
      <w:r w:rsidRPr="008038E4">
        <w:rPr>
          <w:rFonts w:eastAsia="方正仿宋_GBK" w:hint="eastAsia"/>
          <w:sz w:val="32"/>
          <w:szCs w:val="32"/>
          <w:lang w:val="zh-CN"/>
        </w:rPr>
        <w:t>）</w:t>
      </w:r>
      <w:r w:rsidRPr="008038E4">
        <w:rPr>
          <w:rFonts w:eastAsia="方正仿宋_GBK" w:hint="eastAsia"/>
          <w:sz w:val="32"/>
          <w:szCs w:val="32"/>
          <w:lang w:val="zh-CN"/>
        </w:rPr>
        <w:t>1</w:t>
      </w:r>
      <w:r w:rsidRPr="008038E4">
        <w:rPr>
          <w:rFonts w:eastAsia="方正仿宋_GBK" w:hint="eastAsia"/>
          <w:sz w:val="32"/>
          <w:szCs w:val="32"/>
          <w:lang w:val="zh-CN"/>
        </w:rPr>
        <w:t>类标准要求。声环境保护目标满足《声环境质量标准》（</w:t>
      </w:r>
      <w:r w:rsidRPr="008038E4">
        <w:rPr>
          <w:rFonts w:eastAsia="方正仿宋_GBK" w:hint="eastAsia"/>
          <w:sz w:val="32"/>
          <w:szCs w:val="32"/>
          <w:lang w:val="zh-CN"/>
        </w:rPr>
        <w:t>GB3095-2008</w:t>
      </w:r>
      <w:r w:rsidRPr="008038E4">
        <w:rPr>
          <w:rFonts w:eastAsia="方正仿宋_GBK" w:hint="eastAsia"/>
          <w:sz w:val="32"/>
          <w:szCs w:val="32"/>
          <w:lang w:val="zh-CN"/>
        </w:rPr>
        <w:t>）相应声环境功能区要求。</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（五）加强固体废物管理。</w:t>
      </w:r>
      <w:r w:rsidRPr="008038E4">
        <w:rPr>
          <w:rFonts w:eastAsia="方正仿宋_GBK" w:hint="eastAsia"/>
          <w:sz w:val="32"/>
          <w:szCs w:val="32"/>
          <w:lang w:val="zh-CN"/>
        </w:rPr>
        <w:t>施工期固体废物主要是废弃泥浆、废岩屑（钻屑）、废焊条、废管材、建筑垃圾、废油及油桶和施工人员生活垃圾。</w:t>
      </w:r>
      <w:r w:rsidRPr="008038E4">
        <w:rPr>
          <w:rFonts w:eastAsia="方正仿宋_GBK" w:hint="eastAsia"/>
          <w:sz w:val="32"/>
          <w:szCs w:val="32"/>
        </w:rPr>
        <w:t>项目</w:t>
      </w:r>
      <w:r w:rsidRPr="008038E4">
        <w:rPr>
          <w:rFonts w:eastAsia="方正仿宋_GBK" w:hint="eastAsia"/>
          <w:sz w:val="32"/>
          <w:szCs w:val="32"/>
          <w:lang w:val="zh-CN"/>
        </w:rPr>
        <w:t>设</w:t>
      </w:r>
      <w:r w:rsidRPr="008038E4">
        <w:rPr>
          <w:rFonts w:eastAsia="方正仿宋_GBK" w:hint="eastAsia"/>
          <w:sz w:val="32"/>
          <w:szCs w:val="32"/>
          <w:lang w:val="zh-CN"/>
        </w:rPr>
        <w:t>1</w:t>
      </w:r>
      <w:r w:rsidRPr="008038E4">
        <w:rPr>
          <w:rFonts w:eastAsia="方正仿宋_GBK" w:hint="eastAsia"/>
          <w:sz w:val="32"/>
          <w:szCs w:val="32"/>
          <w:lang w:val="zh-CN"/>
        </w:rPr>
        <w:t>套水基岩屑、泥浆不落地系统，废弃泥浆和废岩屑重复利用。建筑垃圾运至政府指定消纳场处理。废焊条、废管材经收集后外售废品回收站。废油桶暂存于钻井场地危废暂存间，定期交有资质单位处置。生活垃圾集中收集后定期交当地环卫部门处置。运营期固体废物主要为生产中心产生的废零件、废油桶、废手套等，不新增生活垃圾。废零件属一般工业固废，外售物资回收站处置，废油桶、废手套等危险废物定期交</w:t>
      </w:r>
      <w:r w:rsidRPr="008038E4">
        <w:rPr>
          <w:rFonts w:eastAsia="方正仿宋_GBK" w:hint="eastAsia"/>
          <w:sz w:val="32"/>
          <w:szCs w:val="32"/>
          <w:lang w:val="zh-CN"/>
        </w:rPr>
        <w:lastRenderedPageBreak/>
        <w:t>有相应资质单位处置。危险废物暂存及转移应按照《危险废物贮存污染控制标准》（</w:t>
      </w:r>
      <w:r w:rsidRPr="008038E4">
        <w:rPr>
          <w:rFonts w:eastAsia="方正仿宋_GBK" w:hint="eastAsia"/>
          <w:sz w:val="32"/>
          <w:szCs w:val="32"/>
          <w:lang w:val="zh-CN"/>
        </w:rPr>
        <w:t>GB18597-2001</w:t>
      </w:r>
      <w:r w:rsidRPr="008038E4">
        <w:rPr>
          <w:rFonts w:eastAsia="方正仿宋_GBK" w:hint="eastAsia"/>
          <w:sz w:val="32"/>
          <w:szCs w:val="32"/>
          <w:lang w:val="zh-CN"/>
        </w:rPr>
        <w:t>）、《危险废物转移管理办法》（生态环境部</w:t>
      </w:r>
      <w:r w:rsidRPr="008038E4">
        <w:rPr>
          <w:rFonts w:eastAsia="方正仿宋_GBK" w:hint="eastAsia"/>
          <w:sz w:val="32"/>
          <w:szCs w:val="32"/>
          <w:lang w:val="zh-CN"/>
        </w:rPr>
        <w:t xml:space="preserve"> </w:t>
      </w:r>
      <w:r w:rsidRPr="008038E4">
        <w:rPr>
          <w:rFonts w:eastAsia="方正仿宋_GBK" w:hint="eastAsia"/>
          <w:sz w:val="32"/>
          <w:szCs w:val="32"/>
          <w:lang w:val="zh-CN"/>
        </w:rPr>
        <w:t>公安部</w:t>
      </w:r>
      <w:r w:rsidRPr="008038E4">
        <w:rPr>
          <w:rFonts w:eastAsia="方正仿宋_GBK" w:hint="eastAsia"/>
          <w:sz w:val="32"/>
          <w:szCs w:val="32"/>
          <w:lang w:val="zh-CN"/>
        </w:rPr>
        <w:t xml:space="preserve"> </w:t>
      </w:r>
      <w:r w:rsidRPr="008038E4">
        <w:rPr>
          <w:rFonts w:eastAsia="方正仿宋_GBK" w:hint="eastAsia"/>
          <w:sz w:val="32"/>
          <w:szCs w:val="32"/>
          <w:lang w:val="zh-CN"/>
        </w:rPr>
        <w:t>交通运输部</w:t>
      </w:r>
      <w:r w:rsidRPr="008038E4">
        <w:rPr>
          <w:rFonts w:eastAsia="方正仿宋_GBK" w:hint="eastAsia"/>
          <w:sz w:val="32"/>
          <w:szCs w:val="32"/>
          <w:lang w:val="zh-CN"/>
        </w:rPr>
        <w:t xml:space="preserve"> </w:t>
      </w:r>
      <w:r w:rsidRPr="008038E4">
        <w:rPr>
          <w:rFonts w:eastAsia="方正仿宋_GBK" w:hint="eastAsia"/>
          <w:sz w:val="32"/>
          <w:szCs w:val="32"/>
          <w:lang w:val="zh-CN"/>
        </w:rPr>
        <w:t>部令</w:t>
      </w:r>
      <w:r w:rsidRPr="008038E4">
        <w:rPr>
          <w:rFonts w:eastAsia="方正仿宋_GBK" w:hint="eastAsia"/>
          <w:sz w:val="32"/>
          <w:szCs w:val="32"/>
          <w:lang w:val="zh-CN"/>
        </w:rPr>
        <w:t xml:space="preserve"> </w:t>
      </w:r>
      <w:r w:rsidRPr="008038E4">
        <w:rPr>
          <w:rFonts w:eastAsia="方正仿宋_GBK" w:hint="eastAsia"/>
          <w:sz w:val="32"/>
          <w:szCs w:val="32"/>
          <w:lang w:val="zh-CN"/>
        </w:rPr>
        <w:t>第</w:t>
      </w:r>
      <w:r w:rsidRPr="008038E4">
        <w:rPr>
          <w:rFonts w:eastAsia="方正仿宋_GBK" w:hint="eastAsia"/>
          <w:sz w:val="32"/>
          <w:szCs w:val="32"/>
          <w:lang w:val="zh-CN"/>
        </w:rPr>
        <w:t>23</w:t>
      </w:r>
      <w:r w:rsidRPr="008038E4">
        <w:rPr>
          <w:rFonts w:eastAsia="方正仿宋_GBK" w:hint="eastAsia"/>
          <w:sz w:val="32"/>
          <w:szCs w:val="32"/>
          <w:lang w:val="zh-CN"/>
        </w:rPr>
        <w:t>号）等相关要求执行，</w:t>
      </w:r>
      <w:r w:rsidRPr="008038E4">
        <w:rPr>
          <w:rFonts w:eastAsia="方正仿宋_GBK" w:hint="eastAsia"/>
          <w:sz w:val="32"/>
          <w:szCs w:val="32"/>
        </w:rPr>
        <w:t>并规范设置危废暂存间。</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（六）严格落实土壤污染防治措施。</w:t>
      </w:r>
      <w:r w:rsidRPr="008038E4">
        <w:rPr>
          <w:rFonts w:eastAsia="方正仿宋_GBK" w:hint="eastAsia"/>
          <w:sz w:val="32"/>
          <w:szCs w:val="32"/>
          <w:lang w:val="zh-CN"/>
        </w:rPr>
        <w:t>通过落实防腐防渗措施，强化雨水截流、导排的措施，有效防控污染物入渗和地面漫流，避免土壤盐碱化，减轻项目对土壤环境的影响。</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（七）严格落实闭井期环境保护措施。</w:t>
      </w:r>
      <w:r w:rsidRPr="008038E4">
        <w:rPr>
          <w:rFonts w:eastAsia="方正仿宋_GBK" w:hint="eastAsia"/>
          <w:sz w:val="32"/>
          <w:szCs w:val="32"/>
          <w:lang w:val="zh-CN"/>
        </w:rPr>
        <w:t>项目闭井后，应对钻井场地建筑进行拆除、清理，及时进行覆土绿化；对岩盐采空后形成的溶腔，应及时注水，尽可能避免地表沉降；做好地表沉降监测工作，发现问题及时采取补救措施。</w:t>
      </w:r>
    </w:p>
    <w:p w:rsidR="008038E4" w:rsidRPr="008038E4" w:rsidRDefault="008038E4" w:rsidP="008038E4">
      <w:pPr>
        <w:adjustRightInd w:val="0"/>
        <w:snapToGrid w:val="0"/>
        <w:spacing w:line="560" w:lineRule="exact"/>
        <w:ind w:firstLineChars="200" w:firstLine="643"/>
        <w:rPr>
          <w:rFonts w:eastAsia="方正仿宋_GBK" w:hint="eastAsia"/>
          <w:sz w:val="32"/>
          <w:szCs w:val="32"/>
          <w:lang w:val="zh-CN"/>
        </w:rPr>
      </w:pPr>
      <w:r w:rsidRPr="008038E4">
        <w:rPr>
          <w:rFonts w:eastAsia="方正仿宋_GBK" w:hint="eastAsia"/>
          <w:b/>
          <w:bCs/>
          <w:sz w:val="32"/>
          <w:szCs w:val="32"/>
          <w:lang w:val="zh-CN"/>
        </w:rPr>
        <w:t>（八）严格落实环境风险防范措施。</w:t>
      </w:r>
      <w:r w:rsidRPr="008038E4">
        <w:rPr>
          <w:rFonts w:eastAsia="方正仿宋_GBK" w:hint="eastAsia"/>
          <w:sz w:val="32"/>
          <w:szCs w:val="32"/>
          <w:lang w:val="zh-CN"/>
        </w:rPr>
        <w:t>项目环境风险主要为卤水、钻井液及柴油泄漏引发的环境风险事故。钻井场区域设置截流沟、截止阀等泄漏物收集设施，建立泄漏应急处置预案。运营期采集卤管线加强维护，定期清管，减轻管道内腐蚀；定期检查管道截断阀等应急设施；在河流穿越点设置醒目标识；临时储油设施采取双层罐，并置于围堰内，配置吸油毡等应急物资。编制环境风险防范应急预案并向环境保护主管部门备案，加强运营期巡检，定期开展应急演练。</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t>（九）建立健全相应的环境保护管理机构和制度，加强环境管理与环境监测工作，并根据运营期的实际情况，进一步完善环境保护措施。</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lastRenderedPageBreak/>
        <w:t>三、项目建设必须严格执行环境保护设施与主体工程同时设计、同时施工、同时投入使用的环境保护“三同时”制度。项目环保投资应纳入工程投资概算并予以落实。项目投入运行前，应依据有关规定取得排污许可，不得无证排污或不按证排污。项目竣工后，你单位应按照有关规定</w:t>
      </w:r>
      <w:r w:rsidRPr="008038E4">
        <w:rPr>
          <w:rFonts w:eastAsia="方正仿宋_GBK" w:hint="eastAsia"/>
          <w:sz w:val="32"/>
          <w:szCs w:val="32"/>
        </w:rPr>
        <w:t>开展竣工环境保护验收调查</w:t>
      </w:r>
      <w:r w:rsidRPr="008038E4">
        <w:rPr>
          <w:rFonts w:eastAsia="方正仿宋_GBK" w:hint="eastAsia"/>
          <w:sz w:val="32"/>
          <w:szCs w:val="32"/>
          <w:lang w:val="zh-CN"/>
        </w:rPr>
        <w:t>，编制验收</w:t>
      </w:r>
      <w:r w:rsidRPr="008038E4">
        <w:rPr>
          <w:rFonts w:eastAsia="方正仿宋_GBK" w:hint="eastAsia"/>
          <w:sz w:val="32"/>
          <w:szCs w:val="32"/>
        </w:rPr>
        <w:t>调查</w:t>
      </w:r>
      <w:r w:rsidRPr="008038E4">
        <w:rPr>
          <w:rFonts w:eastAsia="方正仿宋_GBK" w:hint="eastAsia"/>
          <w:sz w:val="32"/>
          <w:szCs w:val="32"/>
          <w:lang w:val="zh-CN"/>
        </w:rPr>
        <w:t>报告并依法向社会公开验收报告，公示期满</w:t>
      </w:r>
      <w:r w:rsidRPr="008038E4">
        <w:rPr>
          <w:rFonts w:eastAsia="方正仿宋_GBK" w:hint="eastAsia"/>
          <w:sz w:val="32"/>
          <w:szCs w:val="32"/>
          <w:lang w:val="zh-CN"/>
        </w:rPr>
        <w:t>5</w:t>
      </w:r>
      <w:r w:rsidRPr="008038E4">
        <w:rPr>
          <w:rFonts w:eastAsia="方正仿宋_GBK" w:hint="eastAsia"/>
          <w:sz w:val="32"/>
          <w:szCs w:val="32"/>
          <w:lang w:val="zh-CN"/>
        </w:rPr>
        <w:t>个工作日内，应登录全国建设项目竣工环境保护验收信息平台，填报验收等相关信息。</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t>四、若项目的性质、规模、地点、采用的生产工艺或者防治污染措施发生重大变动的，应依法重新报批项目环境影响评价文件。自批准之日起超过</w:t>
      </w:r>
      <w:r w:rsidRPr="008038E4">
        <w:rPr>
          <w:rFonts w:eastAsia="方正仿宋_GBK" w:hint="eastAsia"/>
          <w:sz w:val="32"/>
          <w:szCs w:val="32"/>
          <w:lang w:val="zh-CN"/>
        </w:rPr>
        <w:t>5</w:t>
      </w:r>
      <w:r w:rsidRPr="008038E4">
        <w:rPr>
          <w:rFonts w:eastAsia="方正仿宋_GBK" w:hint="eastAsia"/>
          <w:sz w:val="32"/>
          <w:szCs w:val="32"/>
          <w:lang w:val="zh-CN"/>
        </w:rPr>
        <w:t>年该项目方开工建设的，其环评文件应当报我局重新审核。</w:t>
      </w:r>
    </w:p>
    <w:p w:rsidR="008038E4" w:rsidRPr="008038E4" w:rsidRDefault="008038E4" w:rsidP="008038E4">
      <w:pPr>
        <w:adjustRightInd w:val="0"/>
        <w:snapToGrid w:val="0"/>
        <w:spacing w:line="560" w:lineRule="exact"/>
        <w:ind w:firstLineChars="200" w:firstLine="640"/>
        <w:rPr>
          <w:rFonts w:eastAsia="方正仿宋_GBK" w:hint="eastAsia"/>
          <w:sz w:val="32"/>
          <w:szCs w:val="32"/>
          <w:lang w:val="zh-CN"/>
        </w:rPr>
      </w:pPr>
      <w:r w:rsidRPr="008038E4">
        <w:rPr>
          <w:rFonts w:eastAsia="方正仿宋_GBK" w:hint="eastAsia"/>
          <w:sz w:val="32"/>
          <w:szCs w:val="32"/>
          <w:lang w:val="zh-CN"/>
        </w:rPr>
        <w:t>五、按《环境影响评价法》和原环保部《建设项目环境影响后评价管理办法（试行）》相关要求，建设单位应适时开展环境影响后评价并报我局备案。</w:t>
      </w:r>
    </w:p>
    <w:p w:rsidR="008038E4" w:rsidRPr="008038E4" w:rsidRDefault="008038E4" w:rsidP="008038E4">
      <w:pPr>
        <w:adjustRightInd w:val="0"/>
        <w:snapToGrid w:val="0"/>
        <w:spacing w:line="560" w:lineRule="exact"/>
        <w:ind w:firstLineChars="200" w:firstLine="640"/>
        <w:rPr>
          <w:rFonts w:eastAsia="方正仿宋_GBK"/>
          <w:sz w:val="32"/>
          <w:szCs w:val="32"/>
        </w:rPr>
      </w:pPr>
      <w:r w:rsidRPr="008038E4">
        <w:rPr>
          <w:rFonts w:eastAsia="方正仿宋_GBK" w:hint="eastAsia"/>
          <w:sz w:val="32"/>
          <w:szCs w:val="32"/>
          <w:lang w:val="zh-CN"/>
        </w:rPr>
        <w:t>六、项目按规定接受长寿区生态环境保护综合行政执法支队的环保日常监管。</w:t>
      </w:r>
    </w:p>
    <w:p w:rsidR="008038E4" w:rsidRPr="008038E4" w:rsidRDefault="008038E4" w:rsidP="008038E4">
      <w:pPr>
        <w:pStyle w:val="a3"/>
        <w:wordWrap w:val="0"/>
        <w:adjustRightInd w:val="0"/>
        <w:spacing w:line="560" w:lineRule="exact"/>
        <w:ind w:firstLineChars="150" w:firstLine="480"/>
        <w:jc w:val="right"/>
        <w:rPr>
          <w:rFonts w:ascii="Times New Roman" w:eastAsia="方正仿宋_GBK" w:hAnsi="Times New Roman"/>
          <w:bCs/>
          <w:sz w:val="32"/>
          <w:szCs w:val="32"/>
        </w:rPr>
      </w:pPr>
      <w:r w:rsidRPr="008038E4">
        <w:rPr>
          <w:rFonts w:ascii="Times New Roman" w:eastAsia="方正仿宋_GBK" w:hAnsi="Times New Roman"/>
          <w:sz w:val="32"/>
          <w:szCs w:val="32"/>
        </w:rPr>
        <w:t xml:space="preserve">       </w:t>
      </w:r>
      <w:r w:rsidRPr="008038E4">
        <w:rPr>
          <w:rFonts w:ascii="Times New Roman" w:eastAsia="方正仿宋_GBK" w:hAnsi="Times New Roman" w:hint="eastAsia"/>
          <w:bCs/>
          <w:sz w:val="32"/>
          <w:szCs w:val="32"/>
        </w:rPr>
        <w:t xml:space="preserve">                      </w:t>
      </w:r>
    </w:p>
    <w:p w:rsidR="008038E4" w:rsidRPr="008038E4" w:rsidRDefault="008038E4" w:rsidP="008038E4">
      <w:pPr>
        <w:wordWrap w:val="0"/>
        <w:spacing w:line="540" w:lineRule="exact"/>
        <w:ind w:left="210" w:right="323" w:firstLine="646"/>
        <w:jc w:val="right"/>
        <w:rPr>
          <w:rFonts w:eastAsia="方正仿宋_GBK"/>
          <w:bCs/>
          <w:sz w:val="32"/>
        </w:rPr>
      </w:pPr>
      <w:r>
        <w:rPr>
          <w:rFonts w:eastAsia="方正仿宋_GBK"/>
          <w:bCs/>
          <w:sz w:val="32"/>
        </w:rPr>
        <w:t>重庆市长寿区生态环境局</w:t>
      </w:r>
      <w:r>
        <w:rPr>
          <w:rFonts w:eastAsia="方正仿宋_GBK" w:hint="eastAsia"/>
          <w:bCs/>
          <w:sz w:val="32"/>
        </w:rPr>
        <w:t xml:space="preserve">   </w:t>
      </w:r>
    </w:p>
    <w:p w:rsidR="008038E4" w:rsidRPr="008038E4" w:rsidRDefault="008038E4" w:rsidP="008038E4">
      <w:pPr>
        <w:wordWrap w:val="0"/>
        <w:spacing w:line="540" w:lineRule="exact"/>
        <w:ind w:left="210" w:right="323" w:firstLine="646"/>
        <w:jc w:val="right"/>
        <w:rPr>
          <w:rFonts w:eastAsia="方正仿宋_GBK"/>
          <w:bCs/>
          <w:sz w:val="32"/>
        </w:rPr>
      </w:pPr>
      <w:r w:rsidRPr="008038E4">
        <w:rPr>
          <w:rFonts w:eastAsia="方正仿宋_GBK" w:hint="eastAsia"/>
          <w:bCs/>
          <w:sz w:val="32"/>
        </w:rPr>
        <w:t xml:space="preserve">   </w:t>
      </w:r>
      <w:bookmarkStart w:id="2" w:name="timeDate"/>
      <w:r w:rsidRPr="008038E4">
        <w:rPr>
          <w:rFonts w:eastAsia="方正仿宋_GBK" w:hint="eastAsia"/>
          <w:bCs/>
          <w:sz w:val="32"/>
        </w:rPr>
        <w:t>2023</w:t>
      </w:r>
      <w:r w:rsidRPr="008038E4">
        <w:rPr>
          <w:rFonts w:eastAsia="方正仿宋_GBK" w:hint="eastAsia"/>
          <w:bCs/>
          <w:sz w:val="32"/>
        </w:rPr>
        <w:t>年</w:t>
      </w:r>
      <w:r w:rsidRPr="008038E4">
        <w:rPr>
          <w:rFonts w:eastAsia="方正仿宋_GBK" w:hint="eastAsia"/>
          <w:bCs/>
          <w:sz w:val="32"/>
        </w:rPr>
        <w:t>3</w:t>
      </w:r>
      <w:r w:rsidRPr="008038E4">
        <w:rPr>
          <w:rFonts w:eastAsia="方正仿宋_GBK" w:hint="eastAsia"/>
          <w:bCs/>
          <w:sz w:val="32"/>
        </w:rPr>
        <w:t>月</w:t>
      </w:r>
      <w:r w:rsidRPr="008038E4">
        <w:rPr>
          <w:rFonts w:eastAsia="方正仿宋_GBK" w:hint="eastAsia"/>
          <w:bCs/>
          <w:sz w:val="32"/>
        </w:rPr>
        <w:t>8</w:t>
      </w:r>
      <w:r w:rsidRPr="008038E4">
        <w:rPr>
          <w:rFonts w:eastAsia="方正仿宋_GBK" w:hint="eastAsia"/>
          <w:bCs/>
          <w:sz w:val="32"/>
        </w:rPr>
        <w:t>日</w:t>
      </w:r>
      <w:bookmarkEnd w:id="2"/>
      <w:r w:rsidRPr="008038E4">
        <w:rPr>
          <w:rFonts w:eastAsia="方正仿宋_GBK" w:hint="eastAsia"/>
          <w:bCs/>
          <w:sz w:val="32"/>
        </w:rPr>
        <w:t xml:space="preserve">   </w:t>
      </w:r>
      <w:r>
        <w:rPr>
          <w:rFonts w:eastAsia="方正仿宋_GBK" w:hint="eastAsia"/>
          <w:bCs/>
          <w:sz w:val="32"/>
        </w:rPr>
        <w:t xml:space="preserve">    </w:t>
      </w:r>
    </w:p>
    <w:p w:rsidR="008038E4" w:rsidRPr="008038E4" w:rsidRDefault="008038E4" w:rsidP="008038E4">
      <w:pPr>
        <w:spacing w:line="600" w:lineRule="exact"/>
        <w:rPr>
          <w:rFonts w:eastAsia="方正仿宋_GBK"/>
          <w:sz w:val="32"/>
          <w:szCs w:val="32"/>
        </w:rPr>
      </w:pPr>
    </w:p>
    <w:p w:rsidR="00FB5653" w:rsidRPr="008038E4" w:rsidRDefault="008038E4" w:rsidP="008038E4">
      <w:pPr>
        <w:spacing w:line="800" w:lineRule="exact"/>
      </w:pPr>
      <w:r w:rsidRPr="008038E4">
        <w:rPr>
          <w:rFonts w:eastAsia="方正仿宋_GBK" w:hint="eastAsia"/>
          <w:sz w:val="28"/>
          <w:szCs w:val="28"/>
        </w:rPr>
        <w:t>抄送：</w:t>
      </w:r>
      <w:r w:rsidRPr="008038E4">
        <w:rPr>
          <w:rFonts w:eastAsia="方正仿宋_GBK"/>
          <w:sz w:val="28"/>
          <w:szCs w:val="28"/>
        </w:rPr>
        <w:t>区生态环境保护综合行政执法支队</w:t>
      </w:r>
      <w:r>
        <w:rPr>
          <w:rFonts w:eastAsia="方正仿宋_GBK"/>
          <w:sz w:val="28"/>
          <w:szCs w:val="28"/>
        </w:rPr>
        <w:t>。</w:t>
      </w:r>
    </w:p>
    <w:sectPr w:rsidR="00FB5653" w:rsidRPr="008038E4" w:rsidSect="008038E4">
      <w:footerReference w:type="even" r:id="rId6"/>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D2" w:rsidRDefault="00F02DD2" w:rsidP="008038E4">
      <w:r>
        <w:separator/>
      </w:r>
    </w:p>
  </w:endnote>
  <w:endnote w:type="continuationSeparator" w:id="1">
    <w:p w:rsidR="00F02DD2" w:rsidRDefault="00F02DD2" w:rsidP="00803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E4" w:rsidRDefault="008038E4" w:rsidP="001F26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38E4" w:rsidRDefault="008038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E4" w:rsidRDefault="008038E4" w:rsidP="001F26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038E4" w:rsidRDefault="008038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D2" w:rsidRDefault="00F02DD2" w:rsidP="008038E4">
      <w:r>
        <w:separator/>
      </w:r>
    </w:p>
  </w:footnote>
  <w:footnote w:type="continuationSeparator" w:id="1">
    <w:p w:rsidR="00F02DD2" w:rsidRDefault="00F02DD2" w:rsidP="00803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8E4"/>
    <w:rsid w:val="00173F42"/>
    <w:rsid w:val="001C585C"/>
    <w:rsid w:val="001D74F0"/>
    <w:rsid w:val="00281DA2"/>
    <w:rsid w:val="00282303"/>
    <w:rsid w:val="004508FC"/>
    <w:rsid w:val="004A0B9E"/>
    <w:rsid w:val="004E5A62"/>
    <w:rsid w:val="005406D4"/>
    <w:rsid w:val="00543117"/>
    <w:rsid w:val="007B25CC"/>
    <w:rsid w:val="008038E4"/>
    <w:rsid w:val="00855D9E"/>
    <w:rsid w:val="008B30BC"/>
    <w:rsid w:val="00A76360"/>
    <w:rsid w:val="00B36D54"/>
    <w:rsid w:val="00C11F82"/>
    <w:rsid w:val="00C224E6"/>
    <w:rsid w:val="00CF4887"/>
    <w:rsid w:val="00E56B90"/>
    <w:rsid w:val="00E622EA"/>
    <w:rsid w:val="00EB6D52"/>
    <w:rsid w:val="00F02DD2"/>
    <w:rsid w:val="00F479C8"/>
    <w:rsid w:val="00F75A10"/>
    <w:rsid w:val="00FB5653"/>
    <w:rsid w:val="00FF7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E4"/>
    <w:pPr>
      <w:widowControl w:val="0"/>
      <w:spacing w:line="240" w:lineRule="auto"/>
      <w:jc w:val="both"/>
    </w:pPr>
    <w:rPr>
      <w:rFonts w:eastAsia="宋体" w:cs="Times New Roman"/>
      <w:sz w:val="21"/>
      <w:szCs w:val="24"/>
    </w:rPr>
  </w:style>
  <w:style w:type="paragraph" w:styleId="1">
    <w:name w:val="heading 1"/>
    <w:basedOn w:val="a"/>
    <w:next w:val="a"/>
    <w:link w:val="1Char"/>
    <w:qFormat/>
    <w:rsid w:val="008038E4"/>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38E4"/>
    <w:rPr>
      <w:rFonts w:ascii="仿宋_GB2312" w:eastAsia="仿宋_GB2312" w:cs="Times New Roman"/>
      <w:b/>
      <w:color w:val="000000"/>
      <w:sz w:val="24"/>
      <w:szCs w:val="24"/>
    </w:rPr>
  </w:style>
  <w:style w:type="character" w:customStyle="1" w:styleId="tbChar">
    <w:name w:val="tb Char"/>
    <w:link w:val="tb"/>
    <w:rsid w:val="008038E4"/>
    <w:rPr>
      <w:rFonts w:ascii="宋体" w:eastAsia="宋体" w:hAnsi="Arial"/>
      <w:sz w:val="24"/>
    </w:rPr>
  </w:style>
  <w:style w:type="paragraph" w:styleId="a3">
    <w:name w:val="Body Text Indent"/>
    <w:basedOn w:val="a"/>
    <w:link w:val="Char"/>
    <w:rsid w:val="008038E4"/>
    <w:pPr>
      <w:spacing w:after="120"/>
      <w:ind w:leftChars="200" w:left="420"/>
    </w:pPr>
    <w:rPr>
      <w:rFonts w:ascii="Calibri" w:hAnsi="Calibri"/>
    </w:rPr>
  </w:style>
  <w:style w:type="character" w:customStyle="1" w:styleId="Char">
    <w:name w:val="正文文本缩进 Char"/>
    <w:basedOn w:val="a0"/>
    <w:link w:val="a3"/>
    <w:rsid w:val="008038E4"/>
    <w:rPr>
      <w:rFonts w:ascii="Calibri" w:eastAsia="宋体" w:hAnsi="Calibri" w:cs="Times New Roman"/>
      <w:sz w:val="21"/>
      <w:szCs w:val="24"/>
    </w:rPr>
  </w:style>
  <w:style w:type="paragraph" w:customStyle="1" w:styleId="2CharCharCharCharCharCharChar">
    <w:name w:val="样式 正文缩进正文缩进2正文缩进 Char Char正文缩进 Char Char Char Char正文缩进 Char ..."/>
    <w:basedOn w:val="a4"/>
    <w:qFormat/>
    <w:rsid w:val="008038E4"/>
    <w:pPr>
      <w:spacing w:line="360" w:lineRule="auto"/>
      <w:ind w:firstLine="200"/>
    </w:pPr>
    <w:rPr>
      <w:rFonts w:cs="宋体"/>
      <w:sz w:val="24"/>
      <w:szCs w:val="20"/>
    </w:rPr>
  </w:style>
  <w:style w:type="paragraph" w:customStyle="1" w:styleId="tb">
    <w:name w:val="tb"/>
    <w:basedOn w:val="a"/>
    <w:link w:val="tbChar"/>
    <w:qFormat/>
    <w:rsid w:val="008038E4"/>
    <w:pPr>
      <w:spacing w:line="400" w:lineRule="atLeast"/>
    </w:pPr>
    <w:rPr>
      <w:rFonts w:ascii="宋体" w:hAnsi="Arial" w:cstheme="minorBidi"/>
      <w:sz w:val="24"/>
      <w:szCs w:val="22"/>
    </w:rPr>
  </w:style>
  <w:style w:type="paragraph" w:styleId="a5">
    <w:name w:val="Body Text"/>
    <w:basedOn w:val="a"/>
    <w:link w:val="Char0"/>
    <w:rsid w:val="008038E4"/>
    <w:pPr>
      <w:widowControl/>
      <w:jc w:val="left"/>
    </w:pPr>
    <w:rPr>
      <w:kern w:val="0"/>
      <w:sz w:val="32"/>
      <w:szCs w:val="20"/>
    </w:rPr>
  </w:style>
  <w:style w:type="character" w:customStyle="1" w:styleId="Char0">
    <w:name w:val="正文文本 Char"/>
    <w:basedOn w:val="a0"/>
    <w:link w:val="a5"/>
    <w:rsid w:val="008038E4"/>
    <w:rPr>
      <w:rFonts w:eastAsia="宋体" w:cs="Times New Roman"/>
      <w:kern w:val="0"/>
      <w:szCs w:val="20"/>
    </w:rPr>
  </w:style>
  <w:style w:type="paragraph" w:styleId="a4">
    <w:name w:val="Normal Indent"/>
    <w:basedOn w:val="a"/>
    <w:uiPriority w:val="99"/>
    <w:semiHidden/>
    <w:unhideWhenUsed/>
    <w:rsid w:val="008038E4"/>
    <w:pPr>
      <w:ind w:firstLineChars="200" w:firstLine="420"/>
    </w:pPr>
  </w:style>
  <w:style w:type="paragraph" w:styleId="a6">
    <w:name w:val="footer"/>
    <w:basedOn w:val="a"/>
    <w:link w:val="Char1"/>
    <w:uiPriority w:val="99"/>
    <w:semiHidden/>
    <w:unhideWhenUsed/>
    <w:rsid w:val="008038E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038E4"/>
    <w:rPr>
      <w:rFonts w:eastAsia="宋体" w:cs="Times New Roman"/>
      <w:sz w:val="18"/>
      <w:szCs w:val="18"/>
    </w:rPr>
  </w:style>
  <w:style w:type="character" w:styleId="a7">
    <w:name w:val="page number"/>
    <w:basedOn w:val="a0"/>
    <w:uiPriority w:val="99"/>
    <w:semiHidden/>
    <w:unhideWhenUsed/>
    <w:rsid w:val="008038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LYL</cp:lastModifiedBy>
  <cp:revision>1</cp:revision>
  <dcterms:created xsi:type="dcterms:W3CDTF">2023-03-16T01:41:00Z</dcterms:created>
  <dcterms:modified xsi:type="dcterms:W3CDTF">2023-03-16T01:43:00Z</dcterms:modified>
</cp:coreProperties>
</file>