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eastAsia="方正小标宋_GBK"/>
          <w:sz w:val="44"/>
          <w:szCs w:val="44"/>
        </w:rPr>
      </w:pPr>
      <w:r>
        <w:rPr>
          <w:rFonts w:hint="eastAsia" w:eastAsia="方正小标宋_GBK"/>
          <w:sz w:val="44"/>
          <w:szCs w:val="44"/>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lang w:eastAsia="zh-CN"/>
        </w:rPr>
      </w:pPr>
      <w:r>
        <w:rPr>
          <w:rFonts w:hint="eastAsia" w:eastAsia="方正小标宋_GBK"/>
          <w:sz w:val="44"/>
          <w:szCs w:val="44"/>
        </w:rPr>
        <w:t>关于</w:t>
      </w:r>
      <w:r>
        <w:rPr>
          <w:rFonts w:hint="eastAsia" w:eastAsia="方正小标宋_GBK"/>
          <w:sz w:val="44"/>
          <w:szCs w:val="44"/>
          <w:lang w:eastAsia="zh-CN"/>
        </w:rPr>
        <w:t>印发《重庆市长寿区国有土地上房屋</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outlineLvl w:val="0"/>
        <w:rPr>
          <w:rFonts w:hint="eastAsia" w:eastAsia="方正小标宋_GBK"/>
          <w:sz w:val="44"/>
          <w:szCs w:val="44"/>
        </w:rPr>
      </w:pPr>
      <w:r>
        <w:rPr>
          <w:rFonts w:hint="eastAsia" w:eastAsia="方正小标宋_GBK"/>
          <w:sz w:val="44"/>
          <w:szCs w:val="44"/>
          <w:lang w:eastAsia="zh-CN"/>
        </w:rPr>
        <w:t>征收科目及单项补偿标准》</w:t>
      </w:r>
      <w:r>
        <w:rPr>
          <w:rFonts w:hint="eastAsia" w:eastAsia="方正小标宋_GBK"/>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长寿府发〔</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22</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52</w:t>
      </w:r>
      <w:r>
        <w:rPr>
          <w:rFonts w:hint="eastAsia"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bidi w:val="0"/>
        <w:adjustRightInd/>
        <w:snapToGrid/>
        <w:spacing w:line="600" w:lineRule="exact"/>
        <w:ind w:left="0" w:leftChars="0" w:right="0" w:firstLine="0" w:firstLine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镇人民政府，区政府有关部门</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有关单位：</w:t>
      </w:r>
    </w:p>
    <w:p>
      <w:pPr>
        <w:keepNext w:val="0"/>
        <w:keepLines w:val="0"/>
        <w:pageBreakBefore w:val="0"/>
        <w:widowControl w:val="0"/>
        <w:kinsoku/>
        <w:wordWrap/>
        <w:overflowPunct/>
        <w:topLinePunct w:val="0"/>
        <w:bidi w:val="0"/>
        <w:adjustRightInd/>
        <w:snapToGrid/>
        <w:spacing w:line="600" w:lineRule="exact"/>
        <w:ind w:left="0" w:leftChars="0" w:right="0" w:firstLine="0" w:firstLine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方正仿宋_GBK" w:hAnsi="方正仿宋_GBK" w:eastAsia="方正仿宋_GBK" w:cs="方正仿宋_GBK"/>
          <w:sz w:val="32"/>
          <w:szCs w:val="32"/>
          <w:lang w:val="en-US" w:eastAsia="zh-CN"/>
        </w:rPr>
        <w:t>《重庆市长寿区国有土地上房屋征收科目及单项补偿标准》经区政府常务会议审议通</w:t>
      </w:r>
      <w:r>
        <w:rPr>
          <w:rFonts w:hint="default" w:ascii="Times New Roman" w:hAnsi="Times New Roman" w:eastAsia="方正仿宋_GBK" w:cs="Times New Roman"/>
          <w:sz w:val="32"/>
          <w:szCs w:val="32"/>
          <w:lang w:val="en-US" w:eastAsia="zh-CN"/>
        </w:rPr>
        <w:t>过，现印发给你们，请遵照执行。</w:t>
      </w:r>
    </w:p>
    <w:p>
      <w:pPr>
        <w:keepNext w:val="0"/>
        <w:keepLines w:val="0"/>
        <w:pageBreakBefore w:val="0"/>
        <w:widowControl w:val="0"/>
        <w:kinsoku/>
        <w:wordWrap/>
        <w:overflowPunct/>
        <w:topLinePunct w:val="0"/>
        <w:bidi w:val="0"/>
        <w:adjustRightInd/>
        <w:snapToGrid/>
        <w:spacing w:line="600" w:lineRule="exact"/>
        <w:ind w:left="0" w:leftChars="0" w:right="0" w:firstLine="0" w:firstLineChars="0"/>
        <w:textAlignment w:val="auto"/>
        <w:outlineLvl w:val="9"/>
        <w:rPr>
          <w:rFonts w:hint="default" w:ascii="Times New Roman" w:hAnsi="Times New Roman" w:eastAsia="方正仿宋_GBK" w:cs="Times New Roman"/>
          <w:sz w:val="32"/>
          <w:szCs w:val="32"/>
          <w:lang w:val="en-US" w:eastAsia="zh-CN"/>
        </w:rPr>
      </w:pPr>
    </w:p>
    <w:p>
      <w:pPr>
        <w:pStyle w:val="2"/>
        <w:keepNext w:val="0"/>
        <w:keepLines w:val="0"/>
        <w:pageBreakBefore w:val="0"/>
        <w:kinsoku/>
        <w:overflowPunct/>
        <w:topLinePunct w:val="0"/>
        <w:bidi w:val="0"/>
        <w:snapToGrid/>
        <w:spacing w:line="600" w:lineRule="exact"/>
        <w:textAlignment w:val="auto"/>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重庆市长寿区人民政府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 xml:space="preserve">日      </w:t>
      </w:r>
    </w:p>
    <w:p>
      <w:pPr>
        <w:keepNext w:val="0"/>
        <w:keepLines w:val="0"/>
        <w:pageBreakBefore w:val="0"/>
        <w:widowControl/>
        <w:kinsoku/>
        <w:overflowPunct/>
        <w:topLinePunct w:val="0"/>
        <w:bidi w:val="0"/>
        <w:snapToGrid/>
        <w:spacing w:line="600" w:lineRule="exact"/>
        <w:ind w:left="300" w:right="840" w:rightChars="400" w:firstLine="640" w:firstLineChars="200"/>
        <w:jc w:val="center"/>
        <w:textAlignment w:val="auto"/>
        <w:outlineLvl w:val="0"/>
        <w:rPr>
          <w:rFonts w:ascii="Times New Roman" w:hAnsi="Times New Roman" w:eastAsia="方正仿宋_GBK" w:cs="Times New Roman"/>
          <w:color w:val="000000"/>
          <w:kern w:val="0"/>
          <w:sz w:val="32"/>
          <w:szCs w:val="32"/>
          <w:shd w:val="clear" w:color="auto" w:fill="FFFFFF"/>
        </w:rPr>
      </w:pPr>
    </w:p>
    <w:p>
      <w:pPr>
        <w:pStyle w:val="2"/>
        <w:keepNext w:val="0"/>
        <w:keepLines w:val="0"/>
        <w:pageBreakBefore w:val="0"/>
        <w:kinsoku/>
        <w:overflowPunct/>
        <w:topLinePunct w:val="0"/>
        <w:bidi w:val="0"/>
        <w:snapToGrid/>
        <w:spacing w:line="600" w:lineRule="exact"/>
        <w:textAlignment w:val="auto"/>
        <w:rPr>
          <w:rFonts w:ascii="Times New Roman" w:hAnsi="Times New Roman" w:eastAsia="方正仿宋_GBK" w:cs="Times New Roman"/>
          <w:color w:val="000000"/>
          <w:kern w:val="0"/>
          <w:sz w:val="32"/>
          <w:szCs w:val="32"/>
          <w:shd w:val="clear" w:color="auto" w:fill="FFFFFF"/>
        </w:rPr>
      </w:pPr>
    </w:p>
    <w:p>
      <w:pPr>
        <w:pStyle w:val="2"/>
        <w:keepNext w:val="0"/>
        <w:keepLines w:val="0"/>
        <w:pageBreakBefore w:val="0"/>
        <w:kinsoku/>
        <w:overflowPunct/>
        <w:topLinePunct w:val="0"/>
        <w:bidi w:val="0"/>
        <w:snapToGrid/>
        <w:spacing w:line="600" w:lineRule="exact"/>
        <w:textAlignment w:val="auto"/>
        <w:rPr>
          <w:rFonts w:ascii="Times New Roman" w:hAnsi="Times New Roman" w:eastAsia="方正仿宋_GBK" w:cs="Times New Roman"/>
          <w:color w:val="000000"/>
          <w:kern w:val="0"/>
          <w:sz w:val="32"/>
          <w:szCs w:val="32"/>
          <w:shd w:val="clear" w:color="auto" w:fill="FFFFFF"/>
        </w:rPr>
      </w:pPr>
    </w:p>
    <w:p>
      <w:pPr>
        <w:pStyle w:val="2"/>
        <w:keepNext w:val="0"/>
        <w:keepLines w:val="0"/>
        <w:pageBreakBefore w:val="0"/>
        <w:kinsoku/>
        <w:overflowPunct/>
        <w:topLinePunct w:val="0"/>
        <w:bidi w:val="0"/>
        <w:snapToGrid/>
        <w:spacing w:line="600" w:lineRule="exact"/>
        <w:textAlignment w:val="auto"/>
        <w:rPr>
          <w:rFonts w:ascii="Times New Roman" w:hAnsi="Times New Roman" w:eastAsia="方正仿宋_GBK" w:cs="Times New Roman"/>
          <w:color w:val="000000"/>
          <w:kern w:val="0"/>
          <w:sz w:val="32"/>
          <w:szCs w:val="32"/>
          <w:shd w:val="clear" w:color="auto" w:fill="FFFFFF"/>
        </w:rPr>
      </w:pPr>
    </w:p>
    <w:p>
      <w:pPr>
        <w:pStyle w:val="2"/>
        <w:keepNext w:val="0"/>
        <w:keepLines w:val="0"/>
        <w:pageBreakBefore w:val="0"/>
        <w:kinsoku/>
        <w:overflowPunct/>
        <w:topLinePunct w:val="0"/>
        <w:bidi w:val="0"/>
        <w:snapToGrid/>
        <w:spacing w:line="600" w:lineRule="exact"/>
        <w:textAlignment w:val="auto"/>
        <w:rPr>
          <w:rFonts w:ascii="Times New Roman" w:hAnsi="Times New Roman" w:eastAsia="方正仿宋_GBK" w:cs="Times New Roman"/>
          <w:color w:val="000000"/>
          <w:kern w:val="0"/>
          <w:sz w:val="32"/>
          <w:szCs w:val="32"/>
          <w:shd w:val="clear" w:color="auto" w:fill="FFFFFF"/>
        </w:rPr>
      </w:pPr>
    </w:p>
    <w:p>
      <w:pPr>
        <w:pStyle w:val="2"/>
        <w:keepNext w:val="0"/>
        <w:keepLines w:val="0"/>
        <w:pageBreakBefore w:val="0"/>
        <w:kinsoku/>
        <w:overflowPunct/>
        <w:topLinePunct w:val="0"/>
        <w:bidi w:val="0"/>
        <w:snapToGrid/>
        <w:spacing w:line="600" w:lineRule="exact"/>
        <w:textAlignment w:val="auto"/>
        <w:rPr>
          <w:rFonts w:ascii="Times New Roman" w:hAnsi="Times New Roman" w:eastAsia="方正仿宋_GBK" w:cs="Times New Roman"/>
          <w:color w:val="000000"/>
          <w:kern w:val="0"/>
          <w:sz w:val="32"/>
          <w:szCs w:val="32"/>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keepNext w:val="0"/>
        <w:keepLines w:val="0"/>
        <w:pageBreakBefore w:val="0"/>
        <w:widowControl w:val="0"/>
        <w:kinsoku/>
        <w:wordWrap/>
        <w:overflowPunct/>
        <w:topLinePunct w:val="0"/>
        <w:bidi w:val="0"/>
        <w:adjustRightInd/>
        <w:snapToGrid/>
        <w:spacing w:line="600" w:lineRule="exact"/>
        <w:ind w:left="0" w:leftChars="0" w:right="0"/>
        <w:jc w:val="center"/>
        <w:textAlignment w:val="auto"/>
        <w:outlineLvl w:val="9"/>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bidi w:val="0"/>
        <w:adjustRightInd/>
        <w:snapToGrid/>
        <w:spacing w:line="600" w:lineRule="exact"/>
        <w:ind w:left="0" w:leftChars="0" w:right="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重庆市长寿区国有土地上房屋征收科目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lang w:val="en-US" w:eastAsia="zh-CN"/>
        </w:rPr>
      </w:pPr>
      <w:r>
        <w:rPr>
          <w:rFonts w:hint="default" w:ascii="Times New Roman" w:hAnsi="Times New Roman" w:eastAsia="方正小标宋_GBK" w:cs="Times New Roman"/>
          <w:color w:val="auto"/>
          <w:sz w:val="44"/>
          <w:szCs w:val="44"/>
          <w:lang w:val="en-US" w:eastAsia="zh-CN"/>
        </w:rPr>
        <w:t>及单项补偿标准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keepNext w:val="0"/>
        <w:keepLines w:val="0"/>
        <w:pageBreakBefore w:val="0"/>
        <w:widowControl w:val="0"/>
        <w:kinsoku/>
        <w:wordWrap/>
        <w:overflowPunct/>
        <w:topLinePunct w:val="0"/>
        <w:bidi w:val="0"/>
        <w:adjustRightInd/>
        <w:snapToGrid/>
        <w:spacing w:line="600" w:lineRule="exact"/>
        <w:ind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为进一步规范我区国有土地上房屋征收补偿行为（以下简称</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房屋征收补偿</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），保障被征收人合法权益，推动我区房屋征收工作可持续开展，根据《</w:t>
      </w:r>
      <w:bookmarkStart w:id="0" w:name="_GoBack"/>
      <w:r>
        <w:rPr>
          <w:rFonts w:hint="default" w:ascii="Times New Roman" w:hAnsi="Times New Roman" w:eastAsia="方正仿宋_GBK" w:cs="Times New Roman"/>
          <w:sz w:val="32"/>
          <w:szCs w:val="32"/>
          <w:lang w:val="en-US" w:eastAsia="zh-CN"/>
        </w:rPr>
        <w:t>国有土地上房屋征收与补偿条例</w:t>
      </w:r>
      <w:bookmarkEnd w:id="0"/>
      <w:r>
        <w:rPr>
          <w:rFonts w:hint="default" w:ascii="Times New Roman" w:hAnsi="Times New Roman" w:eastAsia="方正仿宋_GBK" w:cs="Times New Roman"/>
          <w:sz w:val="32"/>
          <w:szCs w:val="32"/>
          <w:lang w:val="en-US" w:eastAsia="zh-CN"/>
        </w:rPr>
        <w:t>》（国务院令</w:t>
      </w:r>
      <w:r>
        <w:rPr>
          <w:rFonts w:hint="eastAsia" w:ascii="Times New Roman" w:hAnsi="Times New Roman" w:eastAsia="方正仿宋_GBK" w:cs="Times New Roman"/>
          <w:sz w:val="32"/>
          <w:szCs w:val="32"/>
          <w:lang w:val="en-US" w:eastAsia="zh-CN"/>
        </w:rPr>
        <w:t>第</w:t>
      </w:r>
      <w:r>
        <w:rPr>
          <w:rFonts w:hint="default" w:ascii="Times New Roman" w:hAnsi="Times New Roman" w:eastAsia="方正仿宋_GBK" w:cs="Times New Roman"/>
          <w:sz w:val="32"/>
          <w:szCs w:val="32"/>
          <w:lang w:val="en-US" w:eastAsia="zh-CN"/>
        </w:rPr>
        <w:t>590号）、《重庆市国有土地上房屋征收与补偿条例》《重庆市国有土地上房屋征收与补偿条例实施细则》</w:t>
      </w:r>
      <w:r>
        <w:rPr>
          <w:rFonts w:hint="default" w:ascii="Times New Roman" w:hAnsi="Times New Roman" w:eastAsia="方正仿宋_GBK" w:cs="Times New Roman"/>
          <w:color w:val="auto"/>
          <w:sz w:val="32"/>
          <w:szCs w:val="32"/>
          <w:lang w:val="en-US" w:eastAsia="zh-CN"/>
        </w:rPr>
        <w:t>（以下简称《实施细则》）、《重庆市住房</w:t>
      </w:r>
      <w:r>
        <w:rPr>
          <w:rFonts w:hint="eastAsia" w:ascii="方正仿宋_GBK" w:hAnsi="方正仿宋_GBK" w:eastAsia="方正仿宋_GBK" w:cs="方正仿宋_GBK"/>
          <w:color w:val="auto"/>
          <w:sz w:val="32"/>
          <w:szCs w:val="32"/>
          <w:lang w:val="en-US" w:eastAsia="zh-CN"/>
        </w:rPr>
        <w:t>和</w:t>
      </w:r>
      <w:r>
        <w:rPr>
          <w:rFonts w:hint="default" w:ascii="Times New Roman" w:hAnsi="Times New Roman" w:eastAsia="方正仿宋_GBK" w:cs="Times New Roman"/>
          <w:color w:val="auto"/>
          <w:sz w:val="32"/>
          <w:szCs w:val="32"/>
          <w:lang w:val="en-US" w:eastAsia="zh-CN"/>
        </w:rPr>
        <w:t>城乡建设委员会关于全市执行统一的国有土地上房屋征收补偿科目及单项最高限额标准制度的通知》（渝建征〔2022〕10号）等规定，结合我区实际</w:t>
      </w:r>
      <w:r>
        <w:rPr>
          <w:rFonts w:hint="default" w:ascii="Times New Roman" w:hAnsi="Times New Roman" w:eastAsia="方正仿宋_GBK" w:cs="Times New Roman"/>
          <w:sz w:val="32"/>
          <w:szCs w:val="32"/>
          <w:lang w:val="en-US" w:eastAsia="zh-CN"/>
        </w:rPr>
        <w:t>制定本补偿标准。</w:t>
      </w:r>
    </w:p>
    <w:p>
      <w:pPr>
        <w:keepNext w:val="0"/>
        <w:keepLines w:val="0"/>
        <w:pageBreakBefore w:val="0"/>
        <w:widowControl w:val="0"/>
        <w:numPr>
          <w:ilvl w:val="0"/>
          <w:numId w:val="0"/>
        </w:numPr>
        <w:kinsoku/>
        <w:wordWrap/>
        <w:overflowPunct/>
        <w:topLinePunct w:val="0"/>
        <w:bidi w:val="0"/>
        <w:adjustRightInd/>
        <w:snapToGrid/>
        <w:spacing w:line="600" w:lineRule="exact"/>
        <w:ind w:right="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一、补偿科目。</w:t>
      </w:r>
      <w:r>
        <w:rPr>
          <w:rFonts w:hint="default" w:ascii="Times New Roman" w:hAnsi="Times New Roman" w:eastAsia="方正仿宋_GBK" w:cs="Times New Roman"/>
          <w:sz w:val="32"/>
          <w:szCs w:val="32"/>
          <w:lang w:val="en-US" w:eastAsia="zh-CN"/>
        </w:rPr>
        <w:t>按照《重庆市国有土地上房屋征收与补偿条例实施细则》规定，房屋征收的补偿科目归集为价值补偿、损失补偿、奖励补助三类，其中：</w:t>
      </w:r>
    </w:p>
    <w:p>
      <w:pPr>
        <w:keepNext w:val="0"/>
        <w:keepLines w:val="0"/>
        <w:pageBreakBefore w:val="0"/>
        <w:widowControl w:val="0"/>
        <w:numPr>
          <w:ilvl w:val="0"/>
          <w:numId w:val="0"/>
        </w:numPr>
        <w:kinsoku/>
        <w:wordWrap/>
        <w:overflowPunct/>
        <w:topLinePunct w:val="0"/>
        <w:bidi w:val="0"/>
        <w:adjustRightInd/>
        <w:snapToGrid/>
        <w:spacing w:line="600" w:lineRule="exact"/>
        <w:ind w:right="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    价值补偿：</w:t>
      </w:r>
      <w:r>
        <w:rPr>
          <w:rFonts w:hint="default" w:ascii="Times New Roman" w:hAnsi="Times New Roman" w:eastAsia="方正仿宋_GBK" w:cs="Times New Roman"/>
          <w:sz w:val="32"/>
          <w:szCs w:val="32"/>
          <w:lang w:val="en-US" w:eastAsia="zh-CN"/>
        </w:rPr>
        <w:t>系指按照《实施细则》规定</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应当给予被征收人房屋补偿面积的评估价值。房屋补偿面积由被征收房屋产权证载建筑面积、按规定享受公摊系数政策补足部分面积，以及按规定享受最低住房保障政策补足部分面积组成。</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right="0"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color w:val="auto"/>
          <w:sz w:val="32"/>
          <w:szCs w:val="32"/>
          <w:lang w:val="en-US" w:eastAsia="zh-CN"/>
        </w:rPr>
        <w:t>损失补偿：</w:t>
      </w:r>
      <w:r>
        <w:rPr>
          <w:rFonts w:hint="default" w:ascii="Times New Roman" w:hAnsi="Times New Roman" w:eastAsia="方正仿宋_GBK" w:cs="Times New Roman"/>
          <w:color w:val="auto"/>
          <w:sz w:val="32"/>
          <w:szCs w:val="32"/>
          <w:lang w:val="en-US" w:eastAsia="zh-CN"/>
        </w:rPr>
        <w:t>系</w:t>
      </w:r>
      <w:r>
        <w:rPr>
          <w:rFonts w:hint="default" w:ascii="Times New Roman" w:hAnsi="Times New Roman" w:cs="Times New Roman"/>
          <w:color w:val="auto"/>
          <w:sz w:val="32"/>
          <w:szCs w:val="32"/>
          <w:lang w:val="en-US" w:eastAsia="zh-CN"/>
        </w:rPr>
        <w:t>指按照</w:t>
      </w:r>
      <w:r>
        <w:rPr>
          <w:rFonts w:hint="default" w:ascii="Times New Roman" w:hAnsi="Times New Roman" w:eastAsia="方正仿宋_GBK" w:cs="Times New Roman"/>
          <w:sz w:val="32"/>
          <w:szCs w:val="32"/>
          <w:lang w:val="en-US" w:eastAsia="zh-CN"/>
        </w:rPr>
        <w:t>《实施细则》规定，对被征收房屋室内装饰装修及附属设施，以及被征收非住宅的设施设备、停产停业的损失，应当给予被征收人的补偿。</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right="0"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奖励补助：</w:t>
      </w:r>
      <w:r>
        <w:rPr>
          <w:rFonts w:hint="default" w:ascii="Times New Roman" w:hAnsi="Times New Roman" w:eastAsia="方正仿宋_GBK" w:cs="Times New Roman"/>
          <w:sz w:val="32"/>
          <w:szCs w:val="32"/>
          <w:lang w:val="en-US" w:eastAsia="zh-CN"/>
        </w:rPr>
        <w:t>系根据被征收房屋产权证载建筑面积和按规定享受最低住房保障政策补足部分面积，给予符合相关条件和情形的被征收人的奖励和补助，包括补偿方式选择的引导、提前签约和按期搬迁、临时安置等方面的奖励和补助。</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二、单项补偿标准。</w:t>
      </w:r>
      <w:r>
        <w:rPr>
          <w:rFonts w:hint="default" w:ascii="Times New Roman" w:hAnsi="Times New Roman" w:eastAsia="方正仿宋_GBK" w:cs="Times New Roman"/>
          <w:sz w:val="32"/>
          <w:szCs w:val="32"/>
          <w:lang w:val="en-US" w:eastAsia="zh-CN"/>
        </w:rPr>
        <w:t>全区国有土地上房屋征收中的损失补偿和奖励补助单项标准按本文件执行，其中停产停业损失补偿标准按《实施细则》第四十六条规定执行。</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认定为合法的未经登记建筑，以及未超过批准期限的临时建筑的征收补偿科目参照本文件规定执行。</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right="0"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三、区住房城乡建委、区征收事务中心应当做好新补偿标准的宣传、解释工作。</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四、本文件自公布之日起实施。</w:t>
      </w:r>
      <w:r>
        <w:rPr>
          <w:rFonts w:hint="default" w:ascii="Times New Roman" w:hAnsi="Times New Roman" w:eastAsia="方正仿宋_GBK" w:cs="Times New Roman"/>
          <w:sz w:val="32"/>
          <w:szCs w:val="32"/>
          <w:lang w:val="en-US" w:eastAsia="zh-CN"/>
        </w:rPr>
        <w:t>原《</w:t>
      </w:r>
      <w:r>
        <w:rPr>
          <w:rFonts w:hint="default" w:ascii="Times New Roman" w:hAnsi="Times New Roman" w:cs="Times New Roman"/>
          <w:sz w:val="32"/>
          <w:szCs w:val="32"/>
          <w:lang w:val="en-US" w:eastAsia="zh-CN"/>
        </w:rPr>
        <w:t>关于印发</w:t>
      </w:r>
      <w:r>
        <w:rPr>
          <w:rFonts w:hint="default" w:ascii="Times New Roman" w:hAnsi="Times New Roman" w:eastAsia="方正仿宋_GBK" w:cs="Times New Roman"/>
          <w:sz w:val="32"/>
          <w:szCs w:val="32"/>
          <w:lang w:val="en-US" w:eastAsia="zh-CN"/>
        </w:rPr>
        <w:t>重庆市长寿区国有土地上房屋征收费额标准</w:t>
      </w:r>
      <w:r>
        <w:rPr>
          <w:rFonts w:hint="default" w:ascii="Times New Roman" w:hAnsi="Times New Roman" w:cs="Times New Roman"/>
          <w:sz w:val="32"/>
          <w:szCs w:val="32"/>
          <w:lang w:val="en-US" w:eastAsia="zh-CN"/>
        </w:rPr>
        <w:t>的通知</w:t>
      </w:r>
      <w:r>
        <w:rPr>
          <w:rFonts w:hint="default" w:ascii="Times New Roman" w:hAnsi="Times New Roman" w:eastAsia="方正仿宋_GBK" w:cs="Times New Roman"/>
          <w:sz w:val="32"/>
          <w:szCs w:val="32"/>
          <w:lang w:val="en-US" w:eastAsia="zh-CN"/>
        </w:rPr>
        <w:t>》（长寿府办发〔2013〕81号）同时废止。</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在本文件实施前已发布房屋征收决定公告的，房屋征收项目的补偿、补助和奖励按已公布的补偿方案执行。</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lang w:val="en-US" w:eastAsia="zh-CN"/>
        </w:rPr>
      </w:pPr>
      <w:r>
        <w:rPr>
          <w:rFonts w:hint="default" w:ascii="Times New Roman" w:hAnsi="Times New Roman" w:eastAsia="方正仿宋_GBK" w:cs="Times New Roman"/>
          <w:sz w:val="32"/>
          <w:szCs w:val="32"/>
          <w:lang w:val="en-US" w:eastAsia="zh-CN"/>
        </w:rPr>
        <w:t>附件：重庆市长寿区国有土地上房屋征收损失补偿和奖励补助科目及单项补偿标准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widowControl w:val="0"/>
        <w:numPr>
          <w:ilvl w:val="0"/>
          <w:numId w:val="0"/>
        </w:numPr>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p>
    <w:p>
      <w:pPr>
        <w:pStyle w:val="2"/>
        <w:rPr>
          <w:rFonts w:hint="default"/>
          <w:lang w:val="en-US" w:eastAsia="zh-CN"/>
        </w:rPr>
      </w:pPr>
    </w:p>
    <w:p>
      <w:pPr>
        <w:widowControl/>
        <w:numPr>
          <w:ilvl w:val="0"/>
          <w:numId w:val="0"/>
        </w:numPr>
        <w:shd w:val="clear" w:color="auto" w:fill="FFFFFF"/>
        <w:snapToGrid w:val="0"/>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重庆市长寿区国有土地上房屋征收损失补偿和奖励补助科目及单项补偿标准</w:t>
      </w:r>
    </w:p>
    <w:p>
      <w:pPr>
        <w:pStyle w:val="2"/>
        <w:rPr>
          <w:rFonts w:hint="eastAsia"/>
          <w:lang w:val="en-US" w:eastAsia="zh-CN"/>
        </w:rPr>
      </w:pPr>
    </w:p>
    <w:tbl>
      <w:tblPr>
        <w:tblStyle w:val="11"/>
        <w:tblW w:w="14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950"/>
        <w:gridCol w:w="512"/>
        <w:gridCol w:w="618"/>
        <w:gridCol w:w="104"/>
        <w:gridCol w:w="216"/>
        <w:gridCol w:w="1625"/>
        <w:gridCol w:w="3423"/>
        <w:gridCol w:w="5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vMerge w:val="restart"/>
            <w:tcBorders>
              <w:right w:val="nil"/>
            </w:tcBorders>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sz w:val="18"/>
                <w:szCs w:val="18"/>
                <w:lang w:val="en-US" w:eastAsia="zh-CN"/>
              </w:rPr>
            </w:pPr>
          </w:p>
        </w:tc>
        <w:tc>
          <w:tcPr>
            <w:tcW w:w="4025" w:type="dxa"/>
            <w:gridSpan w:val="6"/>
            <w:tcBorders>
              <w:left w:val="nil"/>
            </w:tcBorders>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 xml:space="preserve">  补偿科目</w:t>
            </w:r>
          </w:p>
        </w:tc>
        <w:tc>
          <w:tcPr>
            <w:tcW w:w="3423" w:type="dxa"/>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单项补偿标准</w:t>
            </w:r>
          </w:p>
        </w:tc>
        <w:tc>
          <w:tcPr>
            <w:tcW w:w="5345" w:type="dxa"/>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color w:val="FF0000"/>
                <w:sz w:val="18"/>
                <w:szCs w:val="18"/>
                <w:lang w:val="en-US" w:eastAsia="zh-CN"/>
              </w:rPr>
            </w:pPr>
          </w:p>
        </w:tc>
        <w:tc>
          <w:tcPr>
            <w:tcW w:w="4025" w:type="dxa"/>
            <w:gridSpan w:val="6"/>
            <w:noWrap w:val="0"/>
            <w:vAlign w:val="top"/>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color w:val="auto"/>
                <w:sz w:val="18"/>
                <w:szCs w:val="18"/>
                <w:lang w:val="en-US" w:eastAsia="zh-CN"/>
              </w:rPr>
            </w:pPr>
            <w:r>
              <w:rPr>
                <w:rFonts w:hint="default" w:ascii="Times New Roman" w:hAnsi="Times New Roman" w:eastAsia="方正仿宋_GBK" w:cs="Times New Roman"/>
                <w:b/>
                <w:bCs/>
                <w:color w:val="auto"/>
                <w:sz w:val="32"/>
                <w:szCs w:val="32"/>
                <w:lang w:val="en-US" w:eastAsia="zh-CN"/>
              </w:rPr>
              <w:t>单项明细</w:t>
            </w:r>
          </w:p>
        </w:tc>
        <w:tc>
          <w:tcPr>
            <w:tcW w:w="3423" w:type="dxa"/>
            <w:vMerge w:val="continue"/>
            <w:noWrap w:val="0"/>
            <w:vAlign w:val="top"/>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sz w:val="18"/>
                <w:szCs w:val="18"/>
                <w:lang w:val="en-US" w:eastAsia="zh-CN"/>
              </w:rPr>
            </w:pPr>
          </w:p>
        </w:tc>
        <w:tc>
          <w:tcPr>
            <w:tcW w:w="5345" w:type="dxa"/>
            <w:vMerge w:val="continue"/>
            <w:noWrap w:val="0"/>
            <w:vAlign w:val="top"/>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269" w:type="dxa"/>
            <w:vMerge w:val="restart"/>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b/>
                <w:bCs/>
                <w:sz w:val="18"/>
                <w:szCs w:val="18"/>
                <w:lang w:val="en-US" w:eastAsia="zh-CN"/>
              </w:rPr>
            </w:pP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损</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失</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补</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b/>
                <w:bCs/>
                <w:sz w:val="32"/>
                <w:szCs w:val="32"/>
                <w:lang w:val="en-US" w:eastAsia="zh-CN"/>
              </w:rPr>
              <w:t>偿</w:t>
            </w:r>
          </w:p>
        </w:tc>
        <w:tc>
          <w:tcPr>
            <w:tcW w:w="950"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3075" w:type="dxa"/>
            <w:gridSpan w:val="5"/>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非住宅停产停业</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color w:val="auto"/>
                <w:sz w:val="24"/>
                <w:szCs w:val="24"/>
                <w:lang w:val="en-US" w:eastAsia="zh-CN"/>
              </w:rPr>
              <w:t>/</w:t>
            </w:r>
          </w:p>
        </w:tc>
        <w:tc>
          <w:tcPr>
            <w:tcW w:w="5345" w:type="dxa"/>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按《实施细则》第四十六条规定执行</w:t>
            </w:r>
            <w:r>
              <w:rPr>
                <w:rFonts w:hint="eastAsia"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tc>
        <w:tc>
          <w:tcPr>
            <w:tcW w:w="950" w:type="dxa"/>
            <w:vMerge w:val="restart"/>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w:t>
            </w:r>
          </w:p>
        </w:tc>
        <w:tc>
          <w:tcPr>
            <w:tcW w:w="512" w:type="dxa"/>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室</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内</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装</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饰</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装</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修</w:t>
            </w:r>
          </w:p>
        </w:tc>
        <w:tc>
          <w:tcPr>
            <w:tcW w:w="2563" w:type="dxa"/>
            <w:gridSpan w:val="4"/>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三档：300元/平方米</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 xml:space="preserve">二档：400元/平方米  </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一档：500元/平方米</w:t>
            </w:r>
          </w:p>
        </w:tc>
        <w:tc>
          <w:tcPr>
            <w:tcW w:w="5345" w:type="dxa"/>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房屋征收当事人按本标准协商不成的，可以委托按《实施细则》规定确定的房地产价格评估机构通过评估确定。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tc>
        <w:tc>
          <w:tcPr>
            <w:tcW w:w="950" w:type="dxa"/>
            <w:vMerge w:val="continue"/>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tc>
        <w:tc>
          <w:tcPr>
            <w:tcW w:w="512" w:type="dxa"/>
            <w:vMerge w:val="continue"/>
            <w:noWrap w:val="0"/>
            <w:vAlign w:val="top"/>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tc>
        <w:tc>
          <w:tcPr>
            <w:tcW w:w="2563" w:type="dxa"/>
            <w:gridSpan w:val="4"/>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w:t>
            </w:r>
          </w:p>
        </w:tc>
        <w:tc>
          <w:tcPr>
            <w:tcW w:w="5345" w:type="dxa"/>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由房屋征收当事人按房屋征收项目征收补偿方案确定的标准进行协商；协商不成的，可以委托按《实施细则》规定确定的房地产价格评估机构通过评估确定。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tc>
        <w:tc>
          <w:tcPr>
            <w:tcW w:w="950" w:type="dxa"/>
            <w:vMerge w:val="restart"/>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w:t>
            </w:r>
          </w:p>
        </w:tc>
        <w:tc>
          <w:tcPr>
            <w:tcW w:w="512" w:type="dxa"/>
            <w:vMerge w:val="restart"/>
            <w:noWrap w:val="0"/>
            <w:vAlign w:val="top"/>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附</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属</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设</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施</w:t>
            </w:r>
          </w:p>
        </w:tc>
        <w:tc>
          <w:tcPr>
            <w:tcW w:w="938" w:type="dxa"/>
            <w:gridSpan w:val="3"/>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民用、非民用</w:t>
            </w:r>
          </w:p>
        </w:tc>
        <w:tc>
          <w:tcPr>
            <w:tcW w:w="1625"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水表</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600元/户</w:t>
            </w:r>
          </w:p>
        </w:tc>
        <w:tc>
          <w:tcPr>
            <w:tcW w:w="5345" w:type="dxa"/>
            <w:vMerge w:val="restart"/>
            <w:noWrap w:val="0"/>
            <w:vAlign w:val="center"/>
          </w:tcPr>
          <w:p>
            <w:pPr>
              <w:widowControl w:val="0"/>
              <w:numPr>
                <w:ilvl w:val="0"/>
                <w:numId w:val="1"/>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如有行业收费标准的，从其标准规定；否则执行本通知规定。</w:t>
            </w:r>
          </w:p>
          <w:p>
            <w:pPr>
              <w:widowControl w:val="0"/>
              <w:numPr>
                <w:ilvl w:val="0"/>
                <w:numId w:val="1"/>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选择货币补偿的，按本通知规定给予补偿；选择房屋产权调换的，不予补偿。</w:t>
            </w:r>
          </w:p>
          <w:p>
            <w:pPr>
              <w:widowControl w:val="0"/>
              <w:numPr>
                <w:ilvl w:val="0"/>
                <w:numId w:val="1"/>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本条所指</w:t>
            </w:r>
            <w:r>
              <w:rPr>
                <w:rFonts w:hint="eastAsia" w:cs="Times New Roman"/>
                <w:sz w:val="21"/>
                <w:szCs w:val="21"/>
                <w:lang w:val="en-US" w:eastAsia="zh-CN"/>
              </w:rPr>
              <w:t>“</w:t>
            </w:r>
            <w:r>
              <w:rPr>
                <w:rFonts w:hint="default" w:ascii="Times New Roman" w:hAnsi="Times New Roman" w:eastAsia="方正仿宋_GBK" w:cs="Times New Roman"/>
                <w:sz w:val="21"/>
                <w:szCs w:val="21"/>
                <w:lang w:val="en-US" w:eastAsia="zh-CN"/>
              </w:rPr>
              <w:t>户</w:t>
            </w:r>
            <w:r>
              <w:rPr>
                <w:rFonts w:hint="eastAsia" w:cs="Times New Roman"/>
                <w:sz w:val="21"/>
                <w:szCs w:val="21"/>
                <w:lang w:val="en-US" w:eastAsia="zh-CN"/>
              </w:rPr>
              <w:t>”</w:t>
            </w:r>
            <w:r>
              <w:rPr>
                <w:rFonts w:hint="default" w:ascii="Times New Roman" w:hAnsi="Times New Roman" w:eastAsia="方正仿宋_GBK" w:cs="Times New Roman"/>
                <w:sz w:val="21"/>
                <w:szCs w:val="21"/>
                <w:lang w:val="en-US" w:eastAsia="zh-CN"/>
              </w:rPr>
              <w:t>以缴费户为单位</w:t>
            </w:r>
            <w:r>
              <w:rPr>
                <w:rFonts w:hint="eastAsia" w:cs="Times New Roman"/>
                <w:sz w:val="21"/>
                <w:szCs w:val="21"/>
                <w:lang w:val="en-US" w:eastAsia="zh-CN"/>
              </w:rPr>
              <w:t>。</w:t>
            </w:r>
            <w:r>
              <w:rPr>
                <w:rFonts w:hint="default" w:ascii="Times New Roman" w:hAnsi="Times New Roman" w:eastAsia="方正仿宋_GBK" w:cs="Times New Roman"/>
                <w:sz w:val="21"/>
                <w:szCs w:val="21"/>
                <w:lang w:val="en-US" w:eastAsia="zh-CN"/>
              </w:rPr>
              <w:t xml:space="preserve">                           </w:t>
            </w:r>
          </w:p>
          <w:p>
            <w:pPr>
              <w:widowControl w:val="0"/>
              <w:numPr>
                <w:ilvl w:val="0"/>
                <w:numId w:val="0"/>
              </w:numPr>
              <w:wordWrap/>
              <w:adjustRightInd/>
              <w:snapToGrid/>
              <w:spacing w:line="360" w:lineRule="exact"/>
              <w:ind w:leftChars="0" w:right="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cs="Times New Roman"/>
                <w:sz w:val="21"/>
                <w:szCs w:val="21"/>
                <w:lang w:val="en-US" w:eastAsia="zh-CN"/>
              </w:rPr>
              <w:t>4.</w:t>
            </w:r>
            <w:r>
              <w:rPr>
                <w:rFonts w:hint="default" w:ascii="Times New Roman" w:hAnsi="Times New Roman" w:eastAsia="方正仿宋_GBK" w:cs="Times New Roman"/>
                <w:sz w:val="21"/>
                <w:szCs w:val="21"/>
                <w:lang w:val="en-US" w:eastAsia="zh-CN"/>
              </w:rPr>
              <w:t>其他附属设施损失补偿按房屋征收项目的征收补偿方案确定的标准给予补偿。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tc>
        <w:tc>
          <w:tcPr>
            <w:tcW w:w="950"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512" w:type="dxa"/>
            <w:vMerge w:val="continue"/>
            <w:noWrap w:val="0"/>
            <w:vAlign w:val="top"/>
          </w:tcPr>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938" w:type="dxa"/>
            <w:gridSpan w:val="3"/>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1625"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电表</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600元/户</w:t>
            </w:r>
          </w:p>
        </w:tc>
        <w:tc>
          <w:tcPr>
            <w:tcW w:w="5345" w:type="dxa"/>
            <w:vMerge w:val="continue"/>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tc>
        <w:tc>
          <w:tcPr>
            <w:tcW w:w="950"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512" w:type="dxa"/>
            <w:vMerge w:val="continue"/>
            <w:noWrap w:val="0"/>
            <w:vAlign w:val="top"/>
          </w:tcPr>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938" w:type="dxa"/>
            <w:gridSpan w:val="3"/>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1625"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天然气表</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2700元/户</w:t>
            </w:r>
          </w:p>
        </w:tc>
        <w:tc>
          <w:tcPr>
            <w:tcW w:w="5345" w:type="dxa"/>
            <w:vMerge w:val="continue"/>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tc>
        <w:tc>
          <w:tcPr>
            <w:tcW w:w="950"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512" w:type="dxa"/>
            <w:vMerge w:val="continue"/>
            <w:noWrap w:val="0"/>
            <w:vAlign w:val="top"/>
          </w:tcPr>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938" w:type="dxa"/>
            <w:gridSpan w:val="3"/>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1625"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闭路</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450元/户</w:t>
            </w:r>
          </w:p>
        </w:tc>
        <w:tc>
          <w:tcPr>
            <w:tcW w:w="5345" w:type="dxa"/>
            <w:vMerge w:val="continue"/>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tc>
        <w:tc>
          <w:tcPr>
            <w:tcW w:w="950"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512" w:type="dxa"/>
            <w:vMerge w:val="continue"/>
            <w:noWrap w:val="0"/>
            <w:vAlign w:val="top"/>
          </w:tcPr>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938" w:type="dxa"/>
            <w:gridSpan w:val="3"/>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1625"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宽带</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300元/户</w:t>
            </w:r>
          </w:p>
        </w:tc>
        <w:tc>
          <w:tcPr>
            <w:tcW w:w="5345" w:type="dxa"/>
            <w:vMerge w:val="continue"/>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8"/>
                <w:szCs w:val="18"/>
                <w:lang w:val="en-US" w:eastAsia="zh-CN"/>
              </w:rPr>
            </w:pPr>
          </w:p>
        </w:tc>
        <w:tc>
          <w:tcPr>
            <w:tcW w:w="950"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w:t>
            </w:r>
          </w:p>
        </w:tc>
        <w:tc>
          <w:tcPr>
            <w:tcW w:w="3075" w:type="dxa"/>
            <w:gridSpan w:val="5"/>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非住宅的设施设备</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color w:val="auto"/>
                <w:sz w:val="24"/>
                <w:szCs w:val="24"/>
                <w:lang w:val="en-US" w:eastAsia="zh-CN"/>
              </w:rPr>
              <w:t>/</w:t>
            </w:r>
          </w:p>
        </w:tc>
        <w:tc>
          <w:tcPr>
            <w:tcW w:w="5345" w:type="dxa"/>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color w:val="auto"/>
                <w:sz w:val="21"/>
                <w:szCs w:val="21"/>
                <w:lang w:val="en-US" w:eastAsia="zh-CN"/>
              </w:rPr>
              <w:t>参照《实施细则》第四十七条规定执行</w:t>
            </w:r>
            <w:r>
              <w:rPr>
                <w:rFonts w:hint="eastAsia"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69" w:type="dxa"/>
            <w:vMerge w:val="restart"/>
            <w:noWrap w:val="0"/>
            <w:textDirection w:val="tbLrV"/>
            <w:vAlign w:val="center"/>
          </w:tcPr>
          <w:p>
            <w:pPr>
              <w:widowControl w:val="0"/>
              <w:numPr>
                <w:ilvl w:val="0"/>
                <w:numId w:val="0"/>
              </w:numPr>
              <w:wordWrap/>
              <w:adjustRightInd/>
              <w:snapToGrid/>
              <w:spacing w:line="360" w:lineRule="exact"/>
              <w:ind w:left="113" w:leftChars="0" w:right="113" w:firstLine="0" w:firstLineChars="0"/>
              <w:jc w:val="center"/>
              <w:textAlignment w:val="auto"/>
              <w:outlineLvl w:val="9"/>
              <w:rPr>
                <w:rFonts w:hint="default" w:ascii="Times New Roman" w:hAnsi="Times New Roman" w:eastAsia="方正仿宋_GBK" w:cs="Times New Roman"/>
                <w:sz w:val="16"/>
                <w:szCs w:val="16"/>
                <w:lang w:val="en-US" w:eastAsia="zh-CN"/>
              </w:rPr>
            </w:pPr>
            <w:r>
              <w:rPr>
                <w:rFonts w:hint="default" w:ascii="Times New Roman" w:hAnsi="Times New Roman" w:eastAsia="方正仿宋_GBK" w:cs="Times New Roman"/>
                <w:b/>
                <w:bCs/>
                <w:sz w:val="32"/>
                <w:szCs w:val="32"/>
                <w:lang w:val="en-US" w:eastAsia="zh-CN"/>
              </w:rPr>
              <w:t>奖励补助</w:t>
            </w:r>
          </w:p>
        </w:tc>
        <w:tc>
          <w:tcPr>
            <w:tcW w:w="950" w:type="dxa"/>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w:t>
            </w:r>
          </w:p>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tc>
        <w:tc>
          <w:tcPr>
            <w:tcW w:w="1130" w:type="dxa"/>
            <w:gridSpan w:val="2"/>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补偿方式选择的引导奖励</w:t>
            </w:r>
          </w:p>
        </w:tc>
        <w:tc>
          <w:tcPr>
            <w:tcW w:w="1945" w:type="dxa"/>
            <w:gridSpan w:val="3"/>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每户按被征收房屋评估价值的6%给予奖励，另再给予3㎡的被征收房屋评估价值奖励</w:t>
            </w:r>
            <w:r>
              <w:rPr>
                <w:rFonts w:hint="default" w:ascii="Times New Roman" w:hAnsi="Times New Roman" w:cs="Times New Roman"/>
                <w:sz w:val="24"/>
                <w:szCs w:val="24"/>
                <w:lang w:val="en-US" w:eastAsia="zh-CN"/>
              </w:rPr>
              <w:t>。</w:t>
            </w:r>
          </w:p>
        </w:tc>
        <w:tc>
          <w:tcPr>
            <w:tcW w:w="5345" w:type="dxa"/>
            <w:vMerge w:val="restart"/>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lang w:val="en-US" w:eastAsia="zh-CN"/>
              </w:rPr>
              <w:t>1.各征收项目根据实际情况，按统筹兼顾原则，在征收补偿安置方案中制定补偿方式选择的引导奖励</w:t>
            </w:r>
            <w:r>
              <w:rPr>
                <w:rFonts w:hint="default" w:ascii="Times New Roman" w:hAnsi="Times New Roman" w:cs="Times New Roman"/>
                <w:sz w:val="21"/>
                <w:szCs w:val="21"/>
                <w:lang w:val="en-US" w:eastAsia="zh-CN"/>
              </w:rPr>
              <w:t>。</w:t>
            </w:r>
          </w:p>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2.同一产权房屋中既有住宅又有非住宅的，分别根据评估价值计算奖励。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6"/>
                <w:szCs w:val="16"/>
                <w:lang w:val="en-US" w:eastAsia="zh-CN"/>
              </w:rPr>
            </w:pPr>
          </w:p>
        </w:tc>
        <w:tc>
          <w:tcPr>
            <w:tcW w:w="950" w:type="dxa"/>
            <w:vMerge w:val="continue"/>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tc>
        <w:tc>
          <w:tcPr>
            <w:tcW w:w="1130" w:type="dxa"/>
            <w:gridSpan w:val="2"/>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1945" w:type="dxa"/>
            <w:gridSpan w:val="3"/>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每户按被征收房屋评估价值的5%计算。</w:t>
            </w:r>
          </w:p>
        </w:tc>
        <w:tc>
          <w:tcPr>
            <w:tcW w:w="5345" w:type="dxa"/>
            <w:vMerge w:val="continue"/>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6"/>
                <w:szCs w:val="16"/>
                <w:lang w:val="en-US" w:eastAsia="zh-CN"/>
              </w:rPr>
            </w:pPr>
          </w:p>
        </w:tc>
        <w:tc>
          <w:tcPr>
            <w:tcW w:w="950" w:type="dxa"/>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6</w:t>
            </w:r>
          </w:p>
        </w:tc>
        <w:tc>
          <w:tcPr>
            <w:tcW w:w="1130" w:type="dxa"/>
            <w:gridSpan w:val="2"/>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单户提前签约奖励</w:t>
            </w:r>
          </w:p>
        </w:tc>
        <w:tc>
          <w:tcPr>
            <w:tcW w:w="1945" w:type="dxa"/>
            <w:gridSpan w:val="3"/>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270元/户·日</w:t>
            </w:r>
          </w:p>
        </w:tc>
        <w:tc>
          <w:tcPr>
            <w:tcW w:w="5345" w:type="dxa"/>
            <w:vMerge w:val="restart"/>
            <w:noWrap w:val="0"/>
            <w:vAlign w:val="center"/>
          </w:tcPr>
          <w:p>
            <w:pPr>
              <w:widowControl w:val="0"/>
              <w:numPr>
                <w:ilvl w:val="0"/>
                <w:numId w:val="2"/>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提前天数自签约之日起计算，截止公告载明签约期限届满之日。</w:t>
            </w:r>
            <w:r>
              <w:rPr>
                <w:rFonts w:hint="default" w:ascii="Times New Roman" w:hAnsi="Times New Roman" w:cs="Times New Roman"/>
                <w:sz w:val="21"/>
                <w:szCs w:val="21"/>
                <w:lang w:val="en-US" w:eastAsia="zh-CN"/>
              </w:rPr>
              <w:t>2.</w:t>
            </w:r>
            <w:r>
              <w:rPr>
                <w:rFonts w:hint="default" w:ascii="Times New Roman" w:hAnsi="Times New Roman" w:eastAsia="方正仿宋_GBK" w:cs="Times New Roman"/>
                <w:sz w:val="21"/>
                <w:szCs w:val="21"/>
                <w:lang w:val="en-US" w:eastAsia="zh-CN"/>
              </w:rPr>
              <w:t>同一产权房屋中既有住宅又有非住宅的，分别计算奖励。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6"/>
                <w:szCs w:val="16"/>
                <w:lang w:val="en-US" w:eastAsia="zh-CN"/>
              </w:rPr>
            </w:pPr>
          </w:p>
        </w:tc>
        <w:tc>
          <w:tcPr>
            <w:tcW w:w="950" w:type="dxa"/>
            <w:vMerge w:val="continue"/>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tc>
        <w:tc>
          <w:tcPr>
            <w:tcW w:w="1130" w:type="dxa"/>
            <w:gridSpan w:val="2"/>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1945" w:type="dxa"/>
            <w:gridSpan w:val="3"/>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18元/平方米·日</w:t>
            </w:r>
          </w:p>
        </w:tc>
        <w:tc>
          <w:tcPr>
            <w:tcW w:w="5345" w:type="dxa"/>
            <w:vMerge w:val="continue"/>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6"/>
                <w:szCs w:val="16"/>
                <w:lang w:val="en-US" w:eastAsia="zh-CN"/>
              </w:rPr>
            </w:pPr>
          </w:p>
        </w:tc>
        <w:tc>
          <w:tcPr>
            <w:tcW w:w="950"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7</w:t>
            </w:r>
          </w:p>
        </w:tc>
        <w:tc>
          <w:tcPr>
            <w:tcW w:w="3075" w:type="dxa"/>
            <w:gridSpan w:val="5"/>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单户按期搬迁奖励</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25000元/户</w:t>
            </w:r>
          </w:p>
        </w:tc>
        <w:tc>
          <w:tcPr>
            <w:tcW w:w="5345" w:type="dxa"/>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给予协商签约且按约定期限内完成搬迁的被征收人的单户奖励。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6"/>
                <w:szCs w:val="16"/>
                <w:lang w:val="en-US" w:eastAsia="zh-CN"/>
              </w:rPr>
            </w:pPr>
          </w:p>
        </w:tc>
        <w:tc>
          <w:tcPr>
            <w:tcW w:w="950" w:type="dxa"/>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8</w:t>
            </w:r>
          </w:p>
        </w:tc>
        <w:tc>
          <w:tcPr>
            <w:tcW w:w="1234" w:type="dxa"/>
            <w:gridSpan w:val="3"/>
            <w:vMerge w:val="restart"/>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搬迁补助</w:t>
            </w:r>
          </w:p>
        </w:tc>
        <w:tc>
          <w:tcPr>
            <w:tcW w:w="1841" w:type="dxa"/>
            <w:gridSpan w:val="2"/>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1800元/户·次</w:t>
            </w:r>
          </w:p>
        </w:tc>
        <w:tc>
          <w:tcPr>
            <w:tcW w:w="5345" w:type="dxa"/>
            <w:vMerge w:val="restart"/>
            <w:noWrap w:val="0"/>
            <w:vAlign w:val="center"/>
          </w:tcPr>
          <w:p>
            <w:pPr>
              <w:widowControl w:val="0"/>
              <w:numPr>
                <w:ilvl w:val="0"/>
                <w:numId w:val="3"/>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被征收人选择货币补偿方式的，仅享受1次搬迁补助；选择产权调换补偿方式的，且按期搬离被征收房屋的，享受2次搬迁补助。2.同一产权房屋中既有住宅又有非住宅的，分别计算奖励。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6"/>
                <w:szCs w:val="16"/>
                <w:lang w:val="en-US" w:eastAsia="zh-CN"/>
              </w:rPr>
            </w:pPr>
          </w:p>
        </w:tc>
        <w:tc>
          <w:tcPr>
            <w:tcW w:w="950" w:type="dxa"/>
            <w:vMerge w:val="continue"/>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p>
        </w:tc>
        <w:tc>
          <w:tcPr>
            <w:tcW w:w="1234" w:type="dxa"/>
            <w:gridSpan w:val="3"/>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p>
        </w:tc>
        <w:tc>
          <w:tcPr>
            <w:tcW w:w="1841" w:type="dxa"/>
            <w:gridSpan w:val="2"/>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非住宅</w:t>
            </w:r>
          </w:p>
        </w:tc>
        <w:tc>
          <w:tcPr>
            <w:tcW w:w="3423" w:type="dxa"/>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商业、办公、业务用房：每户27元/平方米·次；</w:t>
            </w:r>
            <w:r>
              <w:rPr>
                <w:rFonts w:hint="default" w:ascii="Times New Roman" w:hAnsi="Times New Roman" w:eastAsia="方正仿宋_GBK" w:cs="Times New Roman"/>
                <w:color w:val="auto"/>
                <w:sz w:val="24"/>
                <w:szCs w:val="24"/>
                <w:lang w:val="en-US" w:eastAsia="zh-CN"/>
              </w:rPr>
              <w:t>生产用房：每户36元/</w:t>
            </w:r>
            <w:r>
              <w:rPr>
                <w:rFonts w:hint="default" w:ascii="Times New Roman" w:hAnsi="Times New Roman" w:eastAsia="方正仿宋_GBK" w:cs="Times New Roman"/>
                <w:sz w:val="24"/>
                <w:szCs w:val="24"/>
                <w:lang w:val="en-US" w:eastAsia="zh-CN"/>
              </w:rPr>
              <w:t>平方米</w:t>
            </w:r>
            <w:r>
              <w:rPr>
                <w:rFonts w:hint="default" w:ascii="Times New Roman" w:hAnsi="Times New Roman" w:eastAsia="方正仿宋_GBK" w:cs="Times New Roman"/>
                <w:color w:val="auto"/>
                <w:sz w:val="24"/>
                <w:szCs w:val="24"/>
                <w:lang w:val="en-US" w:eastAsia="zh-CN"/>
              </w:rPr>
              <w:t>·次</w:t>
            </w:r>
            <w:r>
              <w:rPr>
                <w:rFonts w:hint="default" w:ascii="Times New Roman" w:hAnsi="Times New Roman" w:cs="Times New Roman"/>
                <w:color w:val="auto"/>
                <w:sz w:val="24"/>
                <w:szCs w:val="24"/>
                <w:lang w:val="en-US" w:eastAsia="zh-CN"/>
              </w:rPr>
              <w:t>。</w:t>
            </w:r>
          </w:p>
        </w:tc>
        <w:tc>
          <w:tcPr>
            <w:tcW w:w="5345" w:type="dxa"/>
            <w:vMerge w:val="continue"/>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269" w:type="dxa"/>
            <w:vMerge w:val="continue"/>
            <w:noWrap w:val="0"/>
            <w:vAlign w:val="top"/>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16"/>
                <w:szCs w:val="16"/>
                <w:lang w:val="en-US" w:eastAsia="zh-CN"/>
              </w:rPr>
            </w:pPr>
          </w:p>
        </w:tc>
        <w:tc>
          <w:tcPr>
            <w:tcW w:w="950" w:type="dxa"/>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p>
        </w:tc>
        <w:tc>
          <w:tcPr>
            <w:tcW w:w="1234" w:type="dxa"/>
            <w:gridSpan w:val="3"/>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临时安置补助</w:t>
            </w:r>
          </w:p>
        </w:tc>
        <w:tc>
          <w:tcPr>
            <w:tcW w:w="1841" w:type="dxa"/>
            <w:gridSpan w:val="2"/>
            <w:noWrap w:val="0"/>
            <w:vAlign w:val="center"/>
          </w:tcPr>
          <w:p>
            <w:pPr>
              <w:widowControl w:val="0"/>
              <w:numPr>
                <w:ilvl w:val="0"/>
                <w:numId w:val="0"/>
              </w:numPr>
              <w:wordWrap/>
              <w:adjustRightInd/>
              <w:snapToGrid/>
              <w:spacing w:line="360" w:lineRule="exact"/>
              <w:ind w:left="0" w:leftChars="0" w:right="0"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住宅</w:t>
            </w:r>
          </w:p>
        </w:tc>
        <w:tc>
          <w:tcPr>
            <w:tcW w:w="3423" w:type="dxa"/>
            <w:noWrap w:val="0"/>
            <w:vAlign w:val="center"/>
          </w:tcPr>
          <w:p>
            <w:pPr>
              <w:widowControl w:val="0"/>
              <w:numPr>
                <w:ilvl w:val="0"/>
                <w:numId w:val="0"/>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每户12元/平方米·月</w:t>
            </w:r>
            <w:r>
              <w:rPr>
                <w:rFonts w:hint="eastAsia" w:cs="Times New Roman"/>
                <w:sz w:val="24"/>
                <w:szCs w:val="24"/>
                <w:lang w:val="en-US" w:eastAsia="zh-CN"/>
              </w:rPr>
              <w:t>，</w:t>
            </w:r>
            <w:r>
              <w:rPr>
                <w:rFonts w:hint="default" w:ascii="Times New Roman" w:hAnsi="Times New Roman" w:eastAsia="方正仿宋_GBK" w:cs="Times New Roman"/>
                <w:sz w:val="24"/>
                <w:szCs w:val="24"/>
                <w:lang w:val="en-US" w:eastAsia="zh-CN"/>
              </w:rPr>
              <w:t>但每户最低补助不低于800元/月，最高补助不超过1800元/月</w:t>
            </w:r>
            <w:r>
              <w:rPr>
                <w:rFonts w:hint="default" w:ascii="Times New Roman" w:hAnsi="Times New Roman" w:cs="Times New Roman"/>
                <w:sz w:val="24"/>
                <w:szCs w:val="24"/>
                <w:lang w:val="en-US" w:eastAsia="zh-CN"/>
              </w:rPr>
              <w:t>。</w:t>
            </w:r>
          </w:p>
        </w:tc>
        <w:tc>
          <w:tcPr>
            <w:tcW w:w="5345" w:type="dxa"/>
            <w:noWrap w:val="0"/>
            <w:vAlign w:val="center"/>
          </w:tcPr>
          <w:p>
            <w:pPr>
              <w:widowControl w:val="0"/>
              <w:numPr>
                <w:ilvl w:val="0"/>
                <w:numId w:val="4"/>
              </w:numPr>
              <w:wordWrap/>
              <w:adjustRightInd/>
              <w:snapToGrid/>
              <w:spacing w:line="360" w:lineRule="exact"/>
              <w:ind w:left="0" w:leftChars="0" w:right="0" w:firstLine="0" w:firstLineChars="0"/>
              <w:jc w:val="both"/>
              <w:textAlignment w:val="auto"/>
              <w:outlineLvl w:val="9"/>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选择产权调换补偿方式，且征收人未提供临时周转房屋的，被征收人按照被征收房屋面积，享受每户每月12元/㎡的临时安置补助。2.被征收房屋不足45平方米的，按45平方米计算。</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r>
        <w:rPr>
          <w:rFonts w:hint="default" w:ascii="Times New Roman" w:hAnsi="Times New Roman" w:eastAsia="方正仿宋_GBK" w:cs="Times New Roman"/>
          <w:sz w:val="21"/>
          <w:szCs w:val="21"/>
          <w:lang w:val="en-US" w:eastAsia="zh-CN"/>
        </w:rPr>
        <w:t>备注：1.除有特别说明外，本表格中的户系指被征收房屋的产权户；2.本表格中被征收房屋面积系由房屋产权证载建筑面积和按规定享受最</w:t>
      </w:r>
      <w:r>
        <w:rPr>
          <w:rFonts w:hint="default" w:ascii="Times New Roman" w:hAnsi="Times New Roman" w:cs="Times New Roman"/>
          <w:sz w:val="21"/>
          <w:szCs w:val="21"/>
          <w:lang w:val="en-US" w:eastAsia="zh-CN"/>
        </w:rPr>
        <w:t>低</w:t>
      </w:r>
      <w:r>
        <w:rPr>
          <w:rFonts w:hint="default" w:ascii="Times New Roman" w:hAnsi="Times New Roman" w:eastAsia="方正仿宋_GBK" w:cs="Times New Roman"/>
          <w:sz w:val="21"/>
          <w:szCs w:val="21"/>
          <w:lang w:val="en-US" w:eastAsia="zh-CN"/>
        </w:rPr>
        <w:t>住房保障政策补足部分面积组成；3.本表中被征收房屋评估价值系指被征收房屋产权证载建筑面积和按规定享受最低住房保障政策补足部分面积所对应的评估价值</w:t>
      </w:r>
      <w:r>
        <w:rPr>
          <w:rFonts w:hint="eastAsia" w:cs="Times New Roman"/>
          <w:sz w:val="21"/>
          <w:szCs w:val="21"/>
          <w:lang w:val="en-US" w:eastAsia="zh-CN"/>
        </w:rPr>
        <w:t>。</w:t>
      </w: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r>
      <w:rPr>
        <w:rFonts w:hint="eastAsia" w:ascii="宋体" w:hAnsi="宋体" w:eastAsia="宋体" w:cs="宋体"/>
        <w:b/>
        <w:bCs/>
        <w:color w:val="005192"/>
        <w:sz w:val="28"/>
        <w:szCs w:val="44"/>
        <w:lang w:val="en-US"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left" w:pos="8649"/>
      </w:tabs>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76835</wp:posOffset>
              </wp:positionV>
              <wp:extent cx="8210550" cy="19050"/>
              <wp:effectExtent l="0" t="0" r="0" b="0"/>
              <wp:wrapNone/>
              <wp:docPr id="16" name="直接连接符 16"/>
              <wp:cNvGraphicFramePr/>
              <a:graphic xmlns:a="http://schemas.openxmlformats.org/drawingml/2006/main">
                <a:graphicData uri="http://schemas.microsoft.com/office/word/2010/wordprocessingShape">
                  <wps:wsp>
                    <wps:cNvCnPr/>
                    <wps:spPr>
                      <a:xfrm flipV="1">
                        <a:off x="0" y="0"/>
                        <a:ext cx="8210550" cy="190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6.05pt;height:1.5pt;width:646.5pt;z-index:251664384;mso-width-relative:page;mso-height-relative:page;" filled="f" stroked="t" coordsize="21600,21600" o:gfxdata="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6JXH9kAAAAIAQAADwAAAAAAAAAB&#10;ACAAAAAiAAAAZHJzL2Rvd25yZXYueG1sUEsBAhQAFAAAAAgAh07iQJWyYH7WAQAAdAMAAA4AAAAA&#10;AAAAAQAgAAAAKAEAAGRycy9lMm9Eb2MueG1sUEsFBgAAAAAGAAYAWQEAAHA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ab/>
    </w:r>
    <w:r>
      <w:rPr>
        <w:rFonts w:hint="eastAsia"/>
        <w:color w:val="FAFAFA"/>
        <w:sz w:val="32"/>
        <w:lang w:val="en-US" w:eastAsia="zh-CN"/>
      </w:rPr>
      <w:tab/>
    </w:r>
    <w:r>
      <w:rPr>
        <w:rFonts w:hint="eastAsia"/>
        <w:color w:val="FAFAFA"/>
        <w:sz w:val="32"/>
        <w:lang w:val="en-US" w:eastAsia="zh-CN"/>
      </w:rPr>
      <w:tab/>
    </w:r>
    <w:r>
      <w:rPr>
        <w:rFonts w:hint="eastAsia"/>
        <w:color w:val="FAFAFA"/>
        <w:sz w:val="32"/>
        <w:lang w:val="en-US" w:eastAsia="zh-CN"/>
      </w:rPr>
      <w:t xml:space="preserve"> </w: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重庆市长寿区人民政府办公室发布</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7" name="直接连接符 7"/>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i+WKB1QAAAAgBAAAPAAAAAAAAAAEA&#10;IAAAACIAAABkcnMvZG93bnJldi54bWxQSwECFAAUAAAACACHTuJAW43A59kBAABvAwAADgAAAAAA&#10;AAABACAAAAAkAQAAZHJzL2Uyb0RvYy54bWxQSwUGAAAAAAYABgBZAQAAb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重庆市长寿区人民政府行政</w:t>
    </w:r>
    <w:r>
      <w:rPr>
        <w:rFonts w:hint="eastAsia" w:ascii="宋体" w:hAnsi="宋体" w:eastAsia="宋体" w:cs="宋体"/>
        <w:b/>
        <w:bCs/>
        <w:color w:val="005192"/>
        <w:sz w:val="32"/>
        <w:szCs w:val="32"/>
        <w:lang w:val="en-US" w:eastAsia="zh-Hans"/>
      </w:rPr>
      <w:t>规范性文件</w:t>
    </w:r>
  </w:p>
  <w:p>
    <w:pPr>
      <w:pStyle w:val="8"/>
      <w:rPr>
        <w:rFonts w:hint="eastAsia"/>
        <w:lang w:val="en-US" w:eastAsia="zh-CN"/>
      </w:rPr>
    </w:pPr>
  </w:p>
  <w:p>
    <w:pPr>
      <w:pStyle w:val="8"/>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668D0"/>
    <w:multiLevelType w:val="singleLevel"/>
    <w:tmpl w:val="620668D0"/>
    <w:lvl w:ilvl="0" w:tentative="0">
      <w:start w:val="1"/>
      <w:numFmt w:val="decimal"/>
      <w:suff w:val="nothing"/>
      <w:lvlText w:val="%1."/>
      <w:lvlJc w:val="left"/>
    </w:lvl>
  </w:abstractNum>
  <w:abstractNum w:abstractNumId="1">
    <w:nsid w:val="62073F61"/>
    <w:multiLevelType w:val="singleLevel"/>
    <w:tmpl w:val="62073F61"/>
    <w:lvl w:ilvl="0" w:tentative="0">
      <w:start w:val="1"/>
      <w:numFmt w:val="decimal"/>
      <w:suff w:val="nothing"/>
      <w:lvlText w:val="%1."/>
      <w:lvlJc w:val="left"/>
    </w:lvl>
  </w:abstractNum>
  <w:abstractNum w:abstractNumId="2">
    <w:nsid w:val="631567DC"/>
    <w:multiLevelType w:val="singleLevel"/>
    <w:tmpl w:val="631567DC"/>
    <w:lvl w:ilvl="0" w:tentative="0">
      <w:start w:val="1"/>
      <w:numFmt w:val="decimal"/>
      <w:suff w:val="nothing"/>
      <w:lvlText w:val="%1."/>
      <w:lvlJc w:val="left"/>
    </w:lvl>
  </w:abstractNum>
  <w:abstractNum w:abstractNumId="3">
    <w:nsid w:val="631567EF"/>
    <w:multiLevelType w:val="singleLevel"/>
    <w:tmpl w:val="631567EF"/>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34F3907"/>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48A440B"/>
    <w:rsid w:val="55E064E0"/>
    <w:rsid w:val="56640CAA"/>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58583F"/>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unhideWhenUsed/>
    <w:qFormat/>
    <w:uiPriority w:val="99"/>
    <w:pPr>
      <w:spacing w:after="120"/>
    </w:pPr>
    <w:rPr>
      <w:kern w:val="0"/>
      <w:sz w:val="20"/>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2023-11-02T02:50:48Z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