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长寿</w:t>
      </w: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eastAsia="zh-CN"/>
        </w:rPr>
        <w:t>菩提街道办事处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eastAsia" w:ascii="Times New Roman" w:hAnsi="Times New Roman" w:eastAsia="方正小标宋_GBK" w:cs="Times New Roman"/>
          <w:sz w:val="44"/>
          <w:szCs w:val="44"/>
          <w:lang w:eastAsia="zh-CN"/>
        </w:rPr>
        <w:t>废止部分政府规范性文件的决定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菩提办</w:t>
      </w:r>
      <w:r>
        <w:rPr>
          <w:rFonts w:hint="default" w:ascii="Times New Roman" w:hAnsi="Times New Roman" w:eastAsia="方正仿宋_GBK" w:cs="Times New Roman"/>
          <w:sz w:val="32"/>
          <w:szCs w:val="20"/>
          <w:lang w:eastAsia="zh-CN"/>
        </w:rPr>
        <w:t>发</w:t>
      </w: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23</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47</w:t>
      </w:r>
      <w:r>
        <w:rPr>
          <w:rFonts w:hint="default"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right="0" w:rightChars="0"/>
        <w:jc w:val="left"/>
        <w:textAlignment w:val="auto"/>
        <w:outlineLvl w:val="9"/>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仿宋_GBK" w:cs="Times New Roman"/>
          <w:kern w:val="2"/>
          <w:sz w:val="32"/>
          <w:szCs w:val="20"/>
          <w:lang w:val="en-US" w:eastAsia="zh-CN" w:bidi="ar-SA"/>
        </w:rPr>
        <w:t>各村</w:t>
      </w:r>
      <w:r>
        <w:rPr>
          <w:rFonts w:hint="eastAsia" w:ascii="Times New Roman" w:hAnsi="Times New Roman" w:eastAsia="方正仿宋_GBK" w:cs="Times New Roman"/>
          <w:kern w:val="2"/>
          <w:sz w:val="32"/>
          <w:szCs w:val="20"/>
          <w:lang w:val="en-US" w:eastAsia="zh-CN" w:bidi="ar-SA"/>
        </w:rPr>
        <w:t>（社区）</w:t>
      </w:r>
      <w:r>
        <w:rPr>
          <w:rFonts w:hint="default" w:ascii="Times New Roman" w:hAnsi="Times New Roman" w:eastAsia="方正仿宋_GBK" w:cs="Times New Roman"/>
          <w:kern w:val="2"/>
          <w:sz w:val="32"/>
          <w:szCs w:val="20"/>
          <w:lang w:val="en-US" w:eastAsia="zh-CN" w:bidi="ar-SA"/>
        </w:rPr>
        <w:t>，各办（所、站、中心、大队），有关部门：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left"/>
        <w:textAlignment w:val="auto"/>
        <w:outlineLvl w:val="9"/>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经街道党工委扩大会议审定，对《关于进一步加强违法建筑整治工作的通知》（菩提办发〔2016〕78号）等共19个行政规范性文件予以废止，本决定自公布之日起施行。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left"/>
        <w:textAlignment w:val="auto"/>
        <w:outlineLvl w:val="9"/>
        <w:rPr>
          <w:rFonts w:hint="eastAsia" w:ascii="Times New Roman" w:hAnsi="Times New Roman" w:eastAsia="方正仿宋_GBK" w:cs="Times New Roman"/>
          <w:kern w:val="2"/>
          <w:sz w:val="32"/>
          <w:szCs w:val="20"/>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left"/>
        <w:textAlignment w:val="auto"/>
        <w:outlineLvl w:val="9"/>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附件：废止的政府规范性文件目录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atLeast"/>
        <w:ind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atLeast"/>
        <w:ind w:left="0" w:leftChars="0" w:right="0" w:rightChars="0" w:firstLine="4640" w:firstLineChars="1450"/>
        <w:jc w:val="both"/>
        <w:textAlignment w:val="auto"/>
        <w:outlineLvl w:val="9"/>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重庆市长寿区</w:t>
      </w:r>
      <w:r>
        <w:rPr>
          <w:rFonts w:hint="eastAsia" w:ascii="方正仿宋_GBK" w:hAnsi="方正仿宋_GBK" w:eastAsia="方正仿宋_GBK" w:cs="方正仿宋_GBK"/>
          <w:sz w:val="32"/>
          <w:szCs w:val="32"/>
          <w:lang w:eastAsia="zh-CN"/>
        </w:rPr>
        <w:t>菩提街道办事处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atLeast"/>
        <w:ind w:left="0" w:leftChars="0" w:right="0" w:rightChars="0" w:firstLine="5440" w:firstLineChars="1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pStyle w:val="2"/>
        <w:keepNext w:val="0"/>
        <w:keepLines w:val="0"/>
        <w:pageBreakBefore w:val="0"/>
        <w:numPr>
          <w:ilvl w:val="0"/>
          <w:numId w:val="0"/>
        </w:numPr>
        <w:kinsoku/>
        <w:wordWrap/>
        <w:overflowPunct/>
        <w:topLinePunct w:val="0"/>
        <w:bidi w:val="0"/>
        <w:snapToGrid/>
        <w:spacing w:line="596" w:lineRule="exact"/>
        <w:ind w:firstLine="640" w:firstLineChars="200"/>
        <w:rPr>
          <w:rFonts w:hint="eastAsia" w:ascii="方正仿宋_GBK" w:hAnsi="方正仿宋_GBK" w:eastAsia="方正仿宋_GBK" w:cs="方正仿宋_GBK"/>
          <w:b w:val="0"/>
          <w:bCs w:val="0"/>
          <w:sz w:val="32"/>
          <w:szCs w:val="32"/>
          <w:lang w:val="en-US" w:eastAsia="zh-CN"/>
        </w:rPr>
      </w:pPr>
      <w:bookmarkStart w:id="0" w:name="_GoBack"/>
      <w:bookmarkEnd w:id="0"/>
      <w:r>
        <w:rPr>
          <w:rFonts w:hint="eastAsia" w:ascii="方正仿宋_GBK" w:hAnsi="方正仿宋_GBK" w:eastAsia="方正仿宋_GBK" w:cs="方正仿宋_GBK"/>
          <w:b w:val="0"/>
          <w:bCs w:val="0"/>
          <w:sz w:val="32"/>
          <w:szCs w:val="32"/>
          <w:lang w:val="en-US" w:eastAsia="zh-CN"/>
        </w:rPr>
        <w:t>（此件公开发布）</w:t>
      </w: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pStyle w:val="2"/>
        <w:keepNext w:val="0"/>
        <w:keepLines w:val="0"/>
        <w:pageBreakBefore w:val="0"/>
        <w:numPr>
          <w:ilvl w:val="0"/>
          <w:numId w:val="0"/>
        </w:numPr>
        <w:kinsoku/>
        <w:wordWrap/>
        <w:overflowPunct/>
        <w:topLinePunct w:val="0"/>
        <w:bidi w:val="0"/>
        <w:snapToGrid/>
        <w:spacing w:line="596" w:lineRule="exact"/>
        <w:rPr>
          <w:rFonts w:hint="default"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废止的政府规范性文件目录</w:t>
      </w:r>
    </w:p>
    <w:p>
      <w:pPr>
        <w:pStyle w:val="2"/>
        <w:keepNext w:val="0"/>
        <w:keepLines w:val="0"/>
        <w:pageBreakBefore w:val="0"/>
        <w:numPr>
          <w:ilvl w:val="0"/>
          <w:numId w:val="0"/>
        </w:numPr>
        <w:kinsoku/>
        <w:wordWrap/>
        <w:overflowPunct/>
        <w:topLinePunct w:val="0"/>
        <w:bidi w:val="0"/>
        <w:snapToGrid/>
        <w:spacing w:line="596" w:lineRule="exact"/>
        <w:jc w:val="center"/>
        <w:rPr>
          <w:rFonts w:hint="default" w:ascii="方正小标宋_GBK" w:hAnsi="方正小标宋_GBK" w:eastAsia="方正小标宋_GBK" w:cs="方正小标宋_GBK"/>
          <w:b w:val="0"/>
          <w:bCs w:val="0"/>
          <w:sz w:val="44"/>
          <w:szCs w:val="44"/>
          <w:lang w:val="en-US" w:eastAsia="zh-CN"/>
        </w:rPr>
      </w:pPr>
    </w:p>
    <w:tbl>
      <w:tblPr>
        <w:tblStyle w:val="11"/>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355"/>
        <w:gridCol w:w="532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序号</w:t>
            </w:r>
          </w:p>
        </w:tc>
        <w:tc>
          <w:tcPr>
            <w:tcW w:w="2355"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文号</w:t>
            </w:r>
          </w:p>
        </w:tc>
        <w:tc>
          <w:tcPr>
            <w:tcW w:w="5325"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文件名</w:t>
            </w:r>
          </w:p>
        </w:tc>
        <w:tc>
          <w:tcPr>
            <w:tcW w:w="930" w:type="dxa"/>
            <w:noWrap w:val="0"/>
            <w:vAlign w:val="top"/>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color w:val="000000"/>
                <w:spacing w:val="-20"/>
                <w:sz w:val="28"/>
                <w:szCs w:val="28"/>
                <w:lang w:eastAsia="zh-CN"/>
              </w:rPr>
            </w:pPr>
            <w:r>
              <w:rPr>
                <w:rFonts w:hint="eastAsia" w:ascii="方正黑体_GBK" w:hAnsi="方正黑体_GBK" w:eastAsia="方正黑体_GBK" w:cs="方正黑体_GBK"/>
                <w:b w:val="0"/>
                <w:bCs w:val="0"/>
                <w:color w:val="000000"/>
                <w:spacing w:val="-2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0"/>
                <w:sz w:val="24"/>
                <w:szCs w:val="24"/>
                <w:u w:val="none"/>
                <w:lang w:val="en-US" w:eastAsia="zh-CN" w:bidi="ar"/>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菩提办发〔2016〕78号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关于进一步加强违法建筑整治工作的通知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2</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菩提办发〔2016〕34号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关于印发《长寿区菩提街道畜禽养殖区域划分及养殖污染控制实施方案》的通知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3</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菩提办发〔2016〕101号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关于畜禽养殖区域划分及养殖污染控制方案的通知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4</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菩提办发〔2017〕37号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违法建筑整治方案</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5</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菩提办发〔2018〕22号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关于加强国土资源管理工作的通知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6</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菩提办发〔2018〕54号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2"/>
                <w:sz w:val="24"/>
                <w:szCs w:val="24"/>
                <w:u w:val="none"/>
                <w:lang w:val="en-US" w:eastAsia="zh-CN" w:bidi="ar-SA"/>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关于印发困难群众临时救助实施方案的通知</w:t>
            </w:r>
          </w:p>
        </w:tc>
        <w:tc>
          <w:tcPr>
            <w:tcW w:w="930" w:type="dxa"/>
            <w:noWrap w:val="0"/>
            <w:vAlign w:val="top"/>
          </w:tcPr>
          <w:p>
            <w:pPr>
              <w:keepNext w:val="0"/>
              <w:keepLines w:val="0"/>
              <w:pageBreakBefore w:val="0"/>
              <w:widowControl/>
              <w:suppressLineNumbers w:val="0"/>
              <w:kinsoku/>
              <w:wordWrap/>
              <w:overflowPunct/>
              <w:topLinePunct w:val="0"/>
              <w:bidi w:val="0"/>
              <w:snapToGrid/>
              <w:spacing w:line="596" w:lineRule="exact"/>
              <w:jc w:val="both"/>
              <w:textAlignment w:val="center"/>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7</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菩提办发〔2018〕58号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关于印发《菩提街道农村生活垃圾治理工作实施方案》的通知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8</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菩提办发〔2018〕72号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关于印发重庆市长寿区菩提街道进一步深化农村承包经营权确权登记颁证操作方案的通知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9</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菩提办发〔2018〕75号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关于印发《重庆市长寿区菩提街道畜禽养殖污染防治工作实施方案》的通知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10</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菩提办发〔2018〕77号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关于进一步加强农村留守儿童健康关爱工作的通知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11</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菩提办发〔2018〕123号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关于印发《重庆市长寿区菩提街道畜禽养殖废弃物资源化利用实施方案》的通知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12</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菩提办发〔2019〕31号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关于印发菩提街道城区文明治丧管理工作</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13</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菩提办发〔2019〕52号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b w:val="0"/>
                <w:bCs w:val="0"/>
                <w:color w:val="auto"/>
                <w:spacing w:val="-23"/>
                <w:sz w:val="24"/>
                <w:szCs w:val="24"/>
                <w:vertAlign w:val="baseline"/>
                <w:lang w:val="en-US" w:eastAsia="zh-CN"/>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关于印发《长寿区菩提街道畜禽养殖区域划分及养殖污染控制实施方案》的通知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14</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2"/>
                <w:sz w:val="24"/>
                <w:szCs w:val="24"/>
                <w:u w:val="none"/>
                <w:lang w:val="en-US" w:eastAsia="zh-CN" w:bidi="ar-SA"/>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菩提办发〔2019〕55号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0"/>
                <w:sz w:val="24"/>
                <w:szCs w:val="24"/>
                <w:u w:val="none"/>
                <w:lang w:val="en-US" w:eastAsia="zh-CN" w:bidi="ar"/>
              </w:rPr>
            </w:pPr>
            <w:r>
              <w:rPr>
                <w:rFonts w:hint="eastAsia" w:ascii="Times New Roman" w:hAnsi="Times New Roman" w:eastAsia="方正仿宋_GBK" w:cs="方正仿宋_GBK"/>
                <w:i w:val="0"/>
                <w:iCs w:val="0"/>
                <w:color w:val="auto"/>
                <w:spacing w:val="-23"/>
                <w:kern w:val="0"/>
                <w:sz w:val="24"/>
                <w:szCs w:val="24"/>
                <w:u w:val="none"/>
                <w:lang w:val="en-US" w:eastAsia="zh-CN" w:bidi="ar"/>
              </w:rPr>
              <w:t>农转城和一般农户认定临界对象的通知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15</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2"/>
                <w:sz w:val="24"/>
                <w:szCs w:val="24"/>
                <w:u w:val="none"/>
                <w:lang w:val="en-US" w:eastAsia="zh-CN" w:bidi="ar-SA"/>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菩提办发〔2019〕96号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0"/>
                <w:sz w:val="24"/>
                <w:szCs w:val="24"/>
                <w:u w:val="none"/>
                <w:lang w:val="en-US" w:eastAsia="zh-CN" w:bidi="ar"/>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关于印发菩提街道政府投资项目管理办法的通知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16</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2"/>
                <w:sz w:val="24"/>
                <w:szCs w:val="24"/>
                <w:u w:val="none"/>
                <w:lang w:val="en-US" w:eastAsia="zh-CN" w:bidi="ar-SA"/>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菩提办发〔2020〕15号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0"/>
                <w:sz w:val="24"/>
                <w:szCs w:val="24"/>
                <w:u w:val="none"/>
                <w:lang w:val="en-US" w:eastAsia="zh-CN" w:bidi="ar"/>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菩提街道高层建筑消防安全突出问题专项整治工作方案</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17</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2"/>
                <w:sz w:val="24"/>
                <w:szCs w:val="24"/>
                <w:u w:val="none"/>
                <w:lang w:val="en-US" w:eastAsia="zh-CN" w:bidi="ar-SA"/>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菩提办发〔2020〕16号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0"/>
                <w:sz w:val="24"/>
                <w:szCs w:val="24"/>
                <w:u w:val="none"/>
                <w:lang w:val="en-US" w:eastAsia="zh-CN" w:bidi="ar"/>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关于印发菩提街道高层建筑用电用气安全隐患专项整治实施方案的通知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18</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2"/>
                <w:sz w:val="24"/>
                <w:szCs w:val="24"/>
                <w:u w:val="none"/>
                <w:lang w:val="en-US" w:eastAsia="zh-CN" w:bidi="ar-SA"/>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菩提办发〔2020〕37号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0"/>
                <w:sz w:val="24"/>
                <w:szCs w:val="24"/>
                <w:u w:val="none"/>
                <w:lang w:val="en-US" w:eastAsia="zh-CN" w:bidi="ar"/>
              </w:rPr>
            </w:pPr>
            <w:r>
              <w:rPr>
                <w:rFonts w:hint="eastAsia" w:ascii="Times New Roman" w:hAnsi="Times New Roman" w:eastAsia="方正仿宋_GBK" w:cs="方正仿宋_GBK"/>
                <w:i w:val="0"/>
                <w:iCs w:val="0"/>
                <w:color w:val="auto"/>
                <w:spacing w:val="-23"/>
                <w:kern w:val="0"/>
                <w:sz w:val="24"/>
                <w:szCs w:val="24"/>
                <w:u w:val="none"/>
                <w:lang w:val="en-US" w:eastAsia="zh-CN" w:bidi="ar"/>
              </w:rPr>
              <w:t>开展违法违规私建“住宅式”墓地等专项整治工作方案的通知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仿宋_GBK" w:cs="方正仿宋_GBK"/>
                <w:b w:val="0"/>
                <w:bCs w:val="0"/>
                <w:spacing w:val="-20"/>
                <w:sz w:val="28"/>
                <w:szCs w:val="28"/>
                <w:vertAlign w:val="baseline"/>
                <w:lang w:val="en-US" w:eastAsia="zh-CN"/>
              </w:rPr>
            </w:pPr>
            <w:r>
              <w:rPr>
                <w:rFonts w:hint="eastAsia" w:ascii="Times New Roman" w:hAnsi="Times New Roman" w:eastAsia="方正仿宋_GBK" w:cs="方正仿宋_GBK"/>
                <w:b w:val="0"/>
                <w:bCs w:val="0"/>
                <w:spacing w:val="-20"/>
                <w:sz w:val="28"/>
                <w:szCs w:val="28"/>
                <w:vertAlign w:val="baseline"/>
                <w:lang w:val="en-US" w:eastAsia="zh-CN"/>
              </w:rPr>
              <w:t>19</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0"/>
                <w:sz w:val="24"/>
                <w:szCs w:val="24"/>
                <w:u w:val="none"/>
                <w:lang w:val="en-US" w:eastAsia="zh-CN" w:bidi="ar"/>
              </w:rPr>
            </w:pPr>
            <w:r>
              <w:rPr>
                <w:rFonts w:hint="eastAsia" w:ascii="Times New Roman" w:hAnsi="Times New Roman" w:eastAsia="方正仿宋_GBK" w:cs="方正仿宋_GBK"/>
                <w:i w:val="0"/>
                <w:iCs w:val="0"/>
                <w:color w:val="auto"/>
                <w:spacing w:val="-23"/>
                <w:kern w:val="0"/>
                <w:sz w:val="24"/>
                <w:szCs w:val="24"/>
                <w:u w:val="none"/>
                <w:lang w:val="en-US" w:eastAsia="zh-CN" w:bidi="ar"/>
              </w:rPr>
              <w:t>菩提办发〔2023〕21号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_GBK" w:cs="方正仿宋_GBK"/>
                <w:i w:val="0"/>
                <w:iCs w:val="0"/>
                <w:color w:val="auto"/>
                <w:spacing w:val="-23"/>
                <w:kern w:val="0"/>
                <w:sz w:val="24"/>
                <w:szCs w:val="24"/>
                <w:u w:val="none"/>
                <w:lang w:val="en-US" w:eastAsia="zh-CN" w:bidi="ar"/>
              </w:rPr>
            </w:pPr>
            <w:r>
              <w:rPr>
                <w:rFonts w:hint="eastAsia" w:ascii="Times New Roman" w:hAnsi="Times New Roman" w:eastAsia="方正仿宋_GBK" w:cs="方正仿宋_GBK"/>
                <w:i w:val="0"/>
                <w:iCs w:val="0"/>
                <w:color w:val="auto"/>
                <w:spacing w:val="-23"/>
                <w:kern w:val="0"/>
                <w:sz w:val="24"/>
                <w:szCs w:val="24"/>
                <w:u w:val="none"/>
                <w:lang w:val="en-US" w:eastAsia="zh-CN" w:bidi="ar"/>
              </w:rPr>
              <w:t>关于印发菩提街道2023年开展畜产品质量安全检查整治行动方案的通知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Times New Roman" w:hAnsi="Times New Roman" w:eastAsia="方正仿宋_GBK" w:cs="方正仿宋_GBK"/>
                <w:b w:val="0"/>
                <w:bCs w:val="0"/>
                <w:color w:val="000000"/>
                <w:spacing w:val="-20"/>
                <w:sz w:val="28"/>
                <w:szCs w:val="28"/>
              </w:rPr>
            </w:pPr>
          </w:p>
        </w:tc>
      </w:tr>
    </w:tbl>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5280" w:firstLineChars="1650"/>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32"/>
          <w:szCs w:val="20"/>
          <w:lang w:val="en-US" w:eastAsia="zh-CN"/>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菩提街道办事处</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菩提街道办事处</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6523AC"/>
    <w:rsid w:val="22440422"/>
    <w:rsid w:val="22BB4BBB"/>
    <w:rsid w:val="262C7AA0"/>
    <w:rsid w:val="29A074FB"/>
    <w:rsid w:val="2AEB3417"/>
    <w:rsid w:val="313B07EE"/>
    <w:rsid w:val="31A15F24"/>
    <w:rsid w:val="324A1681"/>
    <w:rsid w:val="36FB1DF0"/>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7915306"/>
    <w:rsid w:val="5A571A7C"/>
    <w:rsid w:val="5B8D42E2"/>
    <w:rsid w:val="5DC34279"/>
    <w:rsid w:val="5FCD688E"/>
    <w:rsid w:val="5FF9BDAA"/>
    <w:rsid w:val="608816D1"/>
    <w:rsid w:val="60EF4E7F"/>
    <w:rsid w:val="62857768"/>
    <w:rsid w:val="648B0A32"/>
    <w:rsid w:val="64F51CDF"/>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250AB"/>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 w:type="paragraph" w:customStyle="1" w:styleId="17">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860</Words>
  <Characters>963</Characters>
  <Lines>1</Lines>
  <Paragraphs>1</Paragraphs>
  <TotalTime>13</TotalTime>
  <ScaleCrop>false</ScaleCrop>
  <LinksUpToDate>false</LinksUpToDate>
  <CharactersWithSpaces>965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1C20730F559E4B55BDBB87994C8D762B_13</vt:lpwstr>
  </property>
</Properties>
</file>