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wordWrap/>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重庆市长寿区洪湖镇人民政府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widowControl/>
        <w:shd w:val="clear" w:color="auto" w:fill="FFFFFF"/>
        <w:wordWrap/>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pPr>
        <w:pStyle w:val="6"/>
        <w:widowControl/>
        <w:shd w:val="clear" w:color="auto" w:fill="FFFFFF"/>
        <w:wordWrap/>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6"/>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widowControl w:val="0"/>
        <w:wordWrap/>
        <w:spacing w:line="594" w:lineRule="exact"/>
        <w:ind w:right="0" w:firstLine="640" w:firstLineChars="200"/>
        <w:jc w:val="both"/>
        <w:textAlignment w:val="auto"/>
        <w:outlineLvl w:val="9"/>
        <w:rPr>
          <w:rFonts w:hint="default" w:ascii="Times New Roman" w:hAnsi="Times New Roman" w:eastAsia="方正楷体_GBK" w:cs="Times New Roman"/>
          <w:b w:val="0"/>
          <w:bCs/>
          <w:kern w:val="2"/>
          <w:sz w:val="32"/>
          <w:szCs w:val="28"/>
          <w:lang w:val="en-US" w:eastAsia="zh-CN" w:bidi="ar-SA"/>
        </w:rPr>
      </w:pPr>
      <w:r>
        <w:rPr>
          <w:rFonts w:hint="default" w:ascii="Times New Roman" w:hAnsi="Times New Roman" w:eastAsia="方正楷体_GBK" w:cs="Times New Roman"/>
          <w:b w:val="0"/>
          <w:bCs/>
          <w:kern w:val="2"/>
          <w:sz w:val="32"/>
          <w:szCs w:val="28"/>
          <w:lang w:val="en-US" w:eastAsia="zh-CN" w:bidi="ar-SA"/>
        </w:rPr>
        <w:t>（一）职能职责</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1.认真贯彻执行党和国家的各项方针、政策；</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2.负责辖区内的城市建设和管理等工作；</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3.负责辖区内的维护稳定及社会治安治理工作；</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4.负责民事调解、法律服务工作，维护村社区居民民的合法权益；</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5.负责拥军优属、优抚安置、社会救济、社会福利、社会文化、科普、体育、教育等工作；</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6.发展全镇经济，管理全镇各项国有资产；</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7.组织提供人才、科技、信息和其他各种服务，推动全镇经济发展和维护市场经济秩序；</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8.负责计划生育、劳动就业和民事调解等工作；</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9.保障少数民族的权益；</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10.指导和帮助村社区居民委员会做好组织建设和制度建设以及群众自治；</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11.配合有关部门做好防汛、防风、防火、防震、抢险和防灾工作；</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12.向区人民政府反映居民群众的意见和要求，办理人民群众来信来访事项；</w:t>
      </w:r>
    </w:p>
    <w:p>
      <w:pPr>
        <w:pStyle w:val="6"/>
        <w:shd w:val="clear" w:color="auto" w:fill="FFFFFF"/>
        <w:wordWrap/>
        <w:spacing w:before="0" w:beforeAutospacing="0" w:after="0" w:afterAutospacing="0" w:line="594" w:lineRule="exact"/>
        <w:ind w:firstLine="848" w:firstLineChars="265"/>
        <w:jc w:val="both"/>
        <w:textAlignment w:val="auto"/>
        <w:rPr>
          <w:rFonts w:hint="default" w:ascii="Times New Roman" w:hAnsi="Times New Roman" w:eastAsia="方正仿宋_GBK" w:cs="Times New Roman"/>
          <w:kern w:val="2"/>
          <w:sz w:val="32"/>
          <w:szCs w:val="28"/>
          <w:lang w:val="en-US" w:eastAsia="zh-CN" w:bidi="ar-SA"/>
        </w:rPr>
      </w:pPr>
      <w:r>
        <w:rPr>
          <w:rFonts w:hint="default" w:ascii="Times New Roman" w:hAnsi="Times New Roman" w:eastAsia="方正仿宋_GBK" w:cs="Times New Roman"/>
          <w:kern w:val="2"/>
          <w:sz w:val="32"/>
          <w:szCs w:val="28"/>
          <w:lang w:val="en-US" w:eastAsia="zh-CN" w:bidi="ar-SA"/>
        </w:rPr>
        <w:t>13.承办区委、区政府交办的其他事项。</w:t>
      </w:r>
    </w:p>
    <w:p>
      <w:pPr>
        <w:pStyle w:val="6"/>
        <w:shd w:val="clear" w:color="auto" w:fill="FFFFFF"/>
        <w:ind w:firstLine="420"/>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pPr>
        <w:pStyle w:val="6"/>
        <w:shd w:val="clear" w:color="auto" w:fill="FFFFFF"/>
        <w:ind w:firstLine="420"/>
        <w:rPr>
          <w:rFonts w:hint="default" w:ascii="楷体" w:hAnsi="楷体" w:eastAsia="楷体" w:cs="楷体"/>
          <w:sz w:val="32"/>
          <w:szCs w:val="32"/>
        </w:rPr>
      </w:pPr>
      <w:r>
        <w:rPr>
          <w:rFonts w:hint="default" w:ascii="Times New Roman" w:hAnsi="Times New Roman" w:eastAsia="方正仿宋_GBK" w:cs="Times New Roman"/>
          <w:kern w:val="2"/>
          <w:sz w:val="32"/>
          <w:szCs w:val="28"/>
          <w:lang w:val="en-US" w:eastAsia="zh-CN" w:bidi="ar-SA"/>
        </w:rPr>
        <w:t>重庆市长寿区洪湖镇人民政府设行政单位1个（重庆市长寿区洪湖镇人民政府），事业单位1个（重庆市长寿区洪湖镇人民政府农业服务中心）。</w:t>
      </w:r>
    </w:p>
    <w:p>
      <w:pPr>
        <w:pStyle w:val="6"/>
        <w:widowControl/>
        <w:shd w:val="clear" w:color="auto" w:fill="FFFFFF"/>
        <w:wordWrap/>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度收入总计3534.19万元，支出总计</w:t>
      </w:r>
      <w:r>
        <w:rPr>
          <w:rFonts w:ascii="方正仿宋_GBK" w:hAnsi="方正仿宋_GBK" w:eastAsia="方正仿宋_GBK" w:cs="方正仿宋_GBK"/>
          <w:sz w:val="32"/>
          <w:szCs w:val="32"/>
        </w:rPr>
        <w:t>3534.19</w:t>
      </w:r>
      <w:r>
        <w:rPr>
          <w:rFonts w:ascii="方正仿宋_GBK" w:hAnsi="方正仿宋_GBK" w:eastAsia="方正仿宋_GBK" w:cs="方正仿宋_GBK"/>
          <w:sz w:val="32"/>
          <w:szCs w:val="32"/>
          <w:shd w:val="clear" w:color="auto" w:fill="FFFFFF"/>
        </w:rPr>
        <w:t>万元。收、支与2023年度相比，减少419.79万元，下降10.6%，主要原因是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度收入合计3534.19万元，与2023年度相比，减少419.79万元，下降10.6%，主要原因是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3534.19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w:t>
      </w:r>
      <w:r>
        <w:rPr>
          <w:rFonts w:hint="eastAsia" w:ascii="方正仿宋_GBK" w:hAnsi="方正仿宋_GBK" w:eastAsia="方正仿宋_GBK" w:cs="方正仿宋_GBK"/>
          <w:sz w:val="32"/>
          <w:szCs w:val="32"/>
          <w:shd w:val="clear" w:color="auto" w:fill="FFFFFF"/>
          <w:lang w:eastAsia="zh-CN"/>
        </w:rPr>
        <w:t>使用非财政拨款结余（含专用结余）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3534.19</w:t>
      </w:r>
      <w:r>
        <w:rPr>
          <w:rFonts w:ascii="方正仿宋_GBK" w:hAnsi="方正仿宋_GBK" w:eastAsia="方正仿宋_GBK" w:cs="方正仿宋_GBK"/>
          <w:sz w:val="32"/>
          <w:szCs w:val="32"/>
          <w:shd w:val="clear" w:color="auto" w:fill="FFFFFF"/>
        </w:rPr>
        <w:t>万元，与2023年度相比，减少419.79万元，下降10.6%，主要原因是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2410.52</w:t>
      </w:r>
      <w:r>
        <w:rPr>
          <w:rFonts w:ascii="方正仿宋_GBK" w:hAnsi="方正仿宋_GBK" w:eastAsia="方正仿宋_GBK" w:cs="方正仿宋_GBK"/>
          <w:sz w:val="32"/>
          <w:szCs w:val="32"/>
          <w:shd w:val="clear" w:color="auto" w:fill="FFFFFF"/>
        </w:rPr>
        <w:t>万元，占68.21%；项目支出</w:t>
      </w:r>
      <w:r>
        <w:rPr>
          <w:rFonts w:ascii="方正仿宋_GBK" w:hAnsi="方正仿宋_GBK" w:eastAsia="方正仿宋_GBK" w:cs="方正仿宋_GBK"/>
          <w:sz w:val="32"/>
          <w:szCs w:val="32"/>
        </w:rPr>
        <w:t>1123.67</w:t>
      </w:r>
      <w:r>
        <w:rPr>
          <w:rFonts w:ascii="方正仿宋_GBK" w:hAnsi="方正仿宋_GBK" w:eastAsia="方正仿宋_GBK" w:cs="方正仿宋_GBK"/>
          <w:sz w:val="32"/>
          <w:szCs w:val="32"/>
          <w:shd w:val="clear" w:color="auto" w:fill="FFFFFF"/>
        </w:rPr>
        <w:t>万元，占31.79%；经营支出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度财政拨款收、支总计3534.19万元。与202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3534.19</w:t>
      </w:r>
      <w:r>
        <w:rPr>
          <w:rFonts w:ascii="方正仿宋_GBK" w:hAnsi="方正仿宋_GBK" w:eastAsia="方正仿宋_GBK" w:cs="方正仿宋_GBK"/>
          <w:sz w:val="32"/>
          <w:szCs w:val="32"/>
          <w:shd w:val="clear" w:color="auto" w:fill="FFFFFF"/>
        </w:rPr>
        <w:t>万元，与2023年度相比，减少419.79万元，下降10.6%。主要原因是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较年初预算数增加261.77万元，增长8.0%。主要原因是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3534.19</w:t>
      </w:r>
      <w:r>
        <w:rPr>
          <w:rFonts w:ascii="方正仿宋_GBK" w:hAnsi="方正仿宋_GBK" w:eastAsia="方正仿宋_GBK" w:cs="方正仿宋_GBK"/>
          <w:sz w:val="32"/>
          <w:szCs w:val="32"/>
          <w:shd w:val="clear" w:color="auto" w:fill="FFFFFF"/>
        </w:rPr>
        <w:t>万元，与2023年度相比，减少419.79万元，下降10.6%。主要原因是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较年初预算数增加261.77万元，增长8.0%。主要原因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经费支出上涨。</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858.29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24.29%</w:t>
      </w:r>
      <w:r>
        <w:rPr>
          <w:rFonts w:ascii="方正仿宋_GBK" w:hAnsi="方正仿宋_GBK" w:eastAsia="方正仿宋_GBK" w:cs="方正仿宋_GBK"/>
          <w:sz w:val="32"/>
          <w:szCs w:val="32"/>
          <w:shd w:val="clear" w:color="auto" w:fill="FFFFFF"/>
        </w:rPr>
        <w:t>，较年初预</w:t>
      </w:r>
      <w:r>
        <w:rPr>
          <w:rFonts w:ascii="方正仿宋_GBK" w:hAnsi="方正仿宋_GBK" w:eastAsia="方正仿宋_GBK" w:cs="方正仿宋_GBK"/>
          <w:color w:val="auto"/>
          <w:sz w:val="32"/>
          <w:szCs w:val="32"/>
          <w:shd w:val="clear" w:color="auto" w:fill="FFFFFF"/>
        </w:rPr>
        <w:t>算数增加37.46万元，增长4.6%，主要原因是</w:t>
      </w:r>
      <w:r>
        <w:rPr>
          <w:rFonts w:hint="eastAsia" w:ascii="方正仿宋_GBK" w:hAnsi="方正仿宋_GBK" w:eastAsia="方正仿宋_GBK" w:cs="方正仿宋_GBK"/>
          <w:color w:val="auto"/>
          <w:sz w:val="32"/>
          <w:szCs w:val="32"/>
          <w:shd w:val="clear" w:color="auto" w:fill="FFFFFF"/>
          <w:lang w:eastAsia="zh-CN"/>
        </w:rPr>
        <w:t>人员经费上涨。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，较年初预算数减少0.29万元，下降1.6%，主要原因是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社会保障和就业支出</w:t>
      </w:r>
      <w:r>
        <w:rPr>
          <w:rFonts w:ascii="方正仿宋_GBK" w:hAnsi="方正仿宋_GBK" w:eastAsia="方正仿宋_GBK" w:cs="方正仿宋_GBK"/>
          <w:sz w:val="32"/>
          <w:szCs w:val="32"/>
        </w:rPr>
        <w:t>453.53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12.83%</w:t>
      </w:r>
      <w:r>
        <w:rPr>
          <w:rFonts w:ascii="方正仿宋_GBK" w:hAnsi="方正仿宋_GBK" w:eastAsia="方正仿宋_GBK" w:cs="方正仿宋_GBK"/>
          <w:sz w:val="32"/>
          <w:szCs w:val="32"/>
          <w:shd w:val="clear" w:color="auto" w:fill="FFFFFF"/>
        </w:rPr>
        <w:t>，较年初预算数增加53.83万元，增长13.5%，主要原因是</w:t>
      </w:r>
      <w:r>
        <w:rPr>
          <w:rFonts w:hint="eastAsia" w:ascii="方正仿宋_GBK" w:hAnsi="方正仿宋_GBK" w:eastAsia="方正仿宋_GBK" w:cs="方正仿宋_GBK"/>
          <w:sz w:val="32"/>
          <w:szCs w:val="32"/>
          <w:shd w:val="clear" w:color="auto" w:fill="FFFFFF"/>
          <w:lang w:eastAsia="zh-CN"/>
        </w:rPr>
        <w:t>人员薪资报酬上涨。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103.40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2.93%</w:t>
      </w:r>
      <w:r>
        <w:rPr>
          <w:rFonts w:ascii="方正仿宋_GBK" w:hAnsi="方正仿宋_GBK" w:eastAsia="方正仿宋_GBK" w:cs="方正仿宋_GBK"/>
          <w:sz w:val="32"/>
          <w:szCs w:val="32"/>
          <w:shd w:val="clear" w:color="auto" w:fill="FFFFFF"/>
        </w:rPr>
        <w:t>，较年初预算数减少3.32万元，下降3.1%，主要原因是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1989.55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56.29%</w:t>
      </w:r>
      <w:r>
        <w:rPr>
          <w:rFonts w:ascii="方正仿宋_GBK" w:hAnsi="方正仿宋_GBK" w:eastAsia="方正仿宋_GBK" w:cs="方正仿宋_GBK"/>
          <w:sz w:val="32"/>
          <w:szCs w:val="32"/>
          <w:shd w:val="clear" w:color="auto" w:fill="FFFFFF"/>
        </w:rPr>
        <w:t>，较年初预算数增加178.24万元，增长9.8%，主要原因是</w:t>
      </w:r>
      <w:r>
        <w:rPr>
          <w:rFonts w:hint="eastAsia" w:ascii="方正仿宋_GBK" w:hAnsi="方正仿宋_GBK" w:eastAsia="方正仿宋_GBK" w:cs="方正仿宋_GBK"/>
          <w:sz w:val="32"/>
          <w:szCs w:val="32"/>
          <w:shd w:val="clear" w:color="auto" w:fill="FFFFFF"/>
          <w:lang w:eastAsia="zh-CN"/>
        </w:rPr>
        <w:t>人员薪资报酬上涨。</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住房保障支出102.22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，较年初预算数减少4.15万元，下降3.9%，主要原因是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2410.52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2060.77</w:t>
      </w:r>
      <w:r>
        <w:rPr>
          <w:rFonts w:ascii="方正仿宋_GBK" w:hAnsi="方正仿宋_GBK" w:eastAsia="方正仿宋_GBK" w:cs="方正仿宋_GBK"/>
          <w:sz w:val="32"/>
          <w:szCs w:val="32"/>
          <w:shd w:val="clear" w:color="auto" w:fill="FFFFFF"/>
        </w:rPr>
        <w:t>万元，与2023年度相比，增加285.90万元，增长16.1%，主要原因是</w:t>
      </w:r>
      <w:r>
        <w:rPr>
          <w:rFonts w:hint="eastAsia" w:ascii="方正仿宋_GBK" w:hAnsi="方正仿宋_GBK" w:eastAsia="方正仿宋_GBK" w:cs="方正仿宋_GBK"/>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kern w:val="2"/>
          <w:sz w:val="32"/>
          <w:szCs w:val="28"/>
          <w:lang w:val="en-US" w:eastAsia="zh-CN" w:bidi="ar-SA"/>
        </w:rPr>
        <w:t>人员工资、考核及社保福利等。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349.74</w:t>
      </w:r>
      <w:r>
        <w:rPr>
          <w:rFonts w:ascii="方正仿宋_GBK" w:hAnsi="方正仿宋_GBK" w:eastAsia="方正仿宋_GBK" w:cs="方正仿宋_GBK"/>
          <w:sz w:val="32"/>
          <w:szCs w:val="32"/>
          <w:shd w:val="clear" w:color="auto" w:fill="FFFFFF"/>
        </w:rPr>
        <w:t>万元，与2023年度相比，增加37.66万元，增长12.1%，主要原因是</w:t>
      </w:r>
      <w:bookmarkStart w:id="0" w:name="_GoBack"/>
      <w:bookmarkEnd w:id="0"/>
      <w:r>
        <w:rPr>
          <w:rFonts w:hint="default" w:ascii="Times New Roman" w:hAnsi="Times New Roman" w:eastAsia="方正仿宋_GBK" w:cs="Times New Roman"/>
          <w:kern w:val="2"/>
          <w:sz w:val="32"/>
          <w:szCs w:val="28"/>
          <w:lang w:val="en-US" w:eastAsia="zh-CN" w:bidi="ar-SA"/>
        </w:rPr>
        <w:t>创建节约型政府，压减一般性支出。公用经费用途主要包括维持本单位基本运行。</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2"/>
          <w:sz w:val="32"/>
          <w:szCs w:val="28"/>
          <w:lang w:val="en-US" w:eastAsia="zh-CN" w:bidi="ar-SA"/>
        </w:rPr>
        <w:t>本部门</w:t>
      </w:r>
      <w:r>
        <w:rPr>
          <w:rFonts w:hint="eastAsia" w:ascii="Times New Roman" w:hAnsi="Times New Roman" w:eastAsia="方正仿宋_GBK" w:cs="Times New Roman"/>
          <w:kern w:val="2"/>
          <w:sz w:val="32"/>
          <w:szCs w:val="28"/>
          <w:lang w:val="en-US" w:eastAsia="zh-CN" w:bidi="ar-SA"/>
        </w:rPr>
        <w:t>2024年</w:t>
      </w:r>
      <w:r>
        <w:rPr>
          <w:rFonts w:hint="default" w:ascii="Times New Roman" w:hAnsi="Times New Roman" w:eastAsia="方正仿宋_GBK" w:cs="Times New Roman"/>
          <w:kern w:val="2"/>
          <w:sz w:val="32"/>
          <w:szCs w:val="28"/>
          <w:lang w:val="en-US" w:eastAsia="zh-CN" w:bidi="ar-SA"/>
        </w:rPr>
        <w:t>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2"/>
          <w:sz w:val="32"/>
          <w:szCs w:val="28"/>
          <w:lang w:val="en-US" w:eastAsia="zh-CN" w:bidi="ar-SA"/>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kern w:val="2"/>
          <w:sz w:val="32"/>
          <w:szCs w:val="28"/>
          <w:lang w:val="en-US" w:eastAsia="zh-CN" w:bidi="ar-SA"/>
        </w:rPr>
        <w:t>本部门</w:t>
      </w:r>
      <w:r>
        <w:rPr>
          <w:rFonts w:hint="eastAsia" w:ascii="Times New Roman" w:hAnsi="Times New Roman" w:eastAsia="方正仿宋_GBK" w:cs="Times New Roman"/>
          <w:kern w:val="2"/>
          <w:sz w:val="32"/>
          <w:szCs w:val="28"/>
          <w:lang w:val="en-US" w:eastAsia="zh-CN" w:bidi="ar-SA"/>
        </w:rPr>
        <w:t>2024年</w:t>
      </w:r>
      <w:r>
        <w:rPr>
          <w:rFonts w:hint="default" w:ascii="Times New Roman" w:hAnsi="Times New Roman" w:eastAsia="方正仿宋_GBK" w:cs="Times New Roman"/>
          <w:kern w:val="2"/>
          <w:sz w:val="32"/>
          <w:szCs w:val="28"/>
          <w:lang w:val="en-US" w:eastAsia="zh-CN" w:bidi="ar-SA"/>
        </w:rPr>
        <w:t>度无国有资本经营预算财政拨款支出。</w:t>
      </w:r>
    </w:p>
    <w:p>
      <w:pPr>
        <w:pStyle w:val="6"/>
        <w:widowControl/>
        <w:shd w:val="clear" w:color="auto" w:fill="FFFFFF"/>
        <w:wordWrap/>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9.83</w:t>
      </w:r>
      <w:r>
        <w:rPr>
          <w:rFonts w:ascii="方正仿宋_GBK" w:hAnsi="方正仿宋_GBK" w:eastAsia="方正仿宋_GBK" w:cs="方正仿宋_GBK"/>
          <w:sz w:val="32"/>
          <w:szCs w:val="32"/>
          <w:shd w:val="clear" w:color="auto" w:fill="FFFFFF"/>
        </w:rPr>
        <w:t>万元，较年初预算数减少7.67万元，下降43.8%，主要原因是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较上年支出数减少9.51万元，下降49.2%，主要原因是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w:t>
      </w:r>
      <w:r>
        <w:rPr>
          <w:rFonts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w:t>
      </w:r>
      <w:r>
        <w:rPr>
          <w:rFonts w:ascii="方正仿宋_GBK" w:hAnsi="方正仿宋_GBK" w:eastAsia="方正仿宋_GBK" w:cs="方正仿宋_GBK"/>
          <w:sz w:val="32"/>
          <w:szCs w:val="32"/>
        </w:rPr>
        <w:t>8.33</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kern w:val="2"/>
          <w:sz w:val="32"/>
          <w:szCs w:val="28"/>
          <w:lang w:val="en-US" w:eastAsia="zh-CN" w:bidi="ar-SA"/>
        </w:rPr>
        <w:t>公车使用</w:t>
      </w:r>
      <w:r>
        <w:rPr>
          <w:rFonts w:hint="eastAsia" w:ascii="Times New Roman" w:hAnsi="Times New Roman" w:eastAsia="方正仿宋_GBK" w:cs="Times New Roman"/>
          <w:kern w:val="2"/>
          <w:sz w:val="32"/>
          <w:szCs w:val="28"/>
          <w:lang w:val="en-US" w:eastAsia="zh-CN" w:bidi="ar-SA"/>
        </w:rPr>
        <w:t>。</w:t>
      </w:r>
      <w:r>
        <w:rPr>
          <w:rFonts w:ascii="方正仿宋_GBK" w:hAnsi="方正仿宋_GBK" w:eastAsia="方正仿宋_GBK" w:cs="方正仿宋_GBK"/>
          <w:sz w:val="32"/>
          <w:szCs w:val="32"/>
          <w:shd w:val="clear" w:color="auto" w:fill="FFFFFF"/>
        </w:rPr>
        <w:t>费用支出较年初预算数减少7.67万元，下降47.9%，主要原因是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较上年支出数减少10.66万元，下降56.1%，主要原因是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s="Times New Roman"/>
          <w:kern w:val="2"/>
          <w:sz w:val="32"/>
          <w:szCs w:val="28"/>
          <w:lang w:val="en-US" w:eastAsia="zh-CN" w:bidi="ar-SA"/>
        </w:rPr>
        <w:t>大洪湖片区招商引资</w:t>
      </w:r>
      <w:r>
        <w:rPr>
          <w:rFonts w:hint="eastAsia" w:ascii="Times New Roman" w:hAnsi="Times New Roman" w:eastAsia="方正仿宋_GBK" w:cs="Times New Roman"/>
          <w:kern w:val="2"/>
          <w:sz w:val="32"/>
          <w:szCs w:val="28"/>
          <w:lang w:val="en-US" w:eastAsia="zh-CN" w:bidi="ar-SA"/>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较上年支出数增加1.15万元，增长328.6%，主要原因是接待</w:t>
      </w:r>
      <w:r>
        <w:rPr>
          <w:rFonts w:hint="default" w:ascii="Times New Roman" w:hAnsi="Times New Roman" w:eastAsia="方正仿宋_GBK" w:cs="Times New Roman"/>
          <w:kern w:val="2"/>
          <w:sz w:val="32"/>
          <w:szCs w:val="28"/>
          <w:lang w:val="en-US" w:eastAsia="zh-CN" w:bidi="ar-SA"/>
        </w:rPr>
        <w:t>大洪湖片区招商引资</w:t>
      </w:r>
      <w:r>
        <w:rPr>
          <w:rFonts w:hint="eastAsia" w:ascii="Times New Roman" w:hAnsi="Times New Roman" w:eastAsia="方正仿宋_GBK" w:cs="Times New Roman"/>
          <w:kern w:val="2"/>
          <w:sz w:val="32"/>
          <w:szCs w:val="28"/>
          <w:lang w:val="en-US" w:eastAsia="zh-CN" w:bidi="ar-SA"/>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474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31.65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万元。</w:t>
      </w:r>
    </w:p>
    <w:p>
      <w:pPr>
        <w:pStyle w:val="6"/>
        <w:widowControl/>
        <w:shd w:val="clear" w:color="auto" w:fill="FFFFFF"/>
        <w:wordWrap/>
        <w:adjustRightInd/>
        <w:snapToGrid/>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widowControl/>
        <w:wordWrap/>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万元，与2023年度相比，减少10.92万元，下降52.2%，主要原因是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14.80</w:t>
      </w:r>
      <w:r>
        <w:rPr>
          <w:rFonts w:ascii="方正仿宋_GBK" w:hAnsi="方正仿宋_GBK" w:eastAsia="方正仿宋_GBK" w:cs="方正仿宋_GBK"/>
          <w:sz w:val="32"/>
          <w:szCs w:val="32"/>
          <w:shd w:val="clear" w:color="auto" w:fill="FFFFFF"/>
        </w:rPr>
        <w:t>万元，与2023年度相比，减少9.38万元，下降38.8%，主要原因是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120.16</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kern w:val="2"/>
          <w:sz w:val="32"/>
          <w:szCs w:val="28"/>
          <w:lang w:val="en-US" w:eastAsia="zh-CN" w:bidi="ar-SA"/>
        </w:rPr>
        <w:t>我单位水电费，维修费用、食堂运行费</w:t>
      </w:r>
      <w:r>
        <w:rPr>
          <w:rFonts w:hint="eastAsia" w:ascii="Times New Roman" w:hAnsi="Times New Roman" w:eastAsia="方正仿宋_GBK" w:cs="Times New Roman"/>
          <w:kern w:val="2"/>
          <w:sz w:val="32"/>
          <w:szCs w:val="28"/>
          <w:lang w:val="en-US" w:eastAsia="zh-CN" w:bidi="ar-SA"/>
        </w:rPr>
        <w:t>。</w:t>
      </w:r>
      <w:r>
        <w:rPr>
          <w:rFonts w:ascii="方正仿宋_GBK" w:hAnsi="方正仿宋_GBK" w:eastAsia="方正仿宋_GBK" w:cs="方正仿宋_GBK"/>
          <w:sz w:val="32"/>
          <w:szCs w:val="32"/>
          <w:shd w:val="clear" w:color="auto" w:fill="FFFFFF"/>
        </w:rPr>
        <w:t>机关运行经费较上年支出数减少71.05万元，下降37.2%，主要原因是</w:t>
      </w:r>
      <w:r>
        <w:rPr>
          <w:rFonts w:hint="eastAsia" w:ascii="方正仿宋_GBK" w:hAnsi="方正仿宋_GBK" w:eastAsia="方正仿宋_GBK" w:cs="方正仿宋_GBK"/>
          <w:sz w:val="32"/>
          <w:szCs w:val="32"/>
          <w:shd w:val="clear" w:color="auto" w:fill="FFFFFF"/>
        </w:rPr>
        <w:t>减少非必要支出，落实节约型政府。</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widowControl/>
        <w:wordWrap/>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168.80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168.80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168.80万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第三方服务。</w:t>
      </w:r>
    </w:p>
    <w:p>
      <w:pPr>
        <w:pStyle w:val="14"/>
        <w:tabs>
          <w:tab w:val="center" w:pos="4153"/>
          <w:tab w:val="left" w:pos="7275"/>
        </w:tabs>
        <w:wordWrap/>
        <w:adjustRightInd/>
        <w:spacing w:line="594" w:lineRule="exact"/>
        <w:ind w:firstLine="643" w:firstLineChars="200"/>
        <w:textAlignment w:val="auto"/>
        <w:rPr>
          <w:rFonts w:hint="eastAsia" w:ascii="Times New Roman" w:hAnsi="Times New Roman" w:eastAsia="方正黑体_GBK" w:cs="宋体"/>
          <w:color w:val="000000"/>
          <w:kern w:val="0"/>
          <w:sz w:val="32"/>
          <w:szCs w:val="32"/>
          <w:highlight w:val="yellow"/>
        </w:rPr>
      </w:pPr>
      <w:r>
        <w:rPr>
          <w:rStyle w:val="8"/>
          <w:rFonts w:hint="eastAsia" w:ascii="黑体" w:hAnsi="黑体" w:eastAsia="黑体" w:cs="黑体"/>
          <w:kern w:val="0"/>
          <w:sz w:val="32"/>
          <w:szCs w:val="32"/>
          <w:shd w:val="clear" w:color="auto" w:fill="FFFFFF"/>
          <w:lang w:val="en-US" w:eastAsia="zh-CN" w:bidi="ar-SA"/>
        </w:rPr>
        <w:t>五、预算绩效管理情况说明</w:t>
      </w:r>
    </w:p>
    <w:p>
      <w:pPr>
        <w:pStyle w:val="6"/>
        <w:snapToGrid w:val="0"/>
        <w:spacing w:before="0" w:beforeAutospacing="0" w:after="0" w:afterAutospacing="0" w:line="600" w:lineRule="exact"/>
        <w:ind w:firstLine="1285" w:firstLineChars="400"/>
        <w:jc w:val="both"/>
        <w:rPr>
          <w:rFonts w:hint="default" w:ascii="方正仿宋_GBK" w:hAnsi="方正仿宋_GBK" w:eastAsia="方正仿宋_GBK" w:cs="方正仿宋_GBK"/>
          <w:sz w:val="32"/>
          <w:szCs w:val="32"/>
          <w:shd w:val="clear" w:color="auto" w:fill="FFFFFF"/>
        </w:rPr>
      </w:pPr>
      <w:r>
        <w:rPr>
          <w:rFonts w:hint="default" w:ascii="楷体" w:hAnsi="楷体" w:eastAsia="楷体" w:cs="楷体"/>
          <w:b/>
          <w:bCs/>
          <w:sz w:val="32"/>
          <w:szCs w:val="32"/>
          <w:shd w:val="clear" w:color="auto" w:fill="FFFFFF"/>
          <w:lang w:val="en-US" w:eastAsia="zh-CN" w:bidi="ar-SA"/>
        </w:rPr>
        <w:t>（一）预算绩效管理工作开展情况</w:t>
      </w:r>
    </w:p>
    <w:p>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对部门整体和</w:t>
      </w:r>
      <w:r>
        <w:rPr>
          <w:rFonts w:hint="eastAsia" w:ascii="方正仿宋_GBK" w:hAnsi="方正仿宋_GBK" w:eastAsia="方正仿宋_GBK" w:cs="方正仿宋_GBK"/>
          <w:sz w:val="32"/>
          <w:szCs w:val="32"/>
          <w:shd w:val="clear" w:color="auto" w:fill="FFFFFF"/>
          <w:lang w:val="en-US" w:eastAsia="zh-CN"/>
        </w:rPr>
        <w:t>13</w:t>
      </w:r>
      <w:r>
        <w:rPr>
          <w:rFonts w:hint="default" w:ascii="方正仿宋_GBK" w:hAnsi="方正仿宋_GBK" w:eastAsia="方正仿宋_GBK" w:cs="方正仿宋_GBK"/>
          <w:sz w:val="32"/>
          <w:szCs w:val="32"/>
          <w:shd w:val="clear" w:color="auto" w:fill="FFFFFF"/>
          <w:lang w:val="en-US" w:eastAsia="zh-CN"/>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1123.67</w:t>
      </w:r>
      <w:r>
        <w:rPr>
          <w:rFonts w:hint="default" w:ascii="方正仿宋_GBK" w:hAnsi="方正仿宋_GBK" w:eastAsia="方正仿宋_GBK" w:cs="方正仿宋_GBK"/>
          <w:sz w:val="32"/>
          <w:szCs w:val="32"/>
          <w:shd w:val="clear" w:color="auto" w:fill="FFFFFF"/>
          <w:lang w:val="en-US" w:eastAsia="zh-CN"/>
        </w:rPr>
        <w:t>万元。</w:t>
      </w:r>
    </w:p>
    <w:p>
      <w:pPr>
        <w:pStyle w:val="6"/>
        <w:snapToGrid w:val="0"/>
        <w:spacing w:before="0" w:beforeAutospacing="0" w:after="0" w:afterAutospacing="0" w:line="600" w:lineRule="exact"/>
        <w:ind w:firstLine="1285" w:firstLineChars="400"/>
        <w:jc w:val="both"/>
        <w:rPr>
          <w:rFonts w:hint="default" w:ascii="方正仿宋_GBK" w:hAnsi="方正仿宋_GBK" w:eastAsia="方正仿宋_GBK" w:cs="方正仿宋_GBK"/>
          <w:sz w:val="32"/>
          <w:szCs w:val="32"/>
          <w:shd w:val="clear" w:color="auto" w:fill="FFFFFF"/>
        </w:rPr>
      </w:pPr>
      <w:r>
        <w:rPr>
          <w:rFonts w:hint="default" w:ascii="楷体" w:hAnsi="楷体" w:eastAsia="楷体" w:cs="楷体"/>
          <w:b/>
          <w:bCs/>
          <w:sz w:val="32"/>
          <w:szCs w:val="32"/>
          <w:shd w:val="clear" w:color="auto" w:fill="FFFFFF"/>
          <w:lang w:val="en-US" w:eastAsia="zh-CN" w:bidi="ar-SA"/>
        </w:rPr>
        <w:t>（二）绩效自评结果</w:t>
      </w:r>
    </w:p>
    <w:p>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绩效自评结果详见附件</w:t>
      </w:r>
      <w:r>
        <w:rPr>
          <w:rFonts w:hint="eastAsia" w:ascii="方正仿宋_GBK" w:hAnsi="方正仿宋_GBK" w:eastAsia="方正仿宋_GBK" w:cs="方正仿宋_GBK"/>
          <w:sz w:val="32"/>
          <w:szCs w:val="32"/>
          <w:shd w:val="clear" w:color="auto" w:fill="FFFFFF"/>
          <w:lang w:val="en-US" w:eastAsia="zh-CN"/>
        </w:rPr>
        <w:t>2024</w:t>
      </w:r>
      <w:r>
        <w:rPr>
          <w:rFonts w:hint="default" w:ascii="方正仿宋_GBK" w:hAnsi="方正仿宋_GBK" w:eastAsia="方正仿宋_GBK" w:cs="方正仿宋_GBK"/>
          <w:sz w:val="32"/>
          <w:szCs w:val="32"/>
          <w:shd w:val="clear" w:color="auto" w:fill="FFFFFF"/>
          <w:lang w:val="en-US" w:eastAsia="zh-CN"/>
        </w:rPr>
        <w:t>年度绩效自评公开表（《部门整体绩效自评表》、《项目绩效自评结果汇总表》、《项目支出绩效自评表》）。</w:t>
      </w:r>
    </w:p>
    <w:p>
      <w:pPr>
        <w:pStyle w:val="6"/>
        <w:snapToGrid w:val="0"/>
        <w:spacing w:before="0" w:beforeAutospacing="0" w:after="0" w:afterAutospacing="0" w:line="600" w:lineRule="exact"/>
        <w:ind w:firstLine="1285" w:firstLineChars="400"/>
        <w:jc w:val="both"/>
        <w:rPr>
          <w:rFonts w:hint="default" w:ascii="方正仿宋_GBK" w:hAnsi="方正仿宋_GBK" w:eastAsia="方正仿宋_GBK" w:cs="方正仿宋_GBK"/>
          <w:sz w:val="32"/>
          <w:szCs w:val="32"/>
          <w:shd w:val="clear" w:color="auto" w:fill="FFFFFF"/>
        </w:rPr>
      </w:pPr>
      <w:r>
        <w:rPr>
          <w:rFonts w:hint="default" w:ascii="楷体" w:hAnsi="楷体" w:eastAsia="楷体" w:cs="楷体"/>
          <w:b/>
          <w:bCs/>
          <w:sz w:val="32"/>
          <w:szCs w:val="32"/>
          <w:shd w:val="clear" w:color="auto" w:fill="FFFFFF"/>
          <w:lang w:val="en-US" w:eastAsia="zh-CN" w:bidi="ar-SA"/>
        </w:rPr>
        <w:t>（三）财政绩效评价情况</w:t>
      </w:r>
    </w:p>
    <w:p>
      <w:pPr>
        <w:pStyle w:val="6"/>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区财政局未委托第三方对我单位开展绩效评价。</w:t>
      </w:r>
    </w:p>
    <w:p>
      <w:pPr>
        <w:pStyle w:val="12"/>
        <w:widowControl/>
        <w:wordWrap/>
        <w:autoSpaceDE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5"/>
          <w:rFonts w:hint="eastAsia" w:ascii="方正仿宋_GBK" w:hAnsi="方正仿宋_GBK" w:eastAsia="方正仿宋_GBK" w:cs="方正仿宋_GBK"/>
          <w:b/>
          <w:bCs/>
          <w:sz w:val="32"/>
          <w:szCs w:val="32"/>
          <w:shd w:val="clear" w:color="060000" w:fill="FFFFFF"/>
        </w:rPr>
        <w:t xml:space="preserve"> </w:t>
      </w:r>
      <w:r>
        <w:rPr>
          <w:rStyle w:val="15"/>
          <w:rFonts w:hint="eastAsia" w:ascii="方正仿宋_GBK" w:hAnsi="方正仿宋_GBK" w:eastAsia="方正仿宋_GBK" w:cs="方正仿宋_GBK"/>
          <w:b/>
          <w:bCs/>
          <w:sz w:val="32"/>
          <w:szCs w:val="32"/>
          <w:shd w:val="clear" w:color="060000"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color="040000" w:fill="FFFFFF"/>
        </w:rPr>
        <w:t>指本年度从本级财政部门取得的财政拨款，包括一般公共预算财政拨款和政府性基金预算财政拨款。</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color="040000" w:fill="FFFFFF"/>
        </w:rPr>
        <w:t>指事业单位开展专业业务活动及其辅助活动取得的现金流入；事业单位收到的财政专户实际核拨的教育收费等资金在此反映。</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指事业单位在专业业务活动及其辅助活动之外开展非独立核算经营活动取得的现金流入。</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color="040000" w:fill="FFFFFF"/>
        </w:rPr>
        <w:t>指单位上年结转本年使用的基本支出结转、项目支出结转和结余、经营结余。</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color="040000" w:fill="FFFFFF"/>
        </w:rPr>
        <w:t>指单位按照国家有关规定，缴纳所得税、提取专用基金、转入非财政拨款结余等当年结余的分配情况。</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color="040000" w:fill="FFFFFF"/>
        </w:rPr>
        <w:t>指单位结转下年的基本支出结转、项目支出结转和结余、经营结余。</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color="040000" w:fill="FFFFFF"/>
        </w:rPr>
        <w:t>指在基本支出之外为完成特定行政任务和事业发展目标所发生的支出。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指事业单位在专业业务活动及其辅助活动之外开展非独立核算经营活动发生的支出。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color="040000" w:fill="FFFFFF"/>
        </w:rPr>
        <w:t>反映单位开支的在职职工和编制外长期聘用人员的各类劳动报酬，以及为上述人员缴纳的各项社会保险费等。</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color="040000" w:fill="FFFFFF"/>
        </w:rPr>
        <w:t>反映单位购买商品和服务的支出（不包括用于购置固定资产的支出、战略性和应急储备支出）。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color="040000" w:fill="FFFFFF"/>
        </w:rPr>
        <w:t>反映用于对个人和家庭的补助支出。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2"/>
        <w:widowControl/>
        <w:wordWrap/>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2"/>
        <w:widowControl/>
        <w:wordWrap/>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color="040000" w:fill="FFFFFF"/>
        </w:rPr>
        <w:t>本单位决算公开信息反馈和联系方式：</w:t>
      </w: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2"/>
          <w:sz w:val="32"/>
          <w:szCs w:val="28"/>
          <w:lang w:val="en-US" w:eastAsia="zh-CN" w:bidi="ar-SA"/>
        </w:rPr>
        <w:t>王宇嘉 18883304399</w:t>
      </w:r>
    </w:p>
    <w:p>
      <w:pPr>
        <w:rPr>
          <w:rFonts w:hint="default" w:cs="宋体"/>
          <w:sz w:val="18"/>
          <w:szCs w:val="18"/>
        </w:rPr>
      </w:pP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default"/>
      </w:rPr>
    </w:pPr>
    <w:r>
      <w:rPr>
        <w:rFonts w:hint="default" w:ascii="宋体" w:hAnsi="宋体" w:eastAsia="宋体" w:cs="Times New Roman"/>
        <w:sz w:val="18"/>
        <w:szCs w:val="18"/>
        <w:lang w:val="en-US" w:eastAsia="zh-CN" w:bidi="ar-SA"/>
      </w:rPr>
      <w:pict>
        <v:shape id="Quad Arrow 2"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both"/>
      <w:rPr>
        <w:rFonts w:hint="default"/>
      </w:rPr>
    </w:pPr>
    <w:r>
      <w:rPr>
        <w:rFonts w:hint="default" w:ascii="宋体" w:hAnsi="宋体" w:eastAsia="宋体" w:cs="Times New Roman"/>
        <w:sz w:val="18"/>
        <w:szCs w:val="18"/>
        <w:lang w:val="en-US" w:eastAsia="zh-CN" w:bidi="ar-SA"/>
      </w:rPr>
      <w:pict>
        <v:shape id="Quad Arrow 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o:allowoverlap="f">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ascii="宋体" w:hAnsi="宋体" w:eastAsia="宋体" w:cs="Times New Roman"/>
        <w:sz w:val="18"/>
        <w:szCs w:val="18"/>
        <w:lang w:val="en-US" w:eastAsia="zh-CN" w:bidi="ar-SA"/>
      </w:rPr>
      <w:pict>
        <v:shape id="Quad Arrow 3" o:spid="_x0000_s1027" type="#_x0000_t202" style="position:absolute;left:0;margin-top:1160.4pt;height:17.4pt;width:144pt;mso-position-horizontal:center;mso-position-horizontal-relative:margin;mso-position-vertical-relative:page;mso-wrap-style:none;rotation:0f;z-index:251658240;" o:ole="f" fillcolor="#FFFFFF" filled="f" o:preferrelative="t" stroked="f" coordorigin="0,0" coordsize="21600,21600" o:allowoverlap="f">
          <v:fill on="f" color2="#FFFFFF" focus="0%"/>
          <v:imagedata gain="65536f" blacklevel="0f" gamma="0"/>
          <o:lock v:ext="edit" position="f" selection="f" grouping="f" rotation="f" cropping="f" text="f" aspectratio="f"/>
          <v:textbox inset="0.00pt,0.00pt,0.00pt,0.00pt">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8FA336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2952E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056CE"/>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98244E"/>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F62337"/>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B56D05"/>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266F09"/>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DF5035C"/>
    <w:rsid w:val="7F446A19"/>
    <w:rsid w:val="7F7452B9"/>
    <w:rsid w:val="7F8401D1"/>
    <w:rsid w:val="7FAC32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5">
    <w:name w:val="21"/>
    <w:qFormat/>
    <w:uiPriority w:val="0"/>
    <w:rPr>
      <w:rFonts w:hint="default" w:ascii="Wingdings" w:hAnsi="Wingdings" w:cs="Wingdings"/>
      <w:b/>
      <w:bCs/>
    </w:rPr>
  </w:style>
  <w:style w:type="character" w:customStyle="1" w:styleId="16">
    <w:name w:val="批注框文本 Char"/>
    <w:basedOn w:val="7"/>
    <w:link w:val="2"/>
    <w:qFormat/>
    <w:uiPriority w:val="0"/>
    <w:rPr>
      <w:rFonts w:ascii="宋体" w:hAnsi="宋体"/>
      <w:sz w:val="18"/>
      <w:szCs w:val="18"/>
    </w:rPr>
  </w:style>
  <w:style w:type="character" w:customStyle="1" w:styleId="17">
    <w:name w:val="font112"/>
    <w:basedOn w:val="7"/>
    <w:qFormat/>
    <w:uiPriority w:val="0"/>
    <w:rPr>
      <w:rFonts w:hint="default" w:ascii="Times New Roman" w:hAnsi="Times New Roman" w:cs="Times New Roman"/>
      <w:color w:val="000000"/>
      <w:sz w:val="18"/>
      <w:szCs w:val="18"/>
      <w:u w:val="none"/>
    </w:rPr>
  </w:style>
  <w:style w:type="character" w:customStyle="1" w:styleId="18">
    <w:name w:val="font61"/>
    <w:basedOn w:val="7"/>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4494</Words>
  <Characters>5113</Characters>
  <Lines>186</Lines>
  <Paragraphs>52</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hp</cp:lastModifiedBy>
  <dcterms:modified xsi:type="dcterms:W3CDTF">2025-10-15T01:36:27Z</dcterms:modified>
  <dc:title>重庆市长寿区洪湖镇人民政府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BB46EABDBB2749749395447164B066B3_12</vt:lpwstr>
  </property>
  <property fmtid="{D5CDD505-2E9C-101B-9397-08002B2CF9AE}" pid="4" name="KSOTemplateDocerSaveRecord">
    <vt:lpwstr>eyJoZGlkIjoiNmNiZTc5OWNhMTcxZWUzMDNlM2MzNWUyNGQyOTEzNGYiLCJ1c2VySWQiOiIxNDg2OTY2OCJ9</vt:lpwstr>
  </property>
</Properties>
</file>