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D714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11843D05">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重庆市长寿区洪湖镇人民政府</w:t>
      </w:r>
    </w:p>
    <w:p w14:paraId="42DBAA73">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农业服务中心</w:t>
      </w:r>
    </w:p>
    <w:p w14:paraId="289E572B">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566A3E6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14:paraId="232C3AC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14:paraId="14AC0705">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3549D32F">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1.认真贯彻执行党和国家的各项方针、政策；</w:t>
      </w:r>
    </w:p>
    <w:p w14:paraId="11F3A8B7">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848" w:firstLineChars="265"/>
        <w:jc w:val="both"/>
        <w:textAlignment w:val="auto"/>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2.负责辖区内的城市建设和管理等工作；</w:t>
      </w:r>
    </w:p>
    <w:p w14:paraId="1A0010C7">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848" w:firstLineChars="265"/>
        <w:jc w:val="both"/>
        <w:textAlignment w:val="auto"/>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3.负责辖区内的维护稳定及社会治安治理工作</w:t>
      </w:r>
      <w:bookmarkStart w:id="0" w:name="_GoBack"/>
      <w:bookmarkEnd w:id="0"/>
      <w:r>
        <w:rPr>
          <w:rFonts w:hint="eastAsia" w:ascii="方正仿宋_GBK" w:hAnsi="方正仿宋_GBK" w:eastAsia="方正仿宋_GBK" w:cs="方正仿宋_GBK"/>
          <w:kern w:val="2"/>
          <w:sz w:val="32"/>
          <w:szCs w:val="22"/>
        </w:rPr>
        <w:t>；</w:t>
      </w:r>
    </w:p>
    <w:p w14:paraId="5A7EA056">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848" w:firstLineChars="265"/>
        <w:jc w:val="both"/>
        <w:textAlignment w:val="auto"/>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4.负责拥军优属、优抚安置、社会救济、社会福利、社会文化、科普、体育、教育等工作；</w:t>
      </w:r>
    </w:p>
    <w:p w14:paraId="602EB3C0">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848" w:firstLineChars="265"/>
        <w:jc w:val="both"/>
        <w:textAlignment w:val="auto"/>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5.负责计划生育、劳动就业和民事调解等工作；</w:t>
      </w:r>
    </w:p>
    <w:p w14:paraId="0A5D9FFA">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848" w:firstLineChars="265"/>
        <w:jc w:val="both"/>
        <w:textAlignment w:val="auto"/>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6.保障少数民族的权益；</w:t>
      </w:r>
    </w:p>
    <w:p w14:paraId="77C861BD">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848" w:firstLineChars="265"/>
        <w:jc w:val="both"/>
        <w:textAlignment w:val="auto"/>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7指导和帮助村社区居民委员会做好组织建设和制度建设以及群众自治；</w:t>
      </w:r>
    </w:p>
    <w:p w14:paraId="1014B17C">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848" w:firstLineChars="265"/>
        <w:jc w:val="both"/>
        <w:textAlignment w:val="auto"/>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8.配合有关部门做好防汛、防风、防火、防震、抢险和防灾工作；</w:t>
      </w:r>
    </w:p>
    <w:p w14:paraId="173DDF4A">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848" w:firstLineChars="265"/>
        <w:jc w:val="both"/>
        <w:textAlignment w:val="auto"/>
        <w:rPr>
          <w:rFonts w:hint="default" w:ascii="Times New Roman" w:hAnsi="Times New Roman" w:eastAsia="仿宋_GB2312"/>
          <w:kern w:val="2"/>
          <w:sz w:val="32"/>
          <w:szCs w:val="22"/>
        </w:rPr>
      </w:pPr>
      <w:r>
        <w:rPr>
          <w:rFonts w:hint="eastAsia" w:ascii="方正仿宋_GBK" w:hAnsi="方正仿宋_GBK" w:eastAsia="方正仿宋_GBK" w:cs="方正仿宋_GBK"/>
          <w:kern w:val="2"/>
          <w:sz w:val="32"/>
          <w:szCs w:val="22"/>
        </w:rPr>
        <w:t>9.承办区委、区政府交办的其他事项</w:t>
      </w:r>
      <w:r>
        <w:rPr>
          <w:rFonts w:ascii="Times New Roman" w:hAnsi="Times New Roman" w:eastAsia="仿宋_GB2312"/>
          <w:kern w:val="2"/>
          <w:sz w:val="32"/>
          <w:szCs w:val="22"/>
        </w:rPr>
        <w:t>。</w:t>
      </w:r>
    </w:p>
    <w:p w14:paraId="74BAF260">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4C83AB2F">
      <w:pPr>
        <w:pStyle w:val="11"/>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重庆市长寿区洪湖镇人民政府农业服务中心。</w:t>
      </w:r>
    </w:p>
    <w:p w14:paraId="0E711FB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57F9F3D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DC5A889">
      <w:pPr>
        <w:pStyle w:val="6"/>
        <w:shd w:val="clear" w:color="auto" w:fill="FFFFFF"/>
        <w:ind w:firstLine="643" w:firstLineChars="200"/>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度收入总计1678.15万元，支出总计</w:t>
      </w:r>
      <w:r>
        <w:rPr>
          <w:rFonts w:ascii="方正仿宋_GBK" w:hAnsi="方正仿宋_GBK" w:eastAsia="方正仿宋_GBK" w:cs="方正仿宋_GBK"/>
          <w:sz w:val="32"/>
          <w:szCs w:val="32"/>
        </w:rPr>
        <w:t>1678.15</w:t>
      </w:r>
      <w:r>
        <w:rPr>
          <w:rFonts w:ascii="方正仿宋_GBK" w:hAnsi="方正仿宋_GBK" w:eastAsia="方正仿宋_GBK" w:cs="方正仿宋_GBK"/>
          <w:sz w:val="32"/>
          <w:szCs w:val="32"/>
          <w:shd w:val="clear" w:color="auto" w:fill="FFFFFF"/>
        </w:rPr>
        <w:t>万元。收、支与2023年度相比，增加41.91万元，增长2.6%，主要原因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人员薪资报酬上涨。</w:t>
      </w:r>
    </w:p>
    <w:p w14:paraId="4A2304B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度收入合计1678.15万元，与2023年度相比，增加41.91万元，增长2.6%，主要原因是</w:t>
      </w:r>
      <w:r>
        <w:rPr>
          <w:rFonts w:hint="eastAsia" w:ascii="方正仿宋_GBK" w:hAnsi="方正仿宋_GBK" w:eastAsia="方正仿宋_GBK" w:cs="方正仿宋_GBK"/>
          <w:color w:val="auto"/>
          <w:sz w:val="32"/>
          <w:szCs w:val="32"/>
          <w:shd w:val="clear" w:color="auto" w:fill="FFFFFF"/>
          <w:lang w:eastAsia="zh-CN"/>
        </w:rPr>
        <w:t>人员薪资报酬上涨。</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1678.15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w:t>
      </w:r>
      <w:r>
        <w:rPr>
          <w:rFonts w:hint="eastAsia" w:ascii="方正仿宋_GBK" w:hAnsi="方正仿宋_GBK" w:eastAsia="方正仿宋_GBK" w:cs="方正仿宋_GBK"/>
          <w:sz w:val="32"/>
          <w:szCs w:val="32"/>
          <w:shd w:val="clear" w:color="auto" w:fill="FFFFFF"/>
          <w:lang w:eastAsia="zh-CN"/>
        </w:rPr>
        <w:t>使用非财政拨款结余（含专用结余）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3EA8D6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1678.15</w:t>
      </w:r>
      <w:r>
        <w:rPr>
          <w:rFonts w:ascii="方正仿宋_GBK" w:hAnsi="方正仿宋_GBK" w:eastAsia="方正仿宋_GBK" w:cs="方正仿宋_GBK"/>
          <w:sz w:val="32"/>
          <w:szCs w:val="32"/>
          <w:shd w:val="clear" w:color="auto" w:fill="FFFFFF"/>
        </w:rPr>
        <w:t>万元，与2023年度相比，增加41.91万元，增长2.6%，主要原因是</w:t>
      </w:r>
      <w:r>
        <w:rPr>
          <w:rFonts w:hint="eastAsia" w:ascii="方正仿宋_GBK" w:hAnsi="方正仿宋_GBK" w:eastAsia="方正仿宋_GBK" w:cs="方正仿宋_GBK"/>
          <w:color w:val="auto"/>
          <w:sz w:val="32"/>
          <w:szCs w:val="32"/>
          <w:shd w:val="clear" w:color="auto" w:fill="FFFFFF"/>
          <w:lang w:eastAsia="zh-CN"/>
        </w:rPr>
        <w:t>人员薪资报酬上涨。</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1382.92</w:t>
      </w:r>
      <w:r>
        <w:rPr>
          <w:rFonts w:ascii="方正仿宋_GBK" w:hAnsi="方正仿宋_GBK" w:eastAsia="方正仿宋_GBK" w:cs="方正仿宋_GBK"/>
          <w:sz w:val="32"/>
          <w:szCs w:val="32"/>
          <w:shd w:val="clear" w:color="auto" w:fill="FFFFFF"/>
        </w:rPr>
        <w:t>万元，占82.41%；项目支出</w:t>
      </w:r>
      <w:r>
        <w:rPr>
          <w:rFonts w:ascii="方正仿宋_GBK" w:hAnsi="方正仿宋_GBK" w:eastAsia="方正仿宋_GBK" w:cs="方正仿宋_GBK"/>
          <w:sz w:val="32"/>
          <w:szCs w:val="32"/>
        </w:rPr>
        <w:t>295.23</w:t>
      </w:r>
      <w:r>
        <w:rPr>
          <w:rFonts w:ascii="方正仿宋_GBK" w:hAnsi="方正仿宋_GBK" w:eastAsia="方正仿宋_GBK" w:cs="方正仿宋_GBK"/>
          <w:sz w:val="32"/>
          <w:szCs w:val="32"/>
          <w:shd w:val="clear" w:color="auto" w:fill="FFFFFF"/>
        </w:rPr>
        <w:t>万元，占17.59%；经营支出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0ED5DF5">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326A189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A2C008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度财政拨款收、支总计1678.15万元。与202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年相比，财政拨款收、支总计各增加41.91万元，增长2.6%。主要原因是</w:t>
      </w:r>
      <w:r>
        <w:rPr>
          <w:rFonts w:hint="eastAsia" w:ascii="方正仿宋_GBK" w:hAnsi="方正仿宋_GBK" w:eastAsia="方正仿宋_GBK" w:cs="方正仿宋_GBK"/>
          <w:color w:val="auto"/>
          <w:sz w:val="32"/>
          <w:szCs w:val="32"/>
          <w:shd w:val="clear" w:color="auto" w:fill="FFFFFF"/>
          <w:lang w:eastAsia="zh-CN"/>
        </w:rPr>
        <w:t>人员薪资报酬上涨。</w:t>
      </w:r>
    </w:p>
    <w:p w14:paraId="1C4EA23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3F61B8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1678.15</w:t>
      </w:r>
      <w:r>
        <w:rPr>
          <w:rFonts w:ascii="方正仿宋_GBK" w:hAnsi="方正仿宋_GBK" w:eastAsia="方正仿宋_GBK" w:cs="方正仿宋_GBK"/>
          <w:sz w:val="32"/>
          <w:szCs w:val="32"/>
          <w:shd w:val="clear" w:color="auto" w:fill="FFFFFF"/>
        </w:rPr>
        <w:t>万元，与2023年度相比，增加41.91万元，增长2.6%。主要原因是</w:t>
      </w:r>
      <w:r>
        <w:rPr>
          <w:rFonts w:hint="eastAsia" w:ascii="方正仿宋_GBK" w:hAnsi="方正仿宋_GBK" w:eastAsia="方正仿宋_GBK" w:cs="方正仿宋_GBK"/>
          <w:color w:val="auto"/>
          <w:sz w:val="32"/>
          <w:szCs w:val="32"/>
          <w:shd w:val="clear" w:color="auto" w:fill="FFFFFF"/>
          <w:lang w:eastAsia="zh-CN"/>
        </w:rPr>
        <w:t>人员薪资报酬上涨。</w:t>
      </w:r>
      <w:r>
        <w:rPr>
          <w:rFonts w:ascii="方正仿宋_GBK" w:hAnsi="方正仿宋_GBK" w:eastAsia="方正仿宋_GBK" w:cs="方正仿宋_GBK"/>
          <w:sz w:val="32"/>
          <w:szCs w:val="32"/>
          <w:shd w:val="clear" w:color="auto" w:fill="FFFFFF"/>
        </w:rPr>
        <w:t>较年初预算数增加216.20万元，增长14.8%。主要原因是</w:t>
      </w:r>
      <w:r>
        <w:rPr>
          <w:rFonts w:hint="eastAsia" w:ascii="方正仿宋_GBK" w:hAnsi="方正仿宋_GBK" w:eastAsia="方正仿宋_GBK" w:cs="方正仿宋_GBK"/>
          <w:color w:val="auto"/>
          <w:sz w:val="32"/>
          <w:szCs w:val="32"/>
          <w:shd w:val="clear" w:color="auto" w:fill="FFFFFF"/>
          <w:lang w:eastAsia="zh-CN"/>
        </w:rPr>
        <w:t>人员薪资报酬上涨。</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E461221">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1678.15</w:t>
      </w:r>
      <w:r>
        <w:rPr>
          <w:rFonts w:ascii="方正仿宋_GBK" w:hAnsi="方正仿宋_GBK" w:eastAsia="方正仿宋_GBK" w:cs="方正仿宋_GBK"/>
          <w:sz w:val="32"/>
          <w:szCs w:val="32"/>
          <w:shd w:val="clear" w:color="auto" w:fill="FFFFFF"/>
        </w:rPr>
        <w:t>万元，与2023年度相比，增加41.91万元，增长2.6%。主要原因是</w:t>
      </w:r>
      <w:r>
        <w:rPr>
          <w:rFonts w:hint="eastAsia" w:ascii="方正仿宋_GBK" w:hAnsi="方正仿宋_GBK" w:eastAsia="方正仿宋_GBK" w:cs="方正仿宋_GBK"/>
          <w:color w:val="auto"/>
          <w:sz w:val="32"/>
          <w:szCs w:val="32"/>
          <w:shd w:val="clear" w:color="auto" w:fill="FFFFFF"/>
          <w:lang w:eastAsia="zh-CN"/>
        </w:rPr>
        <w:t>人员薪资报酬上涨。</w:t>
      </w:r>
      <w:r>
        <w:rPr>
          <w:rFonts w:ascii="方正仿宋_GBK" w:hAnsi="方正仿宋_GBK" w:eastAsia="方正仿宋_GBK" w:cs="方正仿宋_GBK"/>
          <w:sz w:val="32"/>
          <w:szCs w:val="32"/>
          <w:shd w:val="clear" w:color="auto" w:fill="FFFFFF"/>
        </w:rPr>
        <w:t>较年初预算数增加216.20万元，增长14.8%。主要原因是</w:t>
      </w:r>
      <w:r>
        <w:rPr>
          <w:rFonts w:hint="eastAsia" w:ascii="方正仿宋_GBK" w:hAnsi="方正仿宋_GBK" w:eastAsia="方正仿宋_GBK" w:cs="方正仿宋_GBK"/>
          <w:color w:val="auto"/>
          <w:sz w:val="32"/>
          <w:szCs w:val="32"/>
          <w:shd w:val="clear" w:color="auto" w:fill="FFFFFF"/>
          <w:lang w:eastAsia="zh-CN"/>
        </w:rPr>
        <w:t>人员薪资报酬上涨。</w:t>
      </w:r>
    </w:p>
    <w:p w14:paraId="423667BF">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1081446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57B2756B">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6.40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0.38%</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331E2C0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社会保障和就业支出</w:t>
      </w:r>
      <w:r>
        <w:rPr>
          <w:rFonts w:ascii="方正仿宋_GBK" w:hAnsi="方正仿宋_GBK" w:eastAsia="方正仿宋_GBK" w:cs="方正仿宋_GBK"/>
          <w:sz w:val="32"/>
          <w:szCs w:val="32"/>
        </w:rPr>
        <w:t>225.39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13.43%</w:t>
      </w:r>
      <w:r>
        <w:rPr>
          <w:rFonts w:ascii="方正仿宋_GBK" w:hAnsi="方正仿宋_GBK" w:eastAsia="方正仿宋_GBK" w:cs="方正仿宋_GBK"/>
          <w:sz w:val="32"/>
          <w:szCs w:val="32"/>
          <w:shd w:val="clear" w:color="auto" w:fill="FFFFFF"/>
        </w:rPr>
        <w:t>，较年初预算数增加59.20万元，增长35.6%，主要原因是</w:t>
      </w:r>
      <w:r>
        <w:rPr>
          <w:rFonts w:hint="eastAsia" w:ascii="方正仿宋_GBK" w:hAnsi="方正仿宋_GBK" w:eastAsia="方正仿宋_GBK" w:cs="方正仿宋_GBK"/>
          <w:color w:val="auto"/>
          <w:sz w:val="32"/>
          <w:szCs w:val="32"/>
          <w:shd w:val="clear" w:color="auto" w:fill="FFFFFF"/>
          <w:lang w:eastAsia="zh-CN"/>
        </w:rPr>
        <w:t>人员薪资报酬上涨。</w:t>
      </w:r>
    </w:p>
    <w:p w14:paraId="3C1788C7">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55.76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3.32%</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46C0489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1339.43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79.82%</w:t>
      </w:r>
      <w:r>
        <w:rPr>
          <w:rFonts w:ascii="方正仿宋_GBK" w:hAnsi="方正仿宋_GBK" w:eastAsia="方正仿宋_GBK" w:cs="方正仿宋_GBK"/>
          <w:sz w:val="32"/>
          <w:szCs w:val="32"/>
          <w:shd w:val="clear" w:color="auto" w:fill="FFFFFF"/>
        </w:rPr>
        <w:t>，较年初预算数增加157.00万元，增长13.3%，主要原因是</w:t>
      </w:r>
      <w:r>
        <w:rPr>
          <w:rFonts w:hint="eastAsia" w:ascii="方正仿宋_GBK" w:hAnsi="方正仿宋_GBK" w:eastAsia="方正仿宋_GBK" w:cs="方正仿宋_GBK"/>
          <w:color w:val="auto"/>
          <w:sz w:val="32"/>
          <w:szCs w:val="32"/>
          <w:shd w:val="clear" w:color="auto" w:fill="FFFFFF"/>
          <w:lang w:eastAsia="zh-CN"/>
        </w:rPr>
        <w:t>人员薪资报酬上涨。</w:t>
      </w:r>
    </w:p>
    <w:p w14:paraId="343E54E8">
      <w:pPr>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住房保障支出51.17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3.05%</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39862CE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DB66CC2">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ascii="方正仿宋_GBK" w:hAnsi="方正仿宋_GBK" w:eastAsia="方正仿宋_GBK" w:cs="方正仿宋_GBK"/>
          <w:sz w:val="32"/>
          <w:szCs w:val="32"/>
        </w:rPr>
        <w:t>1382.92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1153.33</w:t>
      </w:r>
      <w:r>
        <w:rPr>
          <w:rFonts w:ascii="方正仿宋_GBK" w:hAnsi="方正仿宋_GBK" w:eastAsia="方正仿宋_GBK" w:cs="方正仿宋_GBK"/>
          <w:sz w:val="32"/>
          <w:szCs w:val="32"/>
          <w:shd w:val="clear" w:color="auto" w:fill="FFFFFF"/>
        </w:rPr>
        <w:t>万元，与2023年度相比，增加187.22万元，增长19.4%，主要原因是</w:t>
      </w:r>
      <w:r>
        <w:rPr>
          <w:rFonts w:hint="eastAsia" w:ascii="方正仿宋_GBK" w:hAnsi="方正仿宋_GBK" w:eastAsia="方正仿宋_GBK" w:cs="方正仿宋_GBK"/>
          <w:color w:val="auto"/>
          <w:sz w:val="32"/>
          <w:szCs w:val="32"/>
          <w:shd w:val="clear" w:color="auto" w:fill="FFFFFF"/>
          <w:lang w:eastAsia="zh-CN"/>
        </w:rPr>
        <w:t>人员薪资报酬上涨。</w:t>
      </w:r>
      <w:r>
        <w:rPr>
          <w:rFonts w:ascii="方正仿宋_GBK" w:hAnsi="方正仿宋_GBK" w:eastAsia="方正仿宋_GBK" w:cs="方正仿宋_GBK"/>
          <w:sz w:val="32"/>
          <w:szCs w:val="32"/>
          <w:shd w:val="clear" w:color="auto" w:fill="FFFFFF"/>
        </w:rPr>
        <w:t>人员经费用途主要包括农业服务中心</w:t>
      </w:r>
      <w:r>
        <w:rPr>
          <w:rFonts w:hint="eastAsia" w:ascii="方正仿宋_GBK" w:hAnsi="方正仿宋_GBK" w:eastAsia="方正仿宋_GBK" w:cs="方正仿宋_GBK"/>
          <w:sz w:val="32"/>
          <w:szCs w:val="32"/>
          <w:shd w:val="clear" w:color="auto" w:fill="FFFFFF"/>
          <w:lang w:eastAsia="zh-CN"/>
        </w:rPr>
        <w:t>等事业工作人员</w:t>
      </w:r>
      <w:r>
        <w:rPr>
          <w:rFonts w:ascii="方正仿宋_GBK" w:hAnsi="方正仿宋_GBK" w:eastAsia="方正仿宋_GBK" w:cs="方正仿宋_GBK"/>
          <w:sz w:val="32"/>
          <w:szCs w:val="32"/>
          <w:shd w:val="clear" w:color="auto" w:fill="FFFFFF"/>
        </w:rPr>
        <w:t>的工资、绩效及社保福利费。公用经费</w:t>
      </w:r>
      <w:r>
        <w:rPr>
          <w:rFonts w:ascii="方正仿宋_GBK" w:hAnsi="方正仿宋_GBK" w:eastAsia="方正仿宋_GBK" w:cs="方正仿宋_GBK"/>
          <w:sz w:val="32"/>
          <w:szCs w:val="32"/>
        </w:rPr>
        <w:t>229.59</w:t>
      </w:r>
      <w:r>
        <w:rPr>
          <w:rFonts w:ascii="方正仿宋_GBK" w:hAnsi="方正仿宋_GBK" w:eastAsia="方正仿宋_GBK" w:cs="方正仿宋_GBK"/>
          <w:sz w:val="32"/>
          <w:szCs w:val="32"/>
          <w:shd w:val="clear" w:color="auto" w:fill="FFFFFF"/>
        </w:rPr>
        <w:t>万元，与2023年度相比，增加108.71万元，增长89.9%，主要原因是</w:t>
      </w:r>
      <w:r>
        <w:rPr>
          <w:rFonts w:hint="eastAsia" w:ascii="方正仿宋_GBK" w:hAnsi="方正仿宋_GBK" w:eastAsia="方正仿宋_GBK" w:cs="方正仿宋_GBK"/>
          <w:color w:val="auto"/>
          <w:sz w:val="32"/>
          <w:szCs w:val="32"/>
          <w:shd w:val="clear" w:color="auto" w:fill="FFFFFF"/>
          <w:lang w:eastAsia="zh-CN"/>
        </w:rPr>
        <w:t>事业单位人员在农服中心核算。</w:t>
      </w:r>
      <w:r>
        <w:rPr>
          <w:rFonts w:ascii="方正仿宋_GBK" w:hAnsi="方正仿宋_GBK" w:eastAsia="方正仿宋_GBK" w:cs="方正仿宋_GBK"/>
          <w:sz w:val="32"/>
          <w:szCs w:val="32"/>
          <w:shd w:val="clear" w:color="auto" w:fill="FFFFFF"/>
        </w:rPr>
        <w:t>公用经费用途主要包括农业服务中心</w:t>
      </w:r>
      <w:r>
        <w:rPr>
          <w:rFonts w:hint="eastAsia" w:ascii="方正仿宋_GBK" w:hAnsi="方正仿宋_GBK" w:eastAsia="方正仿宋_GBK" w:cs="方正仿宋_GBK"/>
          <w:sz w:val="32"/>
          <w:szCs w:val="32"/>
          <w:shd w:val="clear" w:color="auto" w:fill="FFFFFF"/>
          <w:lang w:eastAsia="zh-CN"/>
        </w:rPr>
        <w:t>等事业部门</w:t>
      </w:r>
      <w:r>
        <w:rPr>
          <w:rFonts w:ascii="方正仿宋_GBK" w:hAnsi="方正仿宋_GBK" w:eastAsia="方正仿宋_GBK" w:cs="方正仿宋_GBK"/>
          <w:sz w:val="32"/>
          <w:szCs w:val="32"/>
          <w:shd w:val="clear" w:color="auto" w:fill="FFFFFF"/>
        </w:rPr>
        <w:t>的运行费用</w:t>
      </w:r>
      <w:r>
        <w:rPr>
          <w:rFonts w:hint="eastAsia" w:ascii="方正仿宋_GBK" w:hAnsi="方正仿宋_GBK" w:eastAsia="方正仿宋_GBK" w:cs="方正仿宋_GBK"/>
          <w:sz w:val="32"/>
          <w:szCs w:val="32"/>
          <w:shd w:val="clear" w:color="auto" w:fill="FFFFFF"/>
          <w:lang w:eastAsia="zh-CN"/>
        </w:rPr>
        <w:t>。</w:t>
      </w:r>
    </w:p>
    <w:p w14:paraId="6A68F51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570255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14:paraId="3AC2CE6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DFE0E8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09459BF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482E806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6553128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较上年支出数增加1.00万元，增长100.0%，主要原因是去年洪湖镇人民政府决算包含农业服务中心，本次农服中心是单独决算。</w:t>
      </w:r>
    </w:p>
    <w:p w14:paraId="24CFE82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FD62C3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b w:val="0"/>
          <w:bCs/>
          <w:sz w:val="32"/>
          <w:szCs w:val="32"/>
          <w:shd w:val="clear" w:color="auto" w:fill="FFFFFF"/>
        </w:rPr>
        <w:t>接待大洪湖片区招商引资</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b w:val="0"/>
          <w:bCs/>
          <w:sz w:val="32"/>
          <w:szCs w:val="32"/>
          <w:shd w:val="clear" w:color="auto" w:fill="FFFFFF"/>
        </w:rPr>
        <w:t>接待大洪湖片区招商引资</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较上年支出数增加1.00万元，增长100.0%，主要原因是</w:t>
      </w:r>
      <w:r>
        <w:rPr>
          <w:rFonts w:ascii="方正仿宋_GBK" w:hAnsi="方正仿宋_GBK" w:eastAsia="方正仿宋_GBK" w:cs="方正仿宋_GBK"/>
          <w:b w:val="0"/>
          <w:bCs/>
          <w:sz w:val="32"/>
          <w:szCs w:val="32"/>
          <w:shd w:val="clear" w:color="auto" w:fill="FFFFFF"/>
        </w:rPr>
        <w:t>接待大洪湖片区招商引资</w:t>
      </w:r>
      <w:r>
        <w:rPr>
          <w:rFonts w:hint="eastAsia" w:ascii="方正仿宋_GBK" w:hAnsi="方正仿宋_GBK" w:eastAsia="方正仿宋_GBK" w:cs="方正仿宋_GBK"/>
          <w:b w:val="0"/>
          <w:bCs/>
          <w:sz w:val="32"/>
          <w:szCs w:val="32"/>
          <w:shd w:val="clear" w:color="auto" w:fill="FFFFFF"/>
          <w:lang w:eastAsia="zh-CN"/>
        </w:rPr>
        <w:t>。</w:t>
      </w:r>
    </w:p>
    <w:p w14:paraId="09B25B9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96A23B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314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31.85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E270EDF">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5522F0B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4B6B67D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万元，与2023年度相比，增加3.00万元，增长60.0%，主要原因是</w:t>
      </w:r>
      <w:r>
        <w:rPr>
          <w:rFonts w:hint="eastAsia" w:ascii="方正仿宋_GBK" w:hAnsi="方正仿宋_GBK" w:eastAsia="方正仿宋_GBK" w:cs="方正仿宋_GBK"/>
          <w:sz w:val="32"/>
          <w:szCs w:val="32"/>
          <w:shd w:val="clear" w:color="auto" w:fill="FFFFFF"/>
          <w:lang w:eastAsia="zh-CN"/>
        </w:rPr>
        <w:t>部门召开相关工作会议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11.40</w:t>
      </w:r>
      <w:r>
        <w:rPr>
          <w:rFonts w:ascii="方正仿宋_GBK" w:hAnsi="方正仿宋_GBK" w:eastAsia="方正仿宋_GBK" w:cs="方正仿宋_GBK"/>
          <w:sz w:val="32"/>
          <w:szCs w:val="32"/>
          <w:shd w:val="clear" w:color="auto" w:fill="FFFFFF"/>
        </w:rPr>
        <w:t>万元，与2023年度相比，增加5.10万元，增长81.0%，主要原因是</w:t>
      </w:r>
      <w:r>
        <w:rPr>
          <w:rFonts w:hint="eastAsia" w:ascii="方正仿宋_GBK" w:hAnsi="方正仿宋_GBK" w:eastAsia="方正仿宋_GBK" w:cs="方正仿宋_GBK"/>
          <w:sz w:val="32"/>
          <w:szCs w:val="32"/>
          <w:shd w:val="clear" w:color="auto" w:fill="FFFFFF"/>
          <w:lang w:eastAsia="zh-CN"/>
        </w:rPr>
        <w:t>业务部门召开业务培训会</w:t>
      </w:r>
      <w:r>
        <w:rPr>
          <w:rFonts w:ascii="方正仿宋_GBK" w:hAnsi="方正仿宋_GBK" w:eastAsia="方正仿宋_GBK" w:cs="方正仿宋_GBK"/>
          <w:sz w:val="32"/>
          <w:szCs w:val="32"/>
          <w:shd w:val="clear" w:color="auto" w:fill="FFFFFF"/>
        </w:rPr>
        <w:t>。</w:t>
      </w:r>
    </w:p>
    <w:p w14:paraId="60E69F4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CEFA6C7">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hint="eastAsia" w:ascii="方正仿宋_GBK" w:hAnsi="方正仿宋_GBK" w:eastAsia="方正仿宋_GBK" w:cs="方正仿宋_GBK"/>
          <w:sz w:val="32"/>
          <w:szCs w:val="32"/>
          <w:shd w:val="clear" w:color="auto" w:fill="FFFFFF"/>
          <w:lang w:eastAsia="zh-CN"/>
        </w:rPr>
        <w:t>。</w:t>
      </w:r>
    </w:p>
    <w:p w14:paraId="502DFC1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A7ADB5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6B8D23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09C2EF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p>
    <w:p w14:paraId="68731BF6">
      <w:pPr>
        <w:pStyle w:val="16"/>
        <w:keepNext w:val="0"/>
        <w:keepLines w:val="0"/>
        <w:pageBreakBefore w:val="0"/>
        <w:tabs>
          <w:tab w:val="center" w:pos="4153"/>
          <w:tab w:val="left" w:pos="7275"/>
        </w:tabs>
        <w:kinsoku/>
        <w:wordWrap/>
        <w:overflowPunct/>
        <w:topLinePunct w:val="0"/>
        <w:autoSpaceDN/>
        <w:bidi w:val="0"/>
        <w:adjustRightInd/>
        <w:spacing w:line="594" w:lineRule="exact"/>
        <w:ind w:firstLine="643" w:firstLineChars="200"/>
        <w:textAlignment w:val="auto"/>
        <w:rPr>
          <w:rFonts w:hint="eastAsia" w:ascii="Times New Roman" w:hAnsi="Times New Roman" w:eastAsia="方正黑体_GBK" w:cs="宋体"/>
          <w:color w:val="000000"/>
          <w:kern w:val="0"/>
          <w:sz w:val="32"/>
          <w:szCs w:val="32"/>
          <w:highlight w:val="yellow"/>
        </w:rPr>
      </w:pPr>
      <w:r>
        <w:rPr>
          <w:rStyle w:val="10"/>
          <w:rFonts w:hint="eastAsia" w:ascii="黑体" w:hAnsi="黑体" w:eastAsia="黑体" w:cs="黑体"/>
          <w:kern w:val="0"/>
          <w:sz w:val="32"/>
          <w:szCs w:val="32"/>
          <w:shd w:val="clear" w:color="auto" w:fill="FFFFFF"/>
          <w:lang w:val="en-US" w:eastAsia="zh-CN" w:bidi="ar-SA"/>
        </w:rPr>
        <w:t>五、预算绩效管理情况说明</w:t>
      </w:r>
    </w:p>
    <w:p w14:paraId="506FC99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val="en-US" w:eastAsia="zh-CN"/>
        </w:rPr>
        <w:t>（一）预算绩效管理工作开展情况</w:t>
      </w:r>
    </w:p>
    <w:p w14:paraId="144AECF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根据预算绩效管理要求，我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对部门整体和</w:t>
      </w:r>
      <w:r>
        <w:rPr>
          <w:rFonts w:hint="eastAsia" w:ascii="方正仿宋_GBK" w:hAnsi="方正仿宋_GBK" w:eastAsia="方正仿宋_GBK" w:cs="方正仿宋_GBK"/>
          <w:sz w:val="32"/>
          <w:szCs w:val="32"/>
          <w:shd w:val="clear" w:color="auto" w:fill="FFFFFF"/>
          <w:lang w:val="en-US" w:eastAsia="zh-CN"/>
        </w:rPr>
        <w:t>3</w:t>
      </w:r>
      <w:r>
        <w:rPr>
          <w:rFonts w:hint="default" w:ascii="方正仿宋_GBK" w:hAnsi="方正仿宋_GBK" w:eastAsia="方正仿宋_GBK" w:cs="方正仿宋_GBK"/>
          <w:sz w:val="32"/>
          <w:szCs w:val="32"/>
          <w:shd w:val="clear" w:color="auto" w:fill="FFFFFF"/>
          <w:lang w:val="en-US" w:eastAsia="zh-CN"/>
        </w:rPr>
        <w:t>个项目开展了绩效自评，涉及财政拨款项目支出资金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295.23</w:t>
      </w:r>
      <w:r>
        <w:rPr>
          <w:rFonts w:hint="default" w:ascii="方正仿宋_GBK" w:hAnsi="方正仿宋_GBK" w:eastAsia="方正仿宋_GBK" w:cs="方正仿宋_GBK"/>
          <w:sz w:val="32"/>
          <w:szCs w:val="32"/>
          <w:shd w:val="clear" w:color="auto" w:fill="FFFFFF"/>
          <w:lang w:val="en-US" w:eastAsia="zh-CN"/>
        </w:rPr>
        <w:t>万元</w:t>
      </w:r>
      <w:r>
        <w:rPr>
          <w:rFonts w:hint="eastAsia" w:ascii="方正仿宋_GBK" w:hAnsi="方正仿宋_GBK" w:eastAsia="方正仿宋_GBK" w:cs="方正仿宋_GBK"/>
          <w:sz w:val="32"/>
          <w:szCs w:val="32"/>
          <w:shd w:val="clear" w:color="auto" w:fill="FFFFFF"/>
          <w:lang w:val="en-US" w:eastAsia="zh-CN"/>
        </w:rPr>
        <w:t>。</w:t>
      </w:r>
    </w:p>
    <w:p w14:paraId="5143482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val="en-US" w:eastAsia="zh-CN"/>
        </w:rPr>
        <w:t>（二）绩效自评结果</w:t>
      </w:r>
    </w:p>
    <w:p w14:paraId="4B826F8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val="en-US" w:eastAsia="zh-CN"/>
        </w:rPr>
        <w:t>绩效自评结果详见附件</w:t>
      </w:r>
      <w:r>
        <w:rPr>
          <w:rFonts w:hint="eastAsia" w:ascii="方正仿宋_GBK" w:hAnsi="方正仿宋_GBK" w:eastAsia="方正仿宋_GBK" w:cs="方正仿宋_GBK"/>
          <w:sz w:val="32"/>
          <w:szCs w:val="32"/>
          <w:shd w:val="clear" w:color="auto" w:fill="FFFFFF"/>
          <w:lang w:val="en-US" w:eastAsia="zh-CN"/>
        </w:rPr>
        <w:t>2024</w:t>
      </w:r>
      <w:r>
        <w:rPr>
          <w:rFonts w:hint="default" w:ascii="方正仿宋_GBK" w:hAnsi="方正仿宋_GBK" w:eastAsia="方正仿宋_GBK" w:cs="方正仿宋_GBK"/>
          <w:sz w:val="32"/>
          <w:szCs w:val="32"/>
          <w:shd w:val="clear" w:color="auto" w:fill="FFFFFF"/>
          <w:lang w:val="en-US" w:eastAsia="zh-CN"/>
        </w:rPr>
        <w:t>年度绩效自评公开表（《部门整体绩效自评表》、《项目绩效自评结果汇总表》、《项目支出绩效自评表》）。</w:t>
      </w:r>
    </w:p>
    <w:p w14:paraId="6B762C3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val="en-US" w:eastAsia="zh-CN"/>
        </w:rPr>
        <w:t>（三）财政绩效评价情况</w:t>
      </w:r>
    </w:p>
    <w:p w14:paraId="48AB4B3E">
      <w:pPr>
        <w:pStyle w:val="6"/>
        <w:snapToGrid w:val="0"/>
        <w:spacing w:before="0" w:beforeAutospacing="0" w:after="0" w:afterAutospacing="0" w:line="600" w:lineRule="exact"/>
        <w:ind w:firstLine="640" w:firstLineChars="200"/>
        <w:jc w:val="both"/>
        <w:rPr>
          <w:rStyle w:val="10"/>
          <w:rFonts w:hint="eastAsia" w:ascii="方正楷体_GBK" w:hAnsi="方正楷体_GBK" w:eastAsia="方正楷体_GBK" w:cs="方正楷体_GBK"/>
          <w:sz w:val="32"/>
          <w:szCs w:val="32"/>
          <w:highlight w:val="yellow"/>
          <w:shd w:val="clear" w:color="auto" w:fill="FFFFFF"/>
        </w:rPr>
      </w:pPr>
      <w:r>
        <w:rPr>
          <w:rFonts w:hint="default" w:ascii="方正仿宋_GBK" w:hAnsi="方正仿宋_GBK" w:eastAsia="方正仿宋_GBK" w:cs="方正仿宋_GBK"/>
          <w:sz w:val="32"/>
          <w:szCs w:val="32"/>
          <w:shd w:val="clear" w:color="auto" w:fill="FFFFFF"/>
          <w:lang w:val="en-US" w:eastAsia="zh-CN"/>
        </w:rPr>
        <w:t>区财政局未委托第三方对我单位开展绩效评价。</w:t>
      </w:r>
    </w:p>
    <w:p w14:paraId="3B0012FD">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14:paraId="2125F78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028EDB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B3F3BF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8F50A1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5D1E1E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C98D03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466BD90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C40439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7D2FAE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4CAA9D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0DA038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77E1D73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F7D555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2430A1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E35C6D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7735754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FF6244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E55466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1BAFF2D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0E4B8E70">
      <w:pPr>
        <w:pStyle w:val="11"/>
        <w:autoSpaceDE w:val="0"/>
        <w:spacing w:line="596" w:lineRule="exact"/>
        <w:ind w:firstLine="64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王宇嘉 18883304399</w:t>
      </w:r>
    </w:p>
    <w:p w14:paraId="164B459F">
      <w:pPr>
        <w:rPr>
          <w:rStyle w:val="13"/>
          <w:rFonts w:hint="eastAsia" w:ascii="方正仿宋_GBK" w:hAnsi="方正仿宋_GBK" w:eastAsia="方正仿宋_GBK" w:cs="方正仿宋_GBK"/>
          <w:b/>
          <w:bCs/>
          <w:sz w:val="32"/>
          <w:szCs w:val="32"/>
          <w:shd w:val="clear"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Style w:val="13"/>
          <w:rFonts w:hint="eastAsia" w:ascii="方正仿宋_GBK" w:hAnsi="方正仿宋_GBK" w:eastAsia="方正仿宋_GBK" w:cs="方正仿宋_GBK"/>
          <w:b/>
          <w:bCs/>
          <w:sz w:val="32"/>
          <w:szCs w:val="32"/>
          <w:shd w:val="clear" w:fill="FFFF00"/>
        </w:rPr>
        <w:br w:type="page"/>
      </w:r>
    </w:p>
    <w:p w14:paraId="3ABDB176">
      <w:pPr>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9D70">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713DDD3">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36C07">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5BC4A5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0E8CBCE">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571F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8E0D2C"/>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72CA2"/>
    <w:rsid w:val="11ED0F98"/>
    <w:rsid w:val="11F03528"/>
    <w:rsid w:val="12C921C4"/>
    <w:rsid w:val="12F52ECF"/>
    <w:rsid w:val="13871C70"/>
    <w:rsid w:val="13A71CB4"/>
    <w:rsid w:val="13AF1D43"/>
    <w:rsid w:val="13CE1647"/>
    <w:rsid w:val="13DA0C25"/>
    <w:rsid w:val="13FD55AB"/>
    <w:rsid w:val="14200702"/>
    <w:rsid w:val="14907817"/>
    <w:rsid w:val="15012F98"/>
    <w:rsid w:val="163A6CEE"/>
    <w:rsid w:val="173708E3"/>
    <w:rsid w:val="174C19C7"/>
    <w:rsid w:val="17C374FC"/>
    <w:rsid w:val="189079DC"/>
    <w:rsid w:val="189B0D0B"/>
    <w:rsid w:val="18AF03BF"/>
    <w:rsid w:val="18B43F7C"/>
    <w:rsid w:val="194A1770"/>
    <w:rsid w:val="19B906A4"/>
    <w:rsid w:val="19FB026E"/>
    <w:rsid w:val="1A671482"/>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5D557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7FE505C"/>
    <w:rsid w:val="383C3F15"/>
    <w:rsid w:val="38BE4696"/>
    <w:rsid w:val="3939115E"/>
    <w:rsid w:val="39B82A39"/>
    <w:rsid w:val="39C42CA8"/>
    <w:rsid w:val="39DC4FD6"/>
    <w:rsid w:val="39F03D7A"/>
    <w:rsid w:val="39F33306"/>
    <w:rsid w:val="3A2C1C67"/>
    <w:rsid w:val="3B1705E5"/>
    <w:rsid w:val="3B18334B"/>
    <w:rsid w:val="3B36794F"/>
    <w:rsid w:val="3B9A5F7B"/>
    <w:rsid w:val="3C566AD6"/>
    <w:rsid w:val="3C6A5B02"/>
    <w:rsid w:val="3D2757A1"/>
    <w:rsid w:val="3D2952E1"/>
    <w:rsid w:val="3D3D4FC4"/>
    <w:rsid w:val="3DBC22B2"/>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9B22B9"/>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D583CB3"/>
    <w:rsid w:val="5EF62337"/>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B130C7"/>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9BB5D0A"/>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7">
    <w:name w:val="font21"/>
    <w:basedOn w:val="9"/>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3864</Words>
  <Characters>4343</Characters>
  <Lines>186</Lines>
  <Paragraphs>52</Paragraphs>
  <TotalTime>5</TotalTime>
  <ScaleCrop>false</ScaleCrop>
  <LinksUpToDate>false</LinksUpToDate>
  <CharactersWithSpaces>4356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我看哪颗星星都像北极星</cp:lastModifiedBy>
  <dcterms:modified xsi:type="dcterms:W3CDTF">2025-10-15T01:30:02Z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eyJoZGlkIjoiNmNiZTc5OWNhMTcxZWUzMDNlM2MzNWUyNGQyOTEzNGYiLCJ1c2VySWQiOiIxNDg2OTY2OCJ9</vt:lpwstr>
  </property>
</Properties>
</file>