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N/>
        <w:bidi w:val="0"/>
        <w:adjustRightInd/>
        <w:spacing w:before="0" w:beforeAutospacing="0" w:after="0" w:afterAutospacing="0" w:line="594" w:lineRule="exact"/>
        <w:jc w:val="center"/>
        <w:textAlignment w:val="auto"/>
        <w:rPr>
          <w:rFonts w:ascii="方正小标宋_GBK" w:hAnsi="方正小标宋_GBK" w:eastAsia="方正小标宋_GBK" w:cs="方正小标宋_GBK"/>
          <w:sz w:val="44"/>
          <w:szCs w:val="44"/>
        </w:rPr>
      </w:pPr>
      <w:bookmarkStart w:id="0" w:name="OLE_LINK3"/>
      <w:r>
        <w:rPr>
          <w:rFonts w:ascii="方正小标宋_GBK" w:hAnsi="方正小标宋_GBK" w:eastAsia="方正小标宋_GBK" w:cs="方正小标宋_GBK"/>
          <w:sz w:val="44"/>
          <w:szCs w:val="44"/>
        </w:rPr>
        <w:t>重庆市长寿区人民医院</w:t>
      </w:r>
    </w:p>
    <w:p>
      <w:pPr>
        <w:pStyle w:val="7"/>
        <w:keepNext w:val="0"/>
        <w:keepLines w:val="0"/>
        <w:pageBreakBefore w:val="0"/>
        <w:widowControl w:val="0"/>
        <w:kinsoku/>
        <w:wordWrap/>
        <w:overflowPunct/>
        <w:topLinePunct w:val="0"/>
        <w:autoSpaceDN/>
        <w:bidi w:val="0"/>
        <w:adjustRightInd/>
        <w:spacing w:before="0" w:beforeAutospacing="0" w:after="0" w:afterAutospacing="0" w:line="594"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1"/>
          <w:rFonts w:hint="default" w:ascii="黑体" w:hAnsi="黑体" w:eastAsia="黑体" w:cs="黑体"/>
          <w:sz w:val="32"/>
          <w:szCs w:val="32"/>
          <w:shd w:val="clear" w:color="auto" w:fill="FFFFFF"/>
        </w:rPr>
      </w:pPr>
      <w:bookmarkStart w:id="1" w:name="OLE_LINK1"/>
      <w:r>
        <w:rPr>
          <w:rStyle w:val="11"/>
          <w:rFonts w:ascii="黑体" w:hAnsi="黑体" w:eastAsia="黑体" w:cs="黑体"/>
          <w:sz w:val="32"/>
          <w:szCs w:val="32"/>
          <w:shd w:val="clear" w:color="auto" w:fill="FFFFFF"/>
        </w:rPr>
        <w:t>一、</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基本情况</w:t>
      </w:r>
    </w:p>
    <w:p>
      <w:pPr>
        <w:pStyle w:val="7"/>
        <w:keepNext w:val="0"/>
        <w:keepLines w:val="0"/>
        <w:pageBreakBefore w:val="0"/>
        <w:widowControl w:val="0"/>
        <w:shd w:val="clear" w:color="auto" w:fill="FFFFFF"/>
        <w:kinsoku/>
        <w:wordWrap/>
        <w:overflowPunct/>
        <w:topLinePunct w:val="0"/>
        <w:autoSpaceDN/>
        <w:bidi w:val="0"/>
        <w:adjustRightInd/>
        <w:spacing w:beforeAutospacing="0" w:afterAutospacing="0" w:line="594" w:lineRule="exact"/>
        <w:ind w:firstLine="42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重庆市长寿区人民医院始建于1940年，是一所集医疗、教学、科研、预防、保健为一体的国家三级甲等综合性医院，是重庆市长寿区肿瘤医院、重庆大学附属肿瘤医院长寿分院、重庆医科大学</w:t>
      </w:r>
      <w:bookmarkStart w:id="3" w:name="_GoBack"/>
      <w:bookmarkEnd w:id="3"/>
      <w:r>
        <w:rPr>
          <w:rFonts w:hint="eastAsia" w:ascii="方正仿宋_GBK" w:hAnsi="方正仿宋_GBK" w:eastAsia="方正仿宋_GBK" w:cs="方正仿宋_GBK"/>
          <w:sz w:val="32"/>
          <w:szCs w:val="32"/>
          <w:shd w:val="clear" w:color="auto" w:fill="FFFFFF"/>
          <w:lang w:val="en-US" w:eastAsia="zh-CN" w:bidi="ar-SA"/>
        </w:rPr>
        <w:t>附属长寿临床教学培训中心、重庆医科大学附属第一医院长寿医院、国家级助理全科医生培训基地、重庆市博士后科研工作站，设有长寿区司法鉴定所、长寿区老年康复研究所，代管长寿区中心血库。</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rPr>
      </w:pPr>
      <w:r>
        <w:rPr>
          <w:rFonts w:hint="eastAsia" w:ascii="方正仿宋_GBK" w:hAnsi="方正仿宋_GBK" w:eastAsia="方正仿宋_GBK" w:cs="方正仿宋_GBK"/>
          <w:sz w:val="32"/>
          <w:szCs w:val="32"/>
          <w:shd w:val="clear" w:color="auto" w:fill="FFFFFF"/>
          <w:lang w:val="en-US" w:eastAsia="zh-CN" w:bidi="ar-SA"/>
        </w:rPr>
        <w:t>医院始终坚持公益性，作为全区唯一的综合性三甲医院，承担着全区及周边区域人口的疑难危急重症救治、应急救援与公共卫生管理服务，承接全市统一安排的援藏及涉外医疗任务。医院始终坚持以人民健康为中心，积极践行“秉德、立信、求精、奉献”的院训，不断推进三甲医院内涵建设，以实现“巴渝名院、重庆一流”为发展目标，争做“全方位全周期保障人民健康”的守护者！</w:t>
      </w:r>
    </w:p>
    <w:p>
      <w:pPr>
        <w:pStyle w:val="7"/>
        <w:keepNext w:val="0"/>
        <w:keepLines w:val="0"/>
        <w:pageBreakBefore w:val="0"/>
        <w:widowControl w:val="0"/>
        <w:shd w:val="clear" w:color="auto" w:fill="FFFFFF"/>
        <w:kinsoku/>
        <w:wordWrap/>
        <w:overflowPunct/>
        <w:topLinePunct w:val="0"/>
        <w:autoSpaceDN/>
        <w:bidi w:val="0"/>
        <w:adjustRightInd/>
        <w:spacing w:beforeAutospacing="0" w:afterAutospacing="0" w:line="594" w:lineRule="exact"/>
        <w:ind w:firstLine="420"/>
        <w:jc w:val="both"/>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医院设临床科室34个、医技（辅）科室9个，拥有重庆市特色专科2个（呼吸内科、泌尿外科），重庆市临床重点专科4个（普外科、急诊医学科、医学检验科、重症医学科），重庆市区域医学重点学科3个（普外科、呼吸与危重症医学科、医学检验科）。拥有长寿区医疗质量控制中心34个，建成了长寿区胸痛、卒中、创伤、危重孕产妇救治、危重儿童救治、远程心电、远程影像七大临床中心诊疗体系，其中卒中中心已成功创建为国家级卒中综合防治中心。</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1"/>
          <w:rFonts w:hint="default" w:ascii="黑体" w:hAnsi="黑体" w:eastAsia="黑体" w:cs="黑体"/>
          <w:sz w:val="32"/>
          <w:szCs w:val="32"/>
          <w:shd w:val="clear" w:color="auto" w:fill="FFFFFF"/>
        </w:rPr>
      </w:pPr>
      <w:bookmarkStart w:id="2" w:name="OLE_LINK2"/>
      <w:r>
        <w:rPr>
          <w:rStyle w:val="11"/>
          <w:rFonts w:ascii="黑体" w:hAnsi="黑体" w:eastAsia="黑体" w:cs="黑体"/>
          <w:sz w:val="32"/>
          <w:szCs w:val="32"/>
          <w:shd w:val="clear" w:color="auto" w:fill="FFFFFF"/>
        </w:rPr>
        <w:t>二、</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决算</w:t>
      </w:r>
      <w:r>
        <w:rPr>
          <w:rStyle w:val="11"/>
          <w:rFonts w:hint="eastAsia" w:ascii="黑体" w:hAnsi="黑体" w:eastAsia="黑体" w:cs="黑体"/>
          <w:sz w:val="32"/>
          <w:szCs w:val="32"/>
          <w:shd w:val="clear" w:color="auto" w:fill="FFFFFF"/>
          <w:lang w:eastAsia="zh-CN"/>
        </w:rPr>
        <w:t>收支</w:t>
      </w:r>
      <w:r>
        <w:rPr>
          <w:rStyle w:val="11"/>
          <w:rFonts w:ascii="黑体" w:hAnsi="黑体" w:eastAsia="黑体" w:cs="黑体"/>
          <w:sz w:val="32"/>
          <w:szCs w:val="32"/>
          <w:shd w:val="clear" w:color="auto" w:fill="FFFFFF"/>
        </w:rPr>
        <w:t>情况说明</w:t>
      </w:r>
    </w:p>
    <w:p>
      <w:pPr>
        <w:pStyle w:val="7"/>
        <w:keepNext w:val="0"/>
        <w:keepLines w:val="0"/>
        <w:pageBreakBefore w:val="0"/>
        <w:widowControl w:val="0"/>
        <w:shd w:val="clear" w:color="auto" w:fill="FFFFFF"/>
        <w:kinsoku/>
        <w:wordWrap/>
        <w:overflowPunct/>
        <w:topLinePunct w:val="0"/>
        <w:autoSpaceDN/>
        <w:bidi w:val="0"/>
        <w:adjustRightInd/>
        <w:spacing w:beforeAutospacing="0" w:afterAutospacing="0" w:line="594" w:lineRule="exact"/>
        <w:ind w:firstLine="420"/>
        <w:jc w:val="both"/>
        <w:rPr>
          <w:rStyle w:val="11"/>
          <w:rFonts w:ascii="楷体" w:hAnsi="楷体" w:eastAsia="楷体" w:cs="楷体"/>
          <w:sz w:val="32"/>
          <w:szCs w:val="32"/>
          <w:shd w:val="clear" w:color="auto" w:fill="FFFFFF"/>
        </w:rPr>
      </w:pPr>
      <w:r>
        <w:rPr>
          <w:rStyle w:val="11"/>
          <w:rFonts w:hint="eastAsia" w:ascii="楷体" w:hAnsi="楷体" w:eastAsia="楷体" w:cs="楷体"/>
          <w:sz w:val="32"/>
          <w:szCs w:val="32"/>
          <w:shd w:val="clear" w:color="auto" w:fill="FFFFFF"/>
        </w:rPr>
        <w:t>（一）收入支出决算总体情况说明</w:t>
      </w:r>
    </w:p>
    <w:p>
      <w:pPr>
        <w:pStyle w:val="7"/>
        <w:keepNext w:val="0"/>
        <w:keepLines w:val="0"/>
        <w:pageBreakBefore w:val="0"/>
        <w:widowControl w:val="0"/>
        <w:shd w:val="clear" w:color="auto" w:fill="FFFFFF"/>
        <w:kinsoku/>
        <w:wordWrap/>
        <w:overflowPunct/>
        <w:topLinePunct w:val="0"/>
        <w:autoSpaceDN/>
        <w:bidi w:val="0"/>
        <w:adjustRightInd/>
        <w:spacing w:beforeAutospacing="0" w:afterAutospacing="0" w:line="594" w:lineRule="exact"/>
        <w:ind w:firstLine="643" w:firstLineChars="200"/>
        <w:jc w:val="both"/>
        <w:rPr>
          <w:rFonts w:hint="default" w:ascii="方正仿宋_GBK" w:hAnsi="方正仿宋_GBK" w:eastAsia="方正仿宋_GBK" w:cs="方正仿宋_GBK"/>
          <w:sz w:val="32"/>
          <w:szCs w:val="32"/>
          <w:lang w:val="en-US" w:eastAsia="zh-CN"/>
        </w:rPr>
      </w:pPr>
      <w:r>
        <w:rPr>
          <w:rStyle w:val="11"/>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度收入总计86589.47万元，支出总计</w:t>
      </w:r>
      <w:r>
        <w:rPr>
          <w:rFonts w:ascii="方正仿宋_GBK" w:hAnsi="方正仿宋_GBK" w:eastAsia="方正仿宋_GBK" w:cs="方正仿宋_GBK"/>
          <w:sz w:val="32"/>
          <w:szCs w:val="32"/>
        </w:rPr>
        <w:t>86589.47</w:t>
      </w:r>
      <w:r>
        <w:rPr>
          <w:rFonts w:ascii="方正仿宋_GBK" w:hAnsi="方正仿宋_GBK" w:eastAsia="方正仿宋_GBK" w:cs="方正仿宋_GBK"/>
          <w:sz w:val="32"/>
          <w:szCs w:val="32"/>
          <w:shd w:val="clear" w:color="auto" w:fill="FFFFFF"/>
        </w:rPr>
        <w:t>万元。收、支与2023年度相比，减少12647.4万元，下降12.7%，主要原因是</w:t>
      </w:r>
      <w:r>
        <w:rPr>
          <w:rFonts w:hint="eastAsia" w:ascii="方正仿宋_GBK" w:hAnsi="方正仿宋_GBK" w:eastAsia="方正仿宋_GBK" w:cs="方正仿宋_GBK"/>
          <w:sz w:val="32"/>
          <w:szCs w:val="32"/>
          <w:shd w:val="clear" w:color="auto" w:fill="FFFFFF"/>
          <w:lang w:eastAsia="zh-CN"/>
        </w:rPr>
        <w:t>财政拨款经费较上年同期减少</w:t>
      </w:r>
      <w:r>
        <w:rPr>
          <w:rFonts w:hint="eastAsia" w:ascii="方正仿宋_GBK" w:hAnsi="方正仿宋_GBK" w:eastAsia="方正仿宋_GBK" w:cs="方正仿宋_GBK"/>
          <w:sz w:val="32"/>
          <w:szCs w:val="32"/>
          <w:shd w:val="clear" w:color="auto" w:fill="FFFFFF"/>
          <w:lang w:val="en-US" w:eastAsia="zh-CN"/>
        </w:rPr>
        <w:t>2065.02万元，事业收入减少4315.88万元，其他收入减少3403.11万元，使用非财政拨款结余（含专用结余）减少1396.28万元，年初结转和结余减少1467.14万元。</w:t>
      </w:r>
    </w:p>
    <w:p>
      <w:pPr>
        <w:keepNext w:val="0"/>
        <w:keepLines w:val="0"/>
        <w:pageBreakBefore w:val="0"/>
        <w:widowControl w:val="0"/>
        <w:kinsoku/>
        <w:wordWrap/>
        <w:overflowPunct/>
        <w:topLinePunct w:val="0"/>
        <w:autoSpaceDN/>
        <w:bidi w:val="0"/>
        <w:adjustRightInd/>
        <w:spacing w:beforeAutospacing="0" w:afterAutospacing="0" w:line="594" w:lineRule="exact"/>
        <w:ind w:firstLine="709"/>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度收入合计86408.25万元，与2023年度相比，减少9784万元，下降10.2%，</w:t>
      </w:r>
      <w:r>
        <w:rPr>
          <w:rFonts w:hint="eastAsia" w:ascii="方正仿宋_GBK" w:hAnsi="方正仿宋_GBK" w:eastAsia="方正仿宋_GBK" w:cs="方正仿宋_GBK"/>
          <w:sz w:val="32"/>
          <w:szCs w:val="32"/>
          <w:shd w:val="clear" w:color="auto" w:fill="FFFFFF"/>
          <w:lang w:val="en-US" w:eastAsia="zh-CN" w:bidi="ar-SA"/>
        </w:rPr>
        <w:t>其中，财</w:t>
      </w:r>
      <w:r>
        <w:rPr>
          <w:rFonts w:hint="eastAsia" w:ascii="方正仿宋_GBK" w:hAnsi="方正仿宋_GBK" w:eastAsia="方正仿宋_GBK" w:cs="方正仿宋_GBK"/>
          <w:sz w:val="32"/>
          <w:szCs w:val="32"/>
          <w:shd w:val="clear" w:color="auto" w:fill="FFFFFF"/>
          <w:lang w:eastAsia="zh-CN"/>
        </w:rPr>
        <w:t>政拨款收入减少</w:t>
      </w:r>
      <w:r>
        <w:rPr>
          <w:rFonts w:hint="eastAsia" w:ascii="方正仿宋_GBK" w:hAnsi="方正仿宋_GBK" w:eastAsia="方正仿宋_GBK" w:cs="方正仿宋_GBK"/>
          <w:sz w:val="32"/>
          <w:szCs w:val="32"/>
          <w:shd w:val="clear" w:color="auto" w:fill="FFFFFF"/>
          <w:lang w:val="en-US" w:eastAsia="zh-CN"/>
        </w:rPr>
        <w:t>2065.02万元，</w:t>
      </w:r>
      <w:r>
        <w:rPr>
          <w:rFonts w:hint="eastAsia" w:ascii="方正仿宋_GBK" w:hAnsi="方正仿宋_GBK" w:eastAsia="方正仿宋_GBK" w:cs="方正仿宋_GBK"/>
          <w:sz w:val="32"/>
          <w:szCs w:val="32"/>
          <w:highlight w:val="none"/>
          <w:shd w:val="clear" w:color="auto" w:fill="FFFFFF"/>
          <w:lang w:val="en-US" w:eastAsia="zh-CN"/>
        </w:rPr>
        <w:t>事业收入减少4315.88万元</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lang w:eastAsia="zh-CN"/>
        </w:rPr>
        <w:t>其他收入减少</w:t>
      </w:r>
      <w:r>
        <w:rPr>
          <w:rFonts w:hint="eastAsia" w:ascii="方正仿宋_GBK" w:hAnsi="方正仿宋_GBK" w:eastAsia="方正仿宋_GBK" w:cs="方正仿宋_GBK"/>
          <w:sz w:val="32"/>
          <w:szCs w:val="32"/>
          <w:shd w:val="clear" w:color="auto" w:fill="FFFFFF"/>
          <w:lang w:val="en-US" w:eastAsia="zh-CN"/>
        </w:rPr>
        <w:t>3403.1万元</w:t>
      </w:r>
      <w:r>
        <w:rPr>
          <w:rFonts w:hint="eastAsia" w:ascii="方正仿宋_GBK" w:hAnsi="方正仿宋_GBK" w:eastAsia="方正仿宋_GBK" w:cs="方正仿宋_GBK"/>
          <w:sz w:val="32"/>
          <w:szCs w:val="32"/>
          <w:shd w:val="clear" w:color="auto" w:fill="FFFFFF"/>
          <w:lang w:eastAsia="zh-CN"/>
        </w:rPr>
        <w:t>。收入下降主要原因</w:t>
      </w:r>
      <w:r>
        <w:rPr>
          <w:rFonts w:hint="eastAsia" w:ascii="方正仿宋_GBK" w:hAnsi="方正仿宋_GBK" w:eastAsia="方正仿宋_GBK" w:cs="方正仿宋_GBK"/>
          <w:sz w:val="32"/>
          <w:szCs w:val="32"/>
          <w:shd w:val="clear" w:color="auto" w:fill="FFFFFF"/>
          <w:lang w:val="en-US" w:eastAsia="zh-CN" w:bidi="ar-SA"/>
        </w:rPr>
        <w:t>是2023年度因特定业务需求，存在11668.78万元的债务预算收入，而2024年度未发生该项收入，导致本年度收入同比下降。除此之外，非同级财政拨款收入从2023年度的888.81万元降至2024年度的405.78万元；2023年度取得长寿区慈善会捐赠款项100万元，2024年度无此项捐赠收入；利息收入从2023年129.65万元下降至2024年74.02万元；租金收入从2023年度的269.64万元下降至2024年度的122万元。</w:t>
      </w:r>
      <w:r>
        <w:rPr>
          <w:rFonts w:hint="eastAsia" w:ascii="方正仿宋_GBK" w:hAnsi="方正仿宋_GBK" w:eastAsia="方正仿宋_GBK" w:cs="方正仿宋_GBK"/>
          <w:sz w:val="32"/>
          <w:szCs w:val="32"/>
          <w:shd w:val="clear" w:color="auto" w:fill="FFFFFF"/>
          <w:lang w:eastAsia="zh-CN"/>
        </w:rPr>
        <w:t>收入结构</w:t>
      </w:r>
      <w:r>
        <w:rPr>
          <w:rFonts w:hint="eastAsia" w:ascii="方正仿宋_GBK" w:hAnsi="方正仿宋_GBK" w:eastAsia="方正仿宋_GBK" w:cs="方正仿宋_GBK"/>
          <w:sz w:val="32"/>
          <w:szCs w:val="32"/>
          <w:shd w:val="clear" w:color="auto" w:fill="FFFFFF"/>
          <w:lang w:val="en-US" w:eastAsia="zh-CN"/>
        </w:rPr>
        <w:t>中</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财政拨款收入6414.35万元，占7.4%；事业收入79133.19万元，占91.</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%；经营收入0万元，占0</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%；其他收入860.71万元，占1</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lang w:eastAsia="zh-CN"/>
        </w:rPr>
        <w:t>使用非财政拨款结余（含专用结余）</w:t>
      </w:r>
      <w:r>
        <w:rPr>
          <w:rFonts w:ascii="方正仿宋_GBK" w:hAnsi="方正仿宋_GBK" w:eastAsia="方正仿宋_GBK" w:cs="方正仿宋_GBK"/>
          <w:sz w:val="32"/>
          <w:szCs w:val="32"/>
          <w:shd w:val="clear" w:color="auto" w:fill="FFFFFF"/>
        </w:rPr>
        <w:t>0万元，年初结转和结余181.21万元。</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82685.04</w:t>
      </w:r>
      <w:r>
        <w:rPr>
          <w:rFonts w:ascii="方正仿宋_GBK" w:hAnsi="方正仿宋_GBK" w:eastAsia="方正仿宋_GBK" w:cs="方正仿宋_GBK"/>
          <w:sz w:val="32"/>
          <w:szCs w:val="32"/>
          <w:shd w:val="clear" w:color="auto" w:fill="FFFFFF"/>
        </w:rPr>
        <w:t>万元，与2023年度相比，减少8245.9万元，下降9.1%，主要原因是</w:t>
      </w:r>
      <w:r>
        <w:rPr>
          <w:rFonts w:hint="eastAsia" w:ascii="方正仿宋_GBK" w:hAnsi="方正仿宋_GBK" w:eastAsia="方正仿宋_GBK" w:cs="方正仿宋_GBK"/>
          <w:sz w:val="32"/>
          <w:szCs w:val="32"/>
          <w:shd w:val="clear" w:color="auto" w:fill="FFFFFF"/>
          <w:lang w:eastAsia="zh-CN"/>
        </w:rPr>
        <w:t>2023年我单位预付重庆合为实业有限责任公司医疗物资款6000万，卫生材料支出比实际</w:t>
      </w:r>
      <w:r>
        <w:rPr>
          <w:rFonts w:hint="eastAsia" w:ascii="方正仿宋_GBK" w:hAnsi="方正仿宋_GBK" w:eastAsia="方正仿宋_GBK" w:cs="方正仿宋_GBK"/>
          <w:sz w:val="32"/>
          <w:szCs w:val="32"/>
          <w:shd w:val="clear" w:color="auto" w:fill="FFFFFF"/>
          <w:lang w:val="en-US" w:eastAsia="zh-CN"/>
        </w:rPr>
        <w:t>支出多</w:t>
      </w:r>
      <w:r>
        <w:rPr>
          <w:rFonts w:hint="eastAsia" w:ascii="方正仿宋_GBK" w:hAnsi="方正仿宋_GBK" w:eastAsia="方正仿宋_GBK" w:cs="方正仿宋_GBK"/>
          <w:sz w:val="32"/>
          <w:szCs w:val="32"/>
          <w:shd w:val="clear" w:color="auto" w:fill="FFFFFF"/>
          <w:lang w:eastAsia="zh-CN"/>
        </w:rPr>
        <w:t>6000万元，2024年该公司未购买物资，返还预付资金，卫生材料费比实际</w:t>
      </w:r>
      <w:r>
        <w:rPr>
          <w:rFonts w:hint="eastAsia" w:ascii="方正仿宋_GBK" w:hAnsi="方正仿宋_GBK" w:eastAsia="方正仿宋_GBK" w:cs="方正仿宋_GBK"/>
          <w:sz w:val="32"/>
          <w:szCs w:val="32"/>
          <w:shd w:val="clear" w:color="auto" w:fill="FFFFFF"/>
          <w:lang w:val="en-US" w:eastAsia="zh-CN"/>
        </w:rPr>
        <w:t>支出少</w:t>
      </w:r>
      <w:r>
        <w:rPr>
          <w:rFonts w:hint="eastAsia" w:ascii="方正仿宋_GBK" w:hAnsi="方正仿宋_GBK" w:eastAsia="方正仿宋_GBK" w:cs="方正仿宋_GBK"/>
          <w:sz w:val="32"/>
          <w:szCs w:val="32"/>
          <w:shd w:val="clear" w:color="auto" w:fill="FFFFFF"/>
          <w:lang w:eastAsia="zh-CN"/>
        </w:rPr>
        <w:t>6000万元造成。</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72849.13</w:t>
      </w:r>
      <w:r>
        <w:rPr>
          <w:rFonts w:ascii="方正仿宋_GBK" w:hAnsi="方正仿宋_GBK" w:eastAsia="方正仿宋_GBK" w:cs="方正仿宋_GBK"/>
          <w:sz w:val="32"/>
          <w:szCs w:val="32"/>
          <w:shd w:val="clear" w:color="auto" w:fill="FFFFFF"/>
        </w:rPr>
        <w:t>万元，占88.1%；项目支出</w:t>
      </w:r>
      <w:r>
        <w:rPr>
          <w:rFonts w:ascii="方正仿宋_GBK" w:hAnsi="方正仿宋_GBK" w:eastAsia="方正仿宋_GBK" w:cs="方正仿宋_GBK"/>
          <w:sz w:val="32"/>
          <w:szCs w:val="32"/>
        </w:rPr>
        <w:t>9835.90</w:t>
      </w:r>
      <w:r>
        <w:rPr>
          <w:rFonts w:ascii="方正仿宋_GBK" w:hAnsi="方正仿宋_GBK" w:eastAsia="方正仿宋_GBK" w:cs="方正仿宋_GBK"/>
          <w:sz w:val="32"/>
          <w:szCs w:val="32"/>
          <w:shd w:val="clear" w:color="auto" w:fill="FFFFFF"/>
        </w:rPr>
        <w:t>万元，占11.9%；经营支出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%。此外，结余分配</w:t>
      </w:r>
      <w:r>
        <w:rPr>
          <w:rFonts w:ascii="方正仿宋_GBK" w:hAnsi="方正仿宋_GBK" w:eastAsia="方正仿宋_GBK" w:cs="方正仿宋_GBK"/>
          <w:sz w:val="32"/>
          <w:szCs w:val="32"/>
        </w:rPr>
        <w:t>3784.62</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4.结转结余情况</w:t>
      </w:r>
      <w:r>
        <w:rPr>
          <w:rStyle w:val="11"/>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119.81</w:t>
      </w:r>
      <w:r>
        <w:rPr>
          <w:rFonts w:ascii="方正仿宋_GBK" w:hAnsi="方正仿宋_GBK" w:eastAsia="方正仿宋_GBK" w:cs="方正仿宋_GBK"/>
          <w:sz w:val="32"/>
          <w:szCs w:val="32"/>
          <w:shd w:val="clear" w:color="auto" w:fill="FFFFFF"/>
        </w:rPr>
        <w:t>万元，与2023年度相比，减少61.4万元，下降33.9%，主要原因是</w:t>
      </w:r>
      <w:r>
        <w:rPr>
          <w:rFonts w:hint="eastAsia" w:ascii="方正仿宋_GBK" w:hAnsi="方正仿宋_GBK" w:eastAsia="方正仿宋_GBK" w:cs="方正仿宋_GBK"/>
          <w:sz w:val="32"/>
          <w:szCs w:val="32"/>
          <w:shd w:val="clear" w:color="auto" w:fill="FFFFFF"/>
        </w:rPr>
        <w:t>2024年收到财政项目资金1524.21万元，使用</w:t>
      </w:r>
      <w:r>
        <w:rPr>
          <w:rFonts w:hint="eastAsia" w:ascii="方正仿宋_GBK" w:hAnsi="方正仿宋_GBK" w:eastAsia="方正仿宋_GBK" w:cs="方正仿宋_GBK"/>
          <w:sz w:val="32"/>
          <w:szCs w:val="32"/>
          <w:shd w:val="clear" w:color="auto" w:fill="FFFFFF"/>
          <w:lang w:val="en-US" w:eastAsia="zh-CN"/>
        </w:rPr>
        <w:t>财政</w:t>
      </w:r>
      <w:r>
        <w:rPr>
          <w:rFonts w:hint="eastAsia" w:ascii="方正仿宋_GBK" w:hAnsi="方正仿宋_GBK" w:eastAsia="方正仿宋_GBK" w:cs="方正仿宋_GBK"/>
          <w:sz w:val="32"/>
          <w:szCs w:val="32"/>
          <w:shd w:val="clear" w:color="auto" w:fill="FFFFFF"/>
        </w:rPr>
        <w:t>项目资金1587.48万元，收到科教资金10.25万元，使用科教资金8.38万元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2024年使用了以前年度的项目资金</w:t>
      </w:r>
      <w:r>
        <w:rPr>
          <w:rFonts w:hint="eastAsia" w:ascii="方正仿宋_GBK" w:hAnsi="方正仿宋_GBK" w:eastAsia="方正仿宋_GBK" w:cs="方正仿宋_GBK"/>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pacing w:beforeAutospacing="0" w:afterAutospacing="0" w:line="594"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度财政拨款收、支总计6569.87万元。与202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年相比，财政拨款收、支总计减少3480.43万元，下降34.6%。主要原因是</w:t>
      </w:r>
      <w:r>
        <w:rPr>
          <w:rFonts w:hint="eastAsia" w:ascii="方正仿宋_GBK" w:hAnsi="方正仿宋_GBK" w:eastAsia="方正仿宋_GBK" w:cs="方正仿宋_GBK"/>
          <w:sz w:val="32"/>
          <w:szCs w:val="32"/>
          <w:shd w:val="clear" w:color="auto" w:fill="FFFFFF"/>
          <w:lang w:eastAsia="zh-CN"/>
        </w:rPr>
        <w:t>疫情结束，本年度财政减少了拨付疫情防控新阶段医务人员保护关心爱护经费和常态化疫情防控资金</w:t>
      </w:r>
      <w:r>
        <w:rPr>
          <w:rFonts w:ascii="方正仿宋_GBK" w:hAnsi="方正仿宋_GBK" w:eastAsia="方正仿宋_GBK" w:cs="方正仿宋_GBK"/>
          <w:b w:val="0"/>
          <w:bCs w:val="0"/>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pacing w:beforeAutospacing="0" w:afterAutospacing="0" w:line="594"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lang w:eastAsia="zh-CN"/>
        </w:rPr>
        <w:t>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6414.35</w:t>
      </w:r>
      <w:r>
        <w:rPr>
          <w:rFonts w:ascii="方正仿宋_GBK" w:hAnsi="方正仿宋_GBK" w:eastAsia="方正仿宋_GBK" w:cs="方正仿宋_GBK"/>
          <w:sz w:val="32"/>
          <w:szCs w:val="32"/>
          <w:shd w:val="clear" w:color="auto" w:fill="FFFFFF"/>
        </w:rPr>
        <w:t>万元，与2023年度相比，减少2065.02万元，下降24.4%。主要原因是</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lang w:eastAsia="zh-CN"/>
        </w:rPr>
        <w:t>2023年财政拨付疫情防控新阶段医务人员保护关心</w:t>
      </w:r>
      <w:r>
        <w:rPr>
          <w:rFonts w:hint="eastAsia" w:ascii="方正仿宋_GBK" w:hAnsi="方正仿宋_GBK" w:eastAsia="方正仿宋_GBK" w:cs="方正仿宋_GBK"/>
          <w:sz w:val="32"/>
          <w:szCs w:val="32"/>
          <w:shd w:val="clear" w:color="auto" w:fill="FFFFFF"/>
          <w:lang w:val="en-US" w:eastAsia="zh-CN"/>
        </w:rPr>
        <w:t>关爱</w:t>
      </w:r>
      <w:r>
        <w:rPr>
          <w:rFonts w:hint="eastAsia" w:ascii="方正仿宋_GBK" w:hAnsi="方正仿宋_GBK" w:eastAsia="方正仿宋_GBK" w:cs="方正仿宋_GBK"/>
          <w:sz w:val="32"/>
          <w:szCs w:val="32"/>
          <w:shd w:val="clear" w:color="auto" w:fill="FFFFFF"/>
          <w:lang w:eastAsia="zh-CN"/>
        </w:rPr>
        <w:t>经费1104.95万元，2024年无；2023年常态化疫情防控2100.61万元，2024年减少到1109.15万元。</w:t>
      </w:r>
      <w:r>
        <w:rPr>
          <w:rFonts w:ascii="方正仿宋_GBK" w:hAnsi="方正仿宋_GBK" w:eastAsia="方正仿宋_GBK" w:cs="方正仿宋_GBK"/>
          <w:sz w:val="32"/>
          <w:szCs w:val="32"/>
          <w:shd w:val="clear" w:color="auto" w:fill="FFFFFF"/>
        </w:rPr>
        <w:t>一般公共预算财政拨款收入较年初预算数增加1398.58万元，增长27.9%。主要原因是</w:t>
      </w:r>
      <w:r>
        <w:rPr>
          <w:rFonts w:hint="eastAsia" w:ascii="方正仿宋_GBK" w:hAnsi="方正仿宋_GBK" w:eastAsia="方正仿宋_GBK" w:cs="方正仿宋_GBK"/>
          <w:sz w:val="32"/>
          <w:szCs w:val="32"/>
          <w:shd w:val="clear" w:color="auto" w:fill="FFFFFF"/>
          <w:lang w:val="en-US" w:eastAsia="zh-CN"/>
        </w:rPr>
        <w:t>年初预算时预算数据只包含预算大本内的人员经费，实际拨付财政根据实际调整部分人员经费以及特定目标内的项目资金。</w:t>
      </w:r>
      <w:r>
        <w:rPr>
          <w:rFonts w:ascii="方正仿宋_GBK" w:hAnsi="方正仿宋_GBK" w:eastAsia="方正仿宋_GBK" w:cs="方正仿宋_GBK"/>
          <w:sz w:val="32"/>
          <w:szCs w:val="32"/>
          <w:shd w:val="clear" w:color="auto" w:fill="FFFFFF"/>
        </w:rPr>
        <w:t>此外，年初财政拨款结转和结余155.52万元。</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6477.62</w:t>
      </w:r>
      <w:r>
        <w:rPr>
          <w:rFonts w:ascii="方正仿宋_GBK" w:hAnsi="方正仿宋_GBK" w:eastAsia="方正仿宋_GBK" w:cs="方正仿宋_GBK"/>
          <w:sz w:val="32"/>
          <w:szCs w:val="32"/>
          <w:shd w:val="clear" w:color="auto" w:fill="FFFFFF"/>
        </w:rPr>
        <w:t>万元，与2023年度相比，减少3417.17万元，下降34.5%。主要原因是</w:t>
      </w:r>
      <w:r>
        <w:rPr>
          <w:rFonts w:hint="eastAsia" w:ascii="方正仿宋_GBK" w:hAnsi="方正仿宋_GBK" w:eastAsia="方正仿宋_GBK" w:cs="方正仿宋_GBK"/>
          <w:sz w:val="32"/>
          <w:szCs w:val="32"/>
          <w:shd w:val="clear" w:color="auto" w:fill="FFFFFF"/>
          <w:lang w:eastAsia="zh-CN"/>
        </w:rPr>
        <w:t>2023年财政拨付疫情防控新阶段医务人员保护关心</w:t>
      </w:r>
      <w:r>
        <w:rPr>
          <w:rFonts w:hint="eastAsia" w:ascii="方正仿宋_GBK" w:hAnsi="方正仿宋_GBK" w:eastAsia="方正仿宋_GBK" w:cs="方正仿宋_GBK"/>
          <w:sz w:val="32"/>
          <w:szCs w:val="32"/>
          <w:shd w:val="clear" w:color="auto" w:fill="FFFFFF"/>
          <w:lang w:val="en-US" w:eastAsia="zh-CN"/>
        </w:rPr>
        <w:t>关爱</w:t>
      </w:r>
      <w:r>
        <w:rPr>
          <w:rFonts w:hint="eastAsia" w:ascii="方正仿宋_GBK" w:hAnsi="方正仿宋_GBK" w:eastAsia="方正仿宋_GBK" w:cs="方正仿宋_GBK"/>
          <w:sz w:val="32"/>
          <w:szCs w:val="32"/>
          <w:shd w:val="clear" w:color="auto" w:fill="FFFFFF"/>
          <w:lang w:eastAsia="zh-CN"/>
        </w:rPr>
        <w:t>经费和常态化疫情防控经费在预算年度已使用。</w:t>
      </w:r>
      <w:r>
        <w:rPr>
          <w:rFonts w:ascii="方正仿宋_GBK" w:hAnsi="方正仿宋_GBK" w:eastAsia="方正仿宋_GBK" w:cs="方正仿宋_GBK"/>
          <w:sz w:val="32"/>
          <w:szCs w:val="32"/>
          <w:shd w:val="clear" w:color="auto" w:fill="FFFFFF"/>
        </w:rPr>
        <w:t>一般公共预算财政拨款支出较年初预算数增加1461.85万元，增长29.2%。主要原因是</w:t>
      </w:r>
      <w:r>
        <w:rPr>
          <w:rFonts w:hint="eastAsia" w:ascii="方正仿宋_GBK" w:hAnsi="方正仿宋_GBK" w:eastAsia="方正仿宋_GBK" w:cs="方正仿宋_GBK"/>
          <w:sz w:val="32"/>
          <w:szCs w:val="32"/>
          <w:shd w:val="clear" w:color="auto" w:fill="FFFFFF"/>
          <w:lang w:val="en-US" w:eastAsia="zh-CN"/>
        </w:rPr>
        <w:t>年初预算时预算数据只包含预算大本内的人员经费，实际拨付时财政根据实际调整部分人员经费以及特定目标内的项目资金，且资金大部分在预算年度已使用。</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lang w:val="en-US" w:eastAsia="zh-CN"/>
        </w:rPr>
      </w:pPr>
      <w:r>
        <w:rPr>
          <w:rStyle w:val="11"/>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92.25</w:t>
      </w:r>
      <w:r>
        <w:rPr>
          <w:rFonts w:ascii="方正仿宋_GBK" w:hAnsi="方正仿宋_GBK" w:eastAsia="方正仿宋_GBK" w:cs="方正仿宋_GBK"/>
          <w:sz w:val="32"/>
          <w:szCs w:val="32"/>
          <w:shd w:val="clear" w:color="auto" w:fill="FFFFFF"/>
        </w:rPr>
        <w:t>万元，与2023年度相比，减少63.27万元，下降40.7%，主要原因是</w:t>
      </w:r>
      <w:r>
        <w:rPr>
          <w:rFonts w:hint="eastAsia" w:ascii="方正仿宋_GBK" w:hAnsi="方正仿宋_GBK" w:eastAsia="方正仿宋_GBK" w:cs="方正仿宋_GBK"/>
          <w:sz w:val="32"/>
          <w:szCs w:val="32"/>
          <w:shd w:val="clear" w:color="auto" w:fill="FFFFFF"/>
        </w:rPr>
        <w:t>2024年收到财政项目资金1524.21万元，使用项目资金1587.48万元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2024年使用了以前年度的财政项目结转资金。</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rPr>
          <w:rFonts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ascii="方正仿宋_GBK" w:hAnsi="方正仿宋_GBK" w:eastAsia="方正仿宋_GBK" w:cs="方正仿宋_GBK"/>
          <w:sz w:val="32"/>
          <w:szCs w:val="32"/>
        </w:rPr>
        <w:t>2988.36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46.1%</w:t>
      </w:r>
      <w:r>
        <w:rPr>
          <w:rFonts w:ascii="方正仿宋_GBK" w:hAnsi="方正仿宋_GBK" w:eastAsia="方正仿宋_GBK" w:cs="方正仿宋_GBK"/>
          <w:sz w:val="32"/>
          <w:szCs w:val="32"/>
          <w:shd w:val="clear" w:color="auto" w:fill="FFFFFF"/>
        </w:rPr>
        <w:t>，较年初预算数增加117.35万元，增长4.1%，主要原因是</w:t>
      </w:r>
      <w:r>
        <w:rPr>
          <w:rFonts w:hint="eastAsia" w:ascii="方正仿宋_GBK" w:hAnsi="方正仿宋_GBK" w:eastAsia="方正仿宋_GBK" w:cs="方正仿宋_GBK"/>
          <w:sz w:val="32"/>
          <w:szCs w:val="32"/>
          <w:shd w:val="clear" w:color="auto" w:fill="FFFFFF"/>
          <w:lang w:val="en-US" w:eastAsia="zh-CN"/>
        </w:rPr>
        <w:t>年初预算时预算数据只包含预算大本内的人员经费，实际拨付财政根据实际调整部分人员经费。</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3489.26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53.</w:t>
      </w:r>
      <w:r>
        <w:rPr>
          <w:rFonts w:hint="eastAsia" w:ascii="方正仿宋_GBK" w:hAnsi="方正仿宋_GBK" w:eastAsia="方正仿宋_GBK" w:cs="方正仿宋_GBK"/>
          <w:sz w:val="32"/>
          <w:szCs w:val="32"/>
          <w:lang w:val="en-US" w:eastAsia="zh-CN"/>
        </w:rPr>
        <w:t>9</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，较年初预算数增加1344.49万元，增长62.7%，主要原因是</w:t>
      </w:r>
      <w:r>
        <w:rPr>
          <w:rFonts w:hint="eastAsia" w:ascii="方正仿宋_GBK" w:hAnsi="方正仿宋_GBK" w:eastAsia="方正仿宋_GBK" w:cs="方正仿宋_GBK"/>
          <w:sz w:val="32"/>
          <w:szCs w:val="32"/>
          <w:shd w:val="clear" w:color="auto" w:fill="FFFFFF"/>
          <w:lang w:val="en-US" w:eastAsia="zh-CN"/>
        </w:rPr>
        <w:t>年初预算的数据，不包含特定目标内的项目资金。</w:t>
      </w:r>
    </w:p>
    <w:p>
      <w:pPr>
        <w:pStyle w:val="12"/>
        <w:keepNext w:val="0"/>
        <w:keepLines w:val="0"/>
        <w:pageBreakBefore w:val="0"/>
        <w:widowControl w:val="0"/>
        <w:kinsoku/>
        <w:wordWrap/>
        <w:overflowPunct/>
        <w:topLinePunct w:val="0"/>
        <w:autoSpaceDE w:val="0"/>
        <w:autoSpaceDN/>
        <w:bidi w:val="0"/>
        <w:adjustRightInd/>
        <w:spacing w:beforeAutospacing="0" w:afterAutospacing="0" w:line="594" w:lineRule="exact"/>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4890.14</w:t>
      </w:r>
      <w:r>
        <w:rPr>
          <w:rFonts w:ascii="方正仿宋_GBK" w:hAnsi="方正仿宋_GBK" w:eastAsia="方正仿宋_GBK" w:cs="方正仿宋_GBK"/>
          <w:sz w:val="32"/>
          <w:szCs w:val="32"/>
          <w:shd w:val="clear" w:color="auto" w:fill="FFFFFF"/>
        </w:rPr>
        <w:t>万元。其中：人员经费4871.14万元，与2023年度相比，减少51.99万元，下降1.1%，主要原因是</w:t>
      </w:r>
      <w:r>
        <w:rPr>
          <w:rFonts w:hint="eastAsia" w:ascii="方正仿宋_GBK" w:hAnsi="方正仿宋_GBK" w:eastAsia="方正仿宋_GBK" w:cs="方正仿宋_GBK"/>
          <w:sz w:val="32"/>
          <w:szCs w:val="32"/>
          <w:shd w:val="clear" w:color="auto" w:fill="FFFFFF"/>
          <w:lang w:eastAsia="zh-CN"/>
        </w:rPr>
        <w:t>部门人员变动</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财政保障的基本工资、津贴补贴、绩效工资、机关事业单位基本养老保险缴费、职业年金缴费、职工基本医疗保险缴费等</w:t>
      </w:r>
      <w:r>
        <w:rPr>
          <w:rFonts w:ascii="方正仿宋_GBK" w:hAnsi="方正仿宋_GBK" w:eastAsia="方正仿宋_GBK" w:cs="方正仿宋_GBK"/>
          <w:sz w:val="32"/>
          <w:szCs w:val="32"/>
          <w:shd w:val="clear" w:color="auto" w:fill="FFFFFF"/>
        </w:rPr>
        <w:t>。公用经费19万元，与2023年度相比，增加1.25万元，增长7</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退休人员变动，</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退休人员的活动经费。</w:t>
      </w:r>
    </w:p>
    <w:p>
      <w:pPr>
        <w:pStyle w:val="12"/>
        <w:keepNext w:val="0"/>
        <w:keepLines w:val="0"/>
        <w:pageBreakBefore w:val="0"/>
        <w:widowControl w:val="0"/>
        <w:numPr>
          <w:ilvl w:val="0"/>
          <w:numId w:val="1"/>
        </w:numPr>
        <w:kinsoku/>
        <w:wordWrap/>
        <w:overflowPunct/>
        <w:topLinePunct w:val="0"/>
        <w:autoSpaceDE w:val="0"/>
        <w:autoSpaceDN/>
        <w:bidi w:val="0"/>
        <w:adjustRightInd/>
        <w:spacing w:beforeAutospacing="0" w:afterAutospacing="0" w:line="594" w:lineRule="exact"/>
        <w:ind w:firstLine="643"/>
        <w:jc w:val="both"/>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政府性基金预算收支决算情况说明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度无政府性基金预算财政拨款收支。</w:t>
      </w:r>
    </w:p>
    <w:p>
      <w:pPr>
        <w:pStyle w:val="12"/>
        <w:keepNext w:val="0"/>
        <w:keepLines w:val="0"/>
        <w:pageBreakBefore w:val="0"/>
        <w:widowControl w:val="0"/>
        <w:kinsoku/>
        <w:wordWrap/>
        <w:overflowPunct/>
        <w:topLinePunct w:val="0"/>
        <w:autoSpaceDE w:val="0"/>
        <w:autoSpaceDN/>
        <w:bidi w:val="0"/>
        <w:adjustRightInd/>
        <w:spacing w:beforeAutospacing="0" w:afterAutospacing="0" w:line="594"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lang w:eastAsia="zh-CN"/>
        </w:rPr>
        <w:t>财政拨款</w:t>
      </w:r>
      <w:r>
        <w:rPr>
          <w:rStyle w:val="11"/>
          <w:rFonts w:ascii="黑体" w:hAnsi="黑体" w:eastAsia="黑体" w:cs="黑体"/>
          <w:sz w:val="32"/>
          <w:szCs w:val="32"/>
          <w:shd w:val="clear" w:color="auto" w:fill="FFFFFF"/>
        </w:rPr>
        <w:t>“三公”经费情况说明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我单位属于差额拨款单位，财政未保障我单位“三公”经费。</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keepNext w:val="0"/>
        <w:keepLines w:val="0"/>
        <w:pageBreakBefore w:val="0"/>
        <w:widowControl w:val="0"/>
        <w:kinsoku/>
        <w:wordWrap/>
        <w:overflowPunct/>
        <w:topLinePunct w:val="0"/>
        <w:autoSpaceDE w:val="0"/>
        <w:autoSpaceDN/>
        <w:bidi w:val="0"/>
        <w:adjustRightInd/>
        <w:spacing w:beforeAutospacing="0" w:afterAutospacing="0" w:line="594"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keepNext w:val="0"/>
        <w:keepLines w:val="0"/>
        <w:pageBreakBefore w:val="0"/>
        <w:widowControl w:val="0"/>
        <w:kinsoku/>
        <w:wordWrap/>
        <w:overflowPunct/>
        <w:topLinePunct w:val="0"/>
        <w:autoSpaceDN/>
        <w:bidi w:val="0"/>
        <w:adjustRightInd/>
        <w:snapToGrid w:val="0"/>
        <w:spacing w:beforeAutospacing="0" w:afterAutospacing="0" w:line="594" w:lineRule="exact"/>
        <w:ind w:firstLine="640" w:firstLineChars="200"/>
        <w:jc w:val="both"/>
        <w:rPr>
          <w:rFonts w:hint="default" w:ascii="方正仿宋_GBK" w:hAnsi="方正仿宋_GBK" w:eastAsia="方正仿宋_GBK" w:cs="方正仿宋_GBK"/>
          <w:sz w:val="32"/>
          <w:szCs w:val="32"/>
          <w:highlight w:val="none"/>
          <w:shd w:val="clear" w:color="auto" w:fill="FFFFFF"/>
          <w:lang w:val="en-US" w:eastAsia="zh-CN" w:bidi="ar-SA"/>
        </w:rPr>
      </w:pP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174.46</w:t>
      </w:r>
      <w:r>
        <w:rPr>
          <w:rFonts w:ascii="方正仿宋_GBK" w:hAnsi="方正仿宋_GBK" w:eastAsia="方正仿宋_GBK" w:cs="方正仿宋_GBK"/>
          <w:sz w:val="32"/>
          <w:szCs w:val="32"/>
          <w:shd w:val="clear" w:color="auto" w:fill="FFFFFF"/>
        </w:rPr>
        <w:t>万元，与2023年度相比，减</w:t>
      </w:r>
      <w:r>
        <w:rPr>
          <w:rFonts w:hint="eastAsia" w:ascii="方正仿宋_GBK" w:hAnsi="方正仿宋_GBK" w:eastAsia="方正仿宋_GBK" w:cs="方正仿宋_GBK"/>
          <w:sz w:val="32"/>
          <w:szCs w:val="32"/>
          <w:shd w:val="clear" w:color="auto" w:fill="FFFFFF"/>
          <w:lang w:val="en-US" w:eastAsia="zh-CN" w:bidi="ar-SA"/>
        </w:rPr>
        <w:t>少58.73万元，下降25.2%，主要原因是医院加强费用管理，对外出进修培训学员需要汇报总结通过后才能费用报销，部分2024年外出进修人员费用还未进行费用报销</w:t>
      </w:r>
      <w:r>
        <w:rPr>
          <w:rFonts w:hint="eastAsia" w:ascii="方正仿宋_GBK" w:hAnsi="方正仿宋_GBK" w:eastAsia="方正仿宋_GBK" w:cs="方正仿宋_GBK"/>
          <w:sz w:val="32"/>
          <w:szCs w:val="32"/>
          <w:highlight w:val="none"/>
          <w:shd w:val="clear" w:color="auto" w:fill="FFFFFF"/>
          <w:lang w:val="en-US" w:eastAsia="zh-CN" w:bidi="ar-SA"/>
        </w:rPr>
        <w:t>；另外，我院住院医师规范化培训学员在2024年8月全部毕业。</w:t>
      </w:r>
    </w:p>
    <w:p>
      <w:pPr>
        <w:pStyle w:val="12"/>
        <w:keepNext w:val="0"/>
        <w:keepLines w:val="0"/>
        <w:pageBreakBefore w:val="0"/>
        <w:widowControl w:val="0"/>
        <w:kinsoku/>
        <w:wordWrap/>
        <w:overflowPunct/>
        <w:topLinePunct w:val="0"/>
        <w:autoSpaceDE w:val="0"/>
        <w:autoSpaceDN/>
        <w:bidi w:val="0"/>
        <w:adjustRightInd/>
        <w:spacing w:beforeAutospacing="0" w:afterAutospacing="0" w:line="594"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rPr>
          <w:rFonts w:hint="eastAsia" w:ascii="方正仿宋_GBK" w:hAnsi="方正仿宋_GBK" w:eastAsia="方正仿宋_GBK" w:cs="方正仿宋_GBK"/>
          <w:color w:val="auto"/>
          <w:sz w:val="32"/>
          <w:szCs w:val="32"/>
          <w:lang w:eastAsia="zh-CN"/>
        </w:rPr>
      </w:pPr>
      <w:r>
        <w:rPr>
          <w:rFonts w:hint="default" w:ascii="方正仿宋_GBK" w:hAnsi="方正仿宋_GBK" w:eastAsia="方正仿宋_GBK" w:cs="方正仿宋_GBK"/>
          <w:color w:val="auto"/>
          <w:sz w:val="32"/>
          <w:szCs w:val="32"/>
        </w:rPr>
        <w:t>按照部门决算列报口径，我单位不在机关运行经费统计范围之内</w:t>
      </w:r>
      <w:r>
        <w:rPr>
          <w:rFonts w:hint="eastAsia" w:ascii="方正仿宋_GBK" w:hAnsi="方正仿宋_GBK" w:eastAsia="方正仿宋_GBK" w:cs="方正仿宋_GBK"/>
          <w:color w:val="auto"/>
          <w:sz w:val="32"/>
          <w:szCs w:val="32"/>
          <w:lang w:eastAsia="zh-CN"/>
        </w:rPr>
        <w:t>。</w:t>
      </w:r>
    </w:p>
    <w:p>
      <w:pPr>
        <w:pStyle w:val="12"/>
        <w:keepNext w:val="0"/>
        <w:keepLines w:val="0"/>
        <w:pageBreakBefore w:val="0"/>
        <w:widowControl w:val="0"/>
        <w:kinsoku/>
        <w:wordWrap/>
        <w:overflowPunct/>
        <w:topLinePunct w:val="0"/>
        <w:autoSpaceDE w:val="0"/>
        <w:autoSpaceDN/>
        <w:bidi w:val="0"/>
        <w:adjustRightInd/>
        <w:spacing w:beforeAutospacing="0" w:afterAutospacing="0" w:line="594"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bidi="ar-SA"/>
        </w:rPr>
        <w:t>截至2024年12月31日，本单位共有车辆13辆，其中，副部（省）级及以上领导用车0辆、主要负责人用车0辆、机要通信用车0辆、应急保障用车5辆、执法执勤用车0辆，特种专业技术用车8辆，离退休干部用车0辆。单价100万元（含）以上专用设备95台（套）</w:t>
      </w:r>
      <w:r>
        <w:rPr>
          <w:rFonts w:ascii="方正仿宋_GBK" w:hAnsi="方正仿宋_GBK" w:eastAsia="方正仿宋_GBK" w:cs="方正仿宋_GBK"/>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pacing w:beforeAutospacing="0" w:afterAutospacing="0" w:line="594"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1011.44</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807.13</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204.31</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715.67万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70.</w:t>
      </w:r>
      <w:r>
        <w:rPr>
          <w:rFonts w:hint="eastAsia" w:ascii="方正仿宋_GBK" w:hAnsi="方正仿宋_GBK" w:eastAsia="方正仿宋_GBK" w:cs="方正仿宋_GBK"/>
          <w:sz w:val="32"/>
          <w:szCs w:val="32"/>
          <w:lang w:val="en-US" w:eastAsia="zh-CN"/>
        </w:rPr>
        <w:t>8</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494.47</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48.9</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color w:val="auto"/>
          <w:sz w:val="32"/>
          <w:szCs w:val="32"/>
          <w:shd w:val="clear" w:color="auto" w:fill="FFFFFF"/>
          <w:lang w:eastAsia="zh-CN"/>
        </w:rPr>
        <w:t>单位运行必需的设备及劳务。</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1"/>
          <w:rFonts w:hint="eastAsia"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rPr>
        <w:t>五、预算绩效管理情况说明</w:t>
      </w:r>
    </w:p>
    <w:p>
      <w:pPr>
        <w:pStyle w:val="7"/>
        <w:keepNext w:val="0"/>
        <w:keepLines w:val="0"/>
        <w:pageBreakBefore w:val="0"/>
        <w:widowControl w:val="0"/>
        <w:suppressLineNumbers w:val="0"/>
        <w:kinsoku/>
        <w:wordWrap/>
        <w:overflowPunct/>
        <w:topLinePunct w:val="0"/>
        <w:autoSpaceDN/>
        <w:bidi w:val="0"/>
        <w:adjustRightInd/>
        <w:spacing w:before="0" w:beforeAutospacing="0" w:after="0" w:afterAutospacing="0" w:line="594" w:lineRule="exact"/>
        <w:ind w:left="0" w:right="0" w:firstLine="643" w:firstLineChars="200"/>
        <w:jc w:val="both"/>
        <w:textAlignment w:val="auto"/>
        <w:rPr>
          <w:rFonts w:hint="default" w:ascii="楷体" w:hAnsi="楷体" w:eastAsia="楷体" w:cs="楷体"/>
          <w:b/>
          <w:bCs/>
          <w:sz w:val="32"/>
          <w:szCs w:val="32"/>
          <w:shd w:val="clear" w:color="auto" w:fill="FFFFFF"/>
          <w:lang w:val="en-US" w:eastAsia="zh-CN" w:bidi="ar-SA"/>
        </w:rPr>
      </w:pPr>
      <w:r>
        <w:rPr>
          <w:rFonts w:hint="default" w:ascii="楷体" w:hAnsi="楷体" w:eastAsia="楷体" w:cs="楷体"/>
          <w:b/>
          <w:bCs/>
          <w:sz w:val="32"/>
          <w:szCs w:val="32"/>
          <w:shd w:val="clear" w:color="auto" w:fill="FFFFFF"/>
          <w:lang w:val="en-US" w:eastAsia="zh-CN" w:bidi="ar-SA"/>
        </w:rPr>
        <w:t>（一）预算绩效管理工作开展情况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lang w:val="en-US" w:eastAsia="zh-CN"/>
        </w:rPr>
        <w:t>根据预算绩效管理要求，我</w:t>
      </w:r>
      <w:r>
        <w:rPr>
          <w:rFonts w:hint="eastAsia" w:ascii="方正仿宋_GBK" w:hAnsi="方正仿宋_GBK" w:eastAsia="方正仿宋_GBK" w:cs="方正仿宋_GBK"/>
          <w:sz w:val="32"/>
          <w:szCs w:val="32"/>
          <w:shd w:val="clear" w:color="auto" w:fill="FFFFFF"/>
          <w:lang w:val="en-US" w:eastAsia="zh-CN"/>
        </w:rPr>
        <w:t>单位</w:t>
      </w:r>
      <w:r>
        <w:rPr>
          <w:rFonts w:hint="default" w:ascii="方正仿宋_GBK" w:hAnsi="方正仿宋_GBK" w:eastAsia="方正仿宋_GBK" w:cs="方正仿宋_GBK"/>
          <w:sz w:val="32"/>
          <w:szCs w:val="32"/>
          <w:shd w:val="clear" w:color="auto" w:fill="FFFFFF"/>
          <w:lang w:val="en-US" w:eastAsia="zh-CN"/>
        </w:rPr>
        <w:t>对</w:t>
      </w:r>
      <w:r>
        <w:rPr>
          <w:rFonts w:hint="eastAsia" w:ascii="方正仿宋_GBK" w:hAnsi="方正仿宋_GBK" w:eastAsia="方正仿宋_GBK" w:cs="方正仿宋_GBK"/>
          <w:sz w:val="32"/>
          <w:szCs w:val="32"/>
          <w:shd w:val="clear" w:color="auto" w:fill="FFFFFF"/>
          <w:lang w:val="en-US" w:eastAsia="zh-CN"/>
        </w:rPr>
        <w:t>9</w:t>
      </w:r>
      <w:r>
        <w:rPr>
          <w:rFonts w:hint="default" w:ascii="方正仿宋_GBK" w:hAnsi="方正仿宋_GBK" w:eastAsia="方正仿宋_GBK" w:cs="方正仿宋_GBK"/>
          <w:sz w:val="32"/>
          <w:szCs w:val="32"/>
          <w:shd w:val="clear" w:color="auto" w:fill="FFFFFF"/>
          <w:lang w:val="en-US" w:eastAsia="zh-CN"/>
        </w:rPr>
        <w:t>个项目开展了绩效自评，涉及财政拨款项目支出资金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1524.21</w:t>
      </w:r>
      <w:r>
        <w:rPr>
          <w:rFonts w:hint="default" w:ascii="方正仿宋_GBK" w:hAnsi="方正仿宋_GBK" w:eastAsia="方正仿宋_GBK" w:cs="方正仿宋_GBK"/>
          <w:sz w:val="32"/>
          <w:szCs w:val="32"/>
          <w:shd w:val="clear" w:color="auto" w:fill="FFFFFF"/>
          <w:lang w:val="en-US" w:eastAsia="zh-CN"/>
        </w:rPr>
        <w:t>万元。</w:t>
      </w:r>
    </w:p>
    <w:p>
      <w:pPr>
        <w:pStyle w:val="7"/>
        <w:keepNext w:val="0"/>
        <w:keepLines w:val="0"/>
        <w:pageBreakBefore w:val="0"/>
        <w:widowControl w:val="0"/>
        <w:suppressLineNumbers w:val="0"/>
        <w:kinsoku/>
        <w:wordWrap/>
        <w:overflowPunct/>
        <w:topLinePunct w:val="0"/>
        <w:autoSpaceDN/>
        <w:bidi w:val="0"/>
        <w:adjustRightInd/>
        <w:spacing w:before="0" w:beforeAutospacing="0" w:after="0" w:afterAutospacing="0" w:line="594" w:lineRule="exact"/>
        <w:ind w:left="0" w:right="0" w:firstLine="643" w:firstLineChars="200"/>
        <w:jc w:val="both"/>
        <w:textAlignment w:val="auto"/>
        <w:rPr>
          <w:rFonts w:hint="default" w:ascii="楷体" w:hAnsi="楷体" w:eastAsia="楷体" w:cs="楷体"/>
          <w:b/>
          <w:bCs/>
          <w:sz w:val="32"/>
          <w:szCs w:val="32"/>
          <w:shd w:val="clear" w:color="auto" w:fill="FFFFFF"/>
          <w:lang w:val="en-US" w:eastAsia="zh-CN" w:bidi="ar-SA"/>
        </w:rPr>
      </w:pPr>
      <w:r>
        <w:rPr>
          <w:rFonts w:hint="default" w:ascii="楷体" w:hAnsi="楷体" w:eastAsia="楷体" w:cs="楷体"/>
          <w:b/>
          <w:bCs/>
          <w:sz w:val="32"/>
          <w:szCs w:val="32"/>
          <w:shd w:val="clear" w:color="auto" w:fill="FFFFFF"/>
          <w:lang w:val="en-US" w:eastAsia="zh-CN" w:bidi="ar-SA"/>
        </w:rPr>
        <w:t>（二）绩效自评结果</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绩效自评结果详见附件</w:t>
      </w:r>
      <w:r>
        <w:rPr>
          <w:rFonts w:hint="eastAsia" w:ascii="方正仿宋_GBK" w:hAnsi="方正仿宋_GBK" w:eastAsia="方正仿宋_GBK" w:cs="方正仿宋_GBK"/>
          <w:sz w:val="32"/>
          <w:szCs w:val="32"/>
          <w:shd w:val="clear" w:color="auto" w:fill="FFFFFF"/>
          <w:lang w:val="en-US" w:eastAsia="zh-CN"/>
        </w:rPr>
        <w:t>2024</w:t>
      </w:r>
      <w:r>
        <w:rPr>
          <w:rFonts w:hint="default" w:ascii="方正仿宋_GBK" w:hAnsi="方正仿宋_GBK" w:eastAsia="方正仿宋_GBK" w:cs="方正仿宋_GBK"/>
          <w:sz w:val="32"/>
          <w:szCs w:val="32"/>
          <w:shd w:val="clear" w:color="auto" w:fill="FFFFFF"/>
          <w:lang w:val="en-US" w:eastAsia="zh-CN"/>
        </w:rPr>
        <w:t>年度绩效自评公开表（《部门整体绩效自评表》、《项目绩效自评结果汇总表》、《项目支出绩效自评表》）。</w:t>
      </w:r>
    </w:p>
    <w:p>
      <w:pPr>
        <w:pStyle w:val="7"/>
        <w:keepNext w:val="0"/>
        <w:keepLines w:val="0"/>
        <w:pageBreakBefore w:val="0"/>
        <w:widowControl w:val="0"/>
        <w:suppressLineNumbers w:val="0"/>
        <w:kinsoku/>
        <w:wordWrap/>
        <w:overflowPunct/>
        <w:topLinePunct w:val="0"/>
        <w:autoSpaceDN/>
        <w:bidi w:val="0"/>
        <w:adjustRightInd/>
        <w:spacing w:before="0" w:beforeAutospacing="0" w:after="0" w:afterAutospacing="0" w:line="594" w:lineRule="exact"/>
        <w:ind w:left="0" w:right="0" w:firstLine="643" w:firstLineChars="200"/>
        <w:jc w:val="both"/>
        <w:textAlignment w:val="auto"/>
        <w:rPr>
          <w:rFonts w:hint="default" w:ascii="楷体" w:hAnsi="楷体" w:eastAsia="楷体" w:cs="楷体"/>
          <w:b/>
          <w:bCs/>
          <w:sz w:val="32"/>
          <w:szCs w:val="32"/>
          <w:shd w:val="clear" w:color="auto" w:fill="FFFFFF"/>
          <w:lang w:val="en-US" w:eastAsia="zh-CN" w:bidi="ar-SA"/>
        </w:rPr>
      </w:pPr>
      <w:r>
        <w:rPr>
          <w:rFonts w:hint="default" w:ascii="楷体" w:hAnsi="楷体" w:eastAsia="楷体" w:cs="楷体"/>
          <w:b/>
          <w:bCs/>
          <w:sz w:val="32"/>
          <w:szCs w:val="32"/>
          <w:shd w:val="clear" w:color="auto" w:fill="FFFFFF"/>
          <w:lang w:val="en-US" w:eastAsia="zh-CN" w:bidi="ar-SA"/>
        </w:rPr>
        <w:t>（三）财政绩效评价情况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区财政局未委托第三方对我单位开展绩效评价。</w:t>
      </w:r>
      <w:bookmarkEnd w:id="2"/>
    </w:p>
    <w:bookmarkEnd w:id="1"/>
    <w:p>
      <w:pPr>
        <w:pStyle w:val="13"/>
        <w:keepNext w:val="0"/>
        <w:keepLines w:val="0"/>
        <w:pageBreakBefore w:val="0"/>
        <w:widowControl w:val="0"/>
        <w:kinsoku/>
        <w:wordWrap/>
        <w:overflowPunct/>
        <w:topLinePunct w:val="0"/>
        <w:autoSpaceDE w:val="0"/>
        <w:autoSpaceDN/>
        <w:bidi w:val="0"/>
        <w:adjustRightInd/>
        <w:snapToGrid/>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黑体" w:hAnsi="黑体" w:eastAsia="黑体" w:cs="黑体"/>
          <w:sz w:val="32"/>
          <w:szCs w:val="32"/>
          <w:shd w:val="clear" w:color="auto" w:fill="FFFFFF"/>
          <w:lang w:val="en-US" w:eastAsia="zh-CN" w:bidi="ar-SA"/>
        </w:rPr>
        <w:t>六、专业名词解释</w:t>
      </w:r>
    </w:p>
    <w:p>
      <w:pPr>
        <w:pStyle w:val="13"/>
        <w:keepNext w:val="0"/>
        <w:keepLines w:val="0"/>
        <w:pageBreakBefore w:val="0"/>
        <w:widowControl w:val="0"/>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3"/>
        <w:keepNext w:val="0"/>
        <w:keepLines w:val="0"/>
        <w:pageBreakBefore w:val="0"/>
        <w:widowControl w:val="0"/>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3"/>
        <w:keepNext w:val="0"/>
        <w:keepLines w:val="0"/>
        <w:pageBreakBefore w:val="0"/>
        <w:widowControl w:val="0"/>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3"/>
        <w:keepNext w:val="0"/>
        <w:keepLines w:val="0"/>
        <w:pageBreakBefore w:val="0"/>
        <w:widowControl w:val="0"/>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keepNext w:val="0"/>
        <w:keepLines w:val="0"/>
        <w:pageBreakBefore w:val="0"/>
        <w:widowControl w:val="0"/>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3"/>
        <w:keepNext w:val="0"/>
        <w:keepLines w:val="0"/>
        <w:pageBreakBefore w:val="0"/>
        <w:widowControl w:val="0"/>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3"/>
        <w:keepNext w:val="0"/>
        <w:keepLines w:val="0"/>
        <w:pageBreakBefore w:val="0"/>
        <w:widowControl w:val="0"/>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3"/>
        <w:keepNext w:val="0"/>
        <w:keepLines w:val="0"/>
        <w:pageBreakBefore w:val="0"/>
        <w:widowControl w:val="0"/>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3"/>
        <w:keepNext w:val="0"/>
        <w:keepLines w:val="0"/>
        <w:pageBreakBefore w:val="0"/>
        <w:widowControl w:val="0"/>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keepNext w:val="0"/>
        <w:keepLines w:val="0"/>
        <w:pageBreakBefore w:val="0"/>
        <w:widowControl w:val="0"/>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3"/>
        <w:keepNext w:val="0"/>
        <w:keepLines w:val="0"/>
        <w:pageBreakBefore w:val="0"/>
        <w:widowControl w:val="0"/>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3"/>
        <w:keepNext w:val="0"/>
        <w:keepLines w:val="0"/>
        <w:pageBreakBefore w:val="0"/>
        <w:widowControl w:val="0"/>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keepNext w:val="0"/>
        <w:keepLines w:val="0"/>
        <w:pageBreakBefore w:val="0"/>
        <w:widowControl w:val="0"/>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keepNext w:val="0"/>
        <w:keepLines w:val="0"/>
        <w:pageBreakBefore w:val="0"/>
        <w:widowControl w:val="0"/>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3"/>
        <w:keepNext w:val="0"/>
        <w:keepLines w:val="0"/>
        <w:pageBreakBefore w:val="0"/>
        <w:widowControl w:val="0"/>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3"/>
        <w:keepNext w:val="0"/>
        <w:keepLines w:val="0"/>
        <w:pageBreakBefore w:val="0"/>
        <w:widowControl w:val="0"/>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3"/>
        <w:keepNext w:val="0"/>
        <w:keepLines w:val="0"/>
        <w:pageBreakBefore w:val="0"/>
        <w:widowControl w:val="0"/>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3"/>
        <w:keepNext w:val="0"/>
        <w:keepLines w:val="0"/>
        <w:pageBreakBefore w:val="0"/>
        <w:widowControl w:val="0"/>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黑体" w:hAnsi="黑体" w:eastAsia="黑体" w:cs="黑体"/>
          <w:sz w:val="32"/>
          <w:szCs w:val="32"/>
          <w:shd w:val="clear" w:color="auto" w:fill="FFFFFF"/>
          <w:lang w:val="en-US" w:eastAsia="zh-CN" w:bidi="ar-SA"/>
        </w:rPr>
        <w:t>七、决算公开联系方式及信息反馈渠道</w:t>
      </w:r>
    </w:p>
    <w:p>
      <w:pPr>
        <w:pStyle w:val="13"/>
        <w:keepNext w:val="0"/>
        <w:keepLines w:val="0"/>
        <w:pageBreakBefore w:val="0"/>
        <w:widowControl w:val="0"/>
        <w:kinsoku/>
        <w:wordWrap/>
        <w:overflowPunct/>
        <w:topLinePunct w:val="0"/>
        <w:autoSpaceDN/>
        <w:bidi w:val="0"/>
        <w:adjustRightInd/>
        <w:snapToGrid/>
        <w:spacing w:before="0" w:beforeAutospacing="0" w:after="0" w:afterAutospacing="0" w:line="594" w:lineRule="exact"/>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3"/>
        <w:keepNext w:val="0"/>
        <w:keepLines w:val="0"/>
        <w:pageBreakBefore w:val="0"/>
        <w:widowControl w:val="0"/>
        <w:kinsoku/>
        <w:wordWrap/>
        <w:overflowPunct/>
        <w:topLinePunct w:val="0"/>
        <w:autoSpaceDN/>
        <w:bidi w:val="0"/>
        <w:adjustRightInd/>
        <w:snapToGrid/>
        <w:spacing w:before="0" w:beforeAutospacing="0" w:after="0" w:afterAutospacing="0" w:line="594" w:lineRule="exact"/>
        <w:jc w:val="both"/>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shd w:val="clear" w:fill="FFFFFF"/>
          <w:lang w:eastAsia="zh-CN"/>
        </w:rPr>
        <w:t>龚椿雅</w:t>
      </w:r>
      <w:r>
        <w:rPr>
          <w:rFonts w:hint="eastAsia" w:ascii="方正仿宋_GBK" w:hAnsi="方正仿宋_GBK" w:eastAsia="方正仿宋_GBK" w:cs="方正仿宋_GBK"/>
          <w:color w:val="auto"/>
          <w:kern w:val="0"/>
          <w:sz w:val="32"/>
          <w:szCs w:val="32"/>
          <w:shd w:val="clear" w:fill="FFFFFF"/>
        </w:rPr>
        <w:t xml:space="preserve">   023-</w:t>
      </w:r>
      <w:r>
        <w:rPr>
          <w:rFonts w:hint="eastAsia" w:ascii="方正仿宋_GBK" w:hAnsi="方正仿宋_GBK" w:eastAsia="方正仿宋_GBK" w:cs="方正仿宋_GBK"/>
          <w:color w:val="auto"/>
          <w:kern w:val="0"/>
          <w:sz w:val="32"/>
          <w:szCs w:val="32"/>
          <w:shd w:val="clear" w:fill="FFFFFF"/>
          <w:lang w:val="en-US" w:eastAsia="zh-CN"/>
        </w:rPr>
        <w:t>40407504</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94" w:lineRule="exact"/>
        <w:ind w:firstLine="640"/>
        <w:jc w:val="both"/>
        <w:textAlignment w:val="auto"/>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重庆市长寿区人民医院</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6,414.35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79,133.19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860.71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2,988.36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79,696.68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86,408.25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82,685.04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eastAsia="宋体" w:cs="宋体"/>
                <w:b/>
                <w:bCs/>
                <w:color w:val="000000"/>
                <w:sz w:val="20"/>
                <w:szCs w:val="20"/>
                <w:lang w:eastAsia="zh-CN"/>
              </w:rPr>
            </w:pPr>
            <w:r>
              <w:rPr>
                <w:rFonts w:hint="eastAsia" w:cs="宋体"/>
                <w:b/>
                <w:bCs/>
                <w:color w:val="000000"/>
                <w:sz w:val="20"/>
                <w:szCs w:val="20"/>
                <w:lang w:eastAsia="zh-CN"/>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3,784.62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181.21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119.81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86,589.47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86,589.47</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重庆市长寿区人民医院</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86,408.25</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6,414.35</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79,133.19</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860.71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2,988.36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2,988.36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2,926.21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2,926.21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1,238.60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1,238.60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619.30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619.30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62.15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62.15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62.15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62.15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83,419.90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3,425.99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79,133.19</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860.71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公立医院</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81,374.88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1,380.98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79,133.19</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860.71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综合医院</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81,374.88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1,380.98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79,133.19</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860.71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1,209.15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1,209.15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突发公共卫生事件应急处置</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1,109.15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1,109.15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835.87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835.87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759.87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759.87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8"/>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41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b/>
                <w:color w:val="000000"/>
                <w:sz w:val="32"/>
                <w:szCs w:val="32"/>
              </w:rPr>
            </w:pPr>
            <w:r>
              <w:rPr>
                <w:rFonts w:cs="宋体"/>
                <w:sz w:val="20"/>
                <w:szCs w:val="20"/>
              </w:rPr>
              <w:br w:type="page"/>
            </w:r>
            <w:r>
              <w:rPr>
                <w:rFonts w:cs="宋体"/>
                <w:b/>
                <w:color w:val="000000"/>
                <w:sz w:val="32"/>
                <w:szCs w:val="32"/>
              </w:rPr>
              <w:t>支出决算表</w:t>
            </w:r>
          </w:p>
        </w:tc>
      </w:tr>
      <w:tr>
        <w:tblPrEx>
          <w:tblCellMar>
            <w:top w:w="0" w:type="dxa"/>
            <w:left w:w="0" w:type="dxa"/>
            <w:bottom w:w="0" w:type="dxa"/>
            <w:right w:w="0" w:type="dxa"/>
          </w:tblCellMar>
        </w:tblPrEx>
        <w:trPr>
          <w:trHeight w:val="25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重庆市长寿区人民医院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237"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82,685.04</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72,849.13</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9,835.90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2,988.36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2,862.51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125.85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2,926.21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2,855.98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70.23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1,238.60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1,238.60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619.30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619.30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998.08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70.23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62.15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55.63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62.15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55.63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79,696.68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69,986.63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9,710.05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公立医院</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77,659.12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69,150.76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8,508.36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综合医院</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77,659.12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69,150.76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8,508.36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1,201.69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1,201.69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突发公共卫生事件应急处置</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1,109.15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1,109.15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835.87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835.87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759.87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759.87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1"/>
          <w:szCs w:val="21"/>
        </w:rPr>
        <w:br w:type="page"/>
      </w:r>
    </w:p>
    <w:p>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重庆市长寿区人民医院</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6,414.35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2,988.36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2,988.36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3,489.26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3,489.26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6,414.35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6,477.62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6,477.62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155.52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92.25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92.25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155.52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6,569.87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6,569.87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6,569.87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重庆市长寿区人民医院</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6,477.62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4,890.14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1,587.48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2,988.36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2,862.51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125.85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2,926.21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2,855.98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70.23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1,238.60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1,238.60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619.30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619.30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1,068.30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998.08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70.23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55.63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62.15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55.63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3,489.26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2,027.64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1,461.63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公立医院</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1,451.70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1,191.77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259.94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综合医院</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1,451.70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1,191.77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259.94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1,201.69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1,201.69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92.54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92.54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1,109.15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1,109.15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835.87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835.87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759.87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759.87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重庆市长寿区人民医院</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3,790.54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612.30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513.28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1,238.60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619.30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759.87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1,080.60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998.08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4,871.14</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19.00</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重庆市长寿区人民医院</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重庆市长寿区人民医院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重庆市长寿区人民医院</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1,011.44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807.13</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204.31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715.67</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494.47</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174.46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bookmarkEnd w:id="0"/>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D34AA"/>
    <w:multiLevelType w:val="singleLevel"/>
    <w:tmpl w:val="4DED34A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MmY4ZjI1OWIzYmEzMzg5MWE2ZDNiNmU3YWUzMWI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77681"/>
    <w:rsid w:val="077B465F"/>
    <w:rsid w:val="079D7CC7"/>
    <w:rsid w:val="08051BCA"/>
    <w:rsid w:val="0847104E"/>
    <w:rsid w:val="086C12F4"/>
    <w:rsid w:val="08705944"/>
    <w:rsid w:val="08BA052C"/>
    <w:rsid w:val="08DB07BA"/>
    <w:rsid w:val="0969353F"/>
    <w:rsid w:val="098305D0"/>
    <w:rsid w:val="09B1218B"/>
    <w:rsid w:val="0A3317EA"/>
    <w:rsid w:val="0A5C4B69"/>
    <w:rsid w:val="0A86124A"/>
    <w:rsid w:val="0AB54CC0"/>
    <w:rsid w:val="0B9335CE"/>
    <w:rsid w:val="0BF2311A"/>
    <w:rsid w:val="0C5A32D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A2C384A"/>
    <w:rsid w:val="1B6F15B6"/>
    <w:rsid w:val="1BAA2EDC"/>
    <w:rsid w:val="1BFB419B"/>
    <w:rsid w:val="1C5B3279"/>
    <w:rsid w:val="1CA55E64"/>
    <w:rsid w:val="1CE83DC1"/>
    <w:rsid w:val="1D014A01"/>
    <w:rsid w:val="1D022362"/>
    <w:rsid w:val="1D1B04B0"/>
    <w:rsid w:val="1DA52501"/>
    <w:rsid w:val="1DBD6767"/>
    <w:rsid w:val="1DC52125"/>
    <w:rsid w:val="1DD26311"/>
    <w:rsid w:val="1E374ACB"/>
    <w:rsid w:val="1ECF0A66"/>
    <w:rsid w:val="1EF67CA4"/>
    <w:rsid w:val="1F020D3A"/>
    <w:rsid w:val="1F2C5189"/>
    <w:rsid w:val="1F4B0B02"/>
    <w:rsid w:val="1F512259"/>
    <w:rsid w:val="1FBB35CD"/>
    <w:rsid w:val="1FCD26AF"/>
    <w:rsid w:val="20642787"/>
    <w:rsid w:val="21556F04"/>
    <w:rsid w:val="22403BD3"/>
    <w:rsid w:val="22932D35"/>
    <w:rsid w:val="22AD3177"/>
    <w:rsid w:val="235417B6"/>
    <w:rsid w:val="24B92327"/>
    <w:rsid w:val="24C14514"/>
    <w:rsid w:val="24E37FCC"/>
    <w:rsid w:val="251254E1"/>
    <w:rsid w:val="252D4D73"/>
    <w:rsid w:val="2533755C"/>
    <w:rsid w:val="25791755"/>
    <w:rsid w:val="25AB52E9"/>
    <w:rsid w:val="26396DF4"/>
    <w:rsid w:val="27167136"/>
    <w:rsid w:val="271B442C"/>
    <w:rsid w:val="27280FFA"/>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6E01D0A"/>
    <w:rsid w:val="36EA0C44"/>
    <w:rsid w:val="3762241F"/>
    <w:rsid w:val="37841E99"/>
    <w:rsid w:val="37BF1123"/>
    <w:rsid w:val="37C27C06"/>
    <w:rsid w:val="383C3F15"/>
    <w:rsid w:val="38BE4696"/>
    <w:rsid w:val="3939115E"/>
    <w:rsid w:val="39B82A39"/>
    <w:rsid w:val="39C42CA8"/>
    <w:rsid w:val="39DC4FD6"/>
    <w:rsid w:val="39F03D7A"/>
    <w:rsid w:val="39F33306"/>
    <w:rsid w:val="3A2C1C67"/>
    <w:rsid w:val="3A6A77C9"/>
    <w:rsid w:val="3ADD7F09"/>
    <w:rsid w:val="3B1705E5"/>
    <w:rsid w:val="3B18334B"/>
    <w:rsid w:val="3B36794F"/>
    <w:rsid w:val="3B441F0D"/>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55EC"/>
    <w:rsid w:val="43307B09"/>
    <w:rsid w:val="437E4FA3"/>
    <w:rsid w:val="439A3EB9"/>
    <w:rsid w:val="43BB152F"/>
    <w:rsid w:val="44C37687"/>
    <w:rsid w:val="44DB6076"/>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936834"/>
    <w:rsid w:val="52F163D4"/>
    <w:rsid w:val="53021069"/>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385B2F"/>
    <w:rsid w:val="5842572D"/>
    <w:rsid w:val="5A2A7F8B"/>
    <w:rsid w:val="5A3B59D6"/>
    <w:rsid w:val="5AD134D8"/>
    <w:rsid w:val="5BF41F67"/>
    <w:rsid w:val="5C263CE4"/>
    <w:rsid w:val="5C525B41"/>
    <w:rsid w:val="5C5D2777"/>
    <w:rsid w:val="5CF66BF3"/>
    <w:rsid w:val="5D290C69"/>
    <w:rsid w:val="5DA80C2C"/>
    <w:rsid w:val="5F2D4A41"/>
    <w:rsid w:val="60C74F6C"/>
    <w:rsid w:val="61015958"/>
    <w:rsid w:val="61025A59"/>
    <w:rsid w:val="613D5BBC"/>
    <w:rsid w:val="61536C39"/>
    <w:rsid w:val="62944DD7"/>
    <w:rsid w:val="6319381F"/>
    <w:rsid w:val="63C25DC5"/>
    <w:rsid w:val="63C62057"/>
    <w:rsid w:val="63CC130D"/>
    <w:rsid w:val="64571EF5"/>
    <w:rsid w:val="64FB113D"/>
    <w:rsid w:val="656152C6"/>
    <w:rsid w:val="6587477F"/>
    <w:rsid w:val="658C3A08"/>
    <w:rsid w:val="65A0071B"/>
    <w:rsid w:val="65C031CA"/>
    <w:rsid w:val="65CE6852"/>
    <w:rsid w:val="66267C04"/>
    <w:rsid w:val="663F505A"/>
    <w:rsid w:val="666C2D2F"/>
    <w:rsid w:val="66AF5D7C"/>
    <w:rsid w:val="66EE5541"/>
    <w:rsid w:val="677D274F"/>
    <w:rsid w:val="67924660"/>
    <w:rsid w:val="68407834"/>
    <w:rsid w:val="6883293E"/>
    <w:rsid w:val="688412AD"/>
    <w:rsid w:val="68EB1B71"/>
    <w:rsid w:val="6962028E"/>
    <w:rsid w:val="696C0310"/>
    <w:rsid w:val="6A6C7940"/>
    <w:rsid w:val="6A9F1565"/>
    <w:rsid w:val="6AAD2300"/>
    <w:rsid w:val="6B474EF5"/>
    <w:rsid w:val="6BC938E5"/>
    <w:rsid w:val="6BD24845"/>
    <w:rsid w:val="6C0A5AC5"/>
    <w:rsid w:val="6C560CAE"/>
    <w:rsid w:val="6C576495"/>
    <w:rsid w:val="6D903FF5"/>
    <w:rsid w:val="6D9B1266"/>
    <w:rsid w:val="6DA955B8"/>
    <w:rsid w:val="6DE346AB"/>
    <w:rsid w:val="6DE5391A"/>
    <w:rsid w:val="6EFD1324"/>
    <w:rsid w:val="6F5A53AC"/>
    <w:rsid w:val="6FAC003D"/>
    <w:rsid w:val="6FD926BF"/>
    <w:rsid w:val="6FE55E12"/>
    <w:rsid w:val="6FE73160"/>
    <w:rsid w:val="6FFB2E76"/>
    <w:rsid w:val="708F6F7F"/>
    <w:rsid w:val="70D94BD3"/>
    <w:rsid w:val="71574775"/>
    <w:rsid w:val="71742E78"/>
    <w:rsid w:val="71C34D91"/>
    <w:rsid w:val="72DB435C"/>
    <w:rsid w:val="72E2613A"/>
    <w:rsid w:val="72F771F4"/>
    <w:rsid w:val="73934AD2"/>
    <w:rsid w:val="74C6610F"/>
    <w:rsid w:val="750837F0"/>
    <w:rsid w:val="754758CF"/>
    <w:rsid w:val="75595ECD"/>
    <w:rsid w:val="764F62AB"/>
    <w:rsid w:val="765C45EC"/>
    <w:rsid w:val="768A7619"/>
    <w:rsid w:val="76BD23AB"/>
    <w:rsid w:val="772E1EBA"/>
    <w:rsid w:val="77680D39"/>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7F9D2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pPr>
    <w:rPr>
      <w:sz w:val="18"/>
      <w:szCs w:val="18"/>
    </w:rPr>
  </w:style>
  <w:style w:type="paragraph" w:customStyle="1" w:styleId="3">
    <w:name w:val="索引 51"/>
    <w:basedOn w:val="1"/>
    <w:next w:val="1"/>
    <w:qFormat/>
    <w:uiPriority w:val="0"/>
    <w:pPr>
      <w:ind w:left="1680"/>
    </w:pPr>
  </w:style>
  <w:style w:type="paragraph" w:styleId="4">
    <w:name w:val="Balloon Text"/>
    <w:basedOn w:val="1"/>
    <w:link w:val="16"/>
    <w:qFormat/>
    <w:uiPriority w:val="0"/>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10"/>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4"/>
    <w:qFormat/>
    <w:uiPriority w:val="0"/>
    <w:rPr>
      <w:rFonts w:ascii="宋体" w:hAnsi="宋体"/>
      <w:sz w:val="18"/>
      <w:szCs w:val="18"/>
    </w:rPr>
  </w:style>
  <w:style w:type="paragraph" w:customStyle="1" w:styleId="17">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8">
    <w:name w:val="UserStyle_0"/>
    <w:qFormat/>
    <w:uiPriority w:val="0"/>
    <w:pPr>
      <w:textAlignment w:val="baseline"/>
    </w:pPr>
    <w:rPr>
      <w:rFonts w:ascii="宋体"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10462</Words>
  <Characters>24701</Characters>
  <Lines>186</Lines>
  <Paragraphs>52</Paragraphs>
  <TotalTime>183</TotalTime>
  <ScaleCrop>false</ScaleCrop>
  <LinksUpToDate>false</LinksUpToDate>
  <CharactersWithSpaces>25599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钟鑫</cp:lastModifiedBy>
  <cp:lastPrinted>2025-10-11T06:15:00Z</cp:lastPrinted>
  <dcterms:modified xsi:type="dcterms:W3CDTF">2025-10-13T08:10:01Z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