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3BF86">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重庆市长寿区洪湖镇卫生院</w:t>
      </w:r>
    </w:p>
    <w:p w14:paraId="4CA18A95">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4D9DCA19">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0" w:lineRule="exact"/>
        <w:ind w:leftChars="0" w:firstLine="640" w:firstLineChars="200"/>
        <w:jc w:val="both"/>
        <w:textAlignment w:val="auto"/>
        <w:rPr>
          <w:rStyle w:val="10"/>
          <w:rFonts w:ascii="黑体" w:hAnsi="黑体" w:eastAsia="黑体" w:cs="黑体"/>
          <w:b w:val="0"/>
          <w:bCs/>
          <w:sz w:val="32"/>
          <w:szCs w:val="32"/>
          <w:shd w:val="clear" w:color="auto" w:fill="FFFFFF"/>
        </w:rPr>
      </w:pPr>
    </w:p>
    <w:p w14:paraId="1B70477D">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0" w:lineRule="exact"/>
        <w:ind w:leftChars="0" w:firstLine="640" w:firstLineChars="200"/>
        <w:jc w:val="both"/>
        <w:textAlignment w:val="auto"/>
        <w:rPr>
          <w:rFonts w:hint="eastAsia" w:ascii="方正黑体_GBK" w:hAnsi="方正黑体_GBK" w:eastAsia="方正黑体_GBK" w:cs="方正黑体_GBK"/>
          <w:sz w:val="24"/>
          <w:szCs w:val="24"/>
          <w:lang w:val="en-US" w:eastAsia="zh-CN" w:bidi="ar-SA"/>
        </w:rPr>
      </w:pPr>
      <w:r>
        <w:rPr>
          <w:rStyle w:val="10"/>
          <w:rFonts w:hint="eastAsia" w:ascii="方正黑体_GBK" w:hAnsi="方正黑体_GBK" w:eastAsia="方正黑体_GBK" w:cs="方正黑体_GBK"/>
          <w:b w:val="0"/>
          <w:bCs/>
          <w:sz w:val="32"/>
          <w:szCs w:val="32"/>
          <w:shd w:val="clear" w:color="auto" w:fill="FFFFFF"/>
        </w:rPr>
        <w:t>一、</w:t>
      </w:r>
      <w:r>
        <w:rPr>
          <w:rStyle w:val="10"/>
          <w:rFonts w:hint="eastAsia" w:ascii="方正黑体_GBK" w:hAnsi="方正黑体_GBK" w:eastAsia="方正黑体_GBK" w:cs="方正黑体_GBK"/>
          <w:b w:val="0"/>
          <w:bCs/>
          <w:sz w:val="32"/>
          <w:szCs w:val="32"/>
          <w:shd w:val="clear" w:color="auto" w:fill="FFFFFF"/>
          <w:lang w:eastAsia="zh-CN"/>
        </w:rPr>
        <w:t>单位</w:t>
      </w:r>
      <w:r>
        <w:rPr>
          <w:rStyle w:val="10"/>
          <w:rFonts w:hint="eastAsia" w:ascii="方正黑体_GBK" w:hAnsi="方正黑体_GBK" w:eastAsia="方正黑体_GBK" w:cs="方正黑体_GBK"/>
          <w:b w:val="0"/>
          <w:bCs/>
          <w:sz w:val="32"/>
          <w:szCs w:val="32"/>
          <w:shd w:val="clear" w:color="auto" w:fill="FFFFFF"/>
        </w:rPr>
        <w:t>基本情况</w:t>
      </w:r>
    </w:p>
    <w:p w14:paraId="0487C31C">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80" w:lineRule="exact"/>
        <w:ind w:leftChars="0" w:firstLine="420"/>
        <w:jc w:val="both"/>
        <w:textAlignment w:val="auto"/>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（一）职能职责</w:t>
      </w:r>
    </w:p>
    <w:p w14:paraId="0F90560A">
      <w:pPr>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leftChars="0" w:firstLine="640" w:firstLineChars="200"/>
        <w:textAlignment w:val="auto"/>
        <w:rPr>
          <w:rFonts w:hint="eastAsia" w:ascii="方正仿宋_GBK" w:hAnsi="方正仿宋_GBK" w:eastAsia="方正仿宋_GBK" w:cs="方正仿宋_GBK"/>
          <w:b w:val="0"/>
          <w:bCs/>
          <w:sz w:val="32"/>
        </w:rPr>
      </w:pPr>
      <w:r>
        <w:rPr>
          <w:rFonts w:hint="eastAsia" w:ascii="方正仿宋_GBK" w:hAnsi="方正仿宋_GBK" w:eastAsia="方正仿宋_GBK" w:cs="方正仿宋_GBK"/>
          <w:b w:val="0"/>
          <w:bCs/>
          <w:sz w:val="32"/>
        </w:rPr>
        <w:t>1.承担公共卫生服务，主要包括疾病控制、妇幼保健、健康教育、卫生监督协管、重精管理等公共卫生服务相关工作</w:t>
      </w:r>
      <w:r>
        <w:rPr>
          <w:rFonts w:hint="eastAsia" w:ascii="方正仿宋_GBK" w:hAnsi="方正仿宋_GBK" w:eastAsia="方正仿宋_GBK" w:cs="方正仿宋_GBK"/>
          <w:b w:val="0"/>
          <w:bCs/>
          <w:sz w:val="32"/>
          <w:lang w:eastAsia="zh-CN"/>
        </w:rPr>
        <w:t>。</w:t>
      </w:r>
    </w:p>
    <w:p w14:paraId="55B35604">
      <w:pPr>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leftChars="0" w:firstLine="640" w:firstLineChars="200"/>
        <w:textAlignment w:val="auto"/>
        <w:rPr>
          <w:rFonts w:hint="eastAsia" w:ascii="方正仿宋_GBK" w:hAnsi="方正仿宋_GBK" w:eastAsia="方正仿宋_GBK" w:cs="方正仿宋_GBK"/>
          <w:b w:val="0"/>
          <w:bCs/>
          <w:sz w:val="32"/>
        </w:rPr>
      </w:pPr>
      <w:r>
        <w:rPr>
          <w:rFonts w:hint="eastAsia" w:ascii="方正仿宋_GBK" w:hAnsi="方正仿宋_GBK" w:eastAsia="方正仿宋_GBK" w:cs="方正仿宋_GBK"/>
          <w:b w:val="0"/>
          <w:bCs/>
          <w:sz w:val="32"/>
        </w:rPr>
        <w:t>2.承担基本医疗服务，主要是常见病、多发病的门诊住院诊治，中医药适宜技术的开展与推广</w:t>
      </w:r>
      <w:r>
        <w:rPr>
          <w:rFonts w:hint="eastAsia" w:ascii="方正仿宋_GBK" w:hAnsi="方正仿宋_GBK" w:eastAsia="方正仿宋_GBK" w:cs="方正仿宋_GBK"/>
          <w:b w:val="0"/>
          <w:bCs/>
          <w:sz w:val="32"/>
          <w:lang w:eastAsia="zh-CN"/>
        </w:rPr>
        <w:t>。</w:t>
      </w:r>
    </w:p>
    <w:p w14:paraId="57274210">
      <w:pPr>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leftChars="0" w:firstLine="640" w:firstLineChars="200"/>
        <w:textAlignment w:val="auto"/>
        <w:rPr>
          <w:rFonts w:hint="eastAsia" w:ascii="方正仿宋_GBK" w:hAnsi="方正仿宋_GBK" w:eastAsia="方正仿宋_GBK" w:cs="方正仿宋_GBK"/>
          <w:b w:val="0"/>
          <w:bCs/>
          <w:sz w:val="32"/>
        </w:rPr>
      </w:pPr>
      <w:r>
        <w:rPr>
          <w:rFonts w:hint="eastAsia" w:ascii="方正仿宋_GBK" w:hAnsi="方正仿宋_GBK" w:eastAsia="方正仿宋_GBK" w:cs="方正仿宋_GBK"/>
          <w:b w:val="0"/>
          <w:bCs/>
          <w:sz w:val="32"/>
        </w:rPr>
        <w:t>3.承担计划生育技术服务，主要包括避孕节育、优生服务等相关服务</w:t>
      </w:r>
      <w:r>
        <w:rPr>
          <w:rFonts w:hint="eastAsia" w:ascii="方正仿宋_GBK" w:hAnsi="方正仿宋_GBK" w:eastAsia="方正仿宋_GBK" w:cs="方正仿宋_GBK"/>
          <w:b w:val="0"/>
          <w:bCs/>
          <w:sz w:val="32"/>
          <w:lang w:eastAsia="zh-CN"/>
        </w:rPr>
        <w:t>。</w:t>
      </w:r>
    </w:p>
    <w:p w14:paraId="72AE03D0">
      <w:pPr>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leftChars="0" w:firstLine="640" w:firstLineChars="200"/>
        <w:textAlignment w:val="auto"/>
        <w:rPr>
          <w:rFonts w:hint="eastAsia" w:ascii="仿宋_GB2312" w:hAnsi="仿宋_GB2312" w:eastAsia="仿宋_GB2312" w:cs="仿宋_GB2312"/>
          <w:b w:val="0"/>
          <w:bCs/>
          <w:sz w:val="32"/>
        </w:rPr>
      </w:pPr>
      <w:r>
        <w:rPr>
          <w:rFonts w:hint="eastAsia" w:ascii="方正仿宋_GBK" w:hAnsi="方正仿宋_GBK" w:eastAsia="方正仿宋_GBK" w:cs="方正仿宋_GBK"/>
          <w:b w:val="0"/>
          <w:bCs/>
          <w:sz w:val="32"/>
        </w:rPr>
        <w:t>4.承担卫生应急任务，主要包括辖区“120”急救、突发事件紧急医疗救援、突发公共卫生事件处置等相关任务</w:t>
      </w:r>
      <w:r>
        <w:rPr>
          <w:rFonts w:hint="eastAsia" w:ascii="方正仿宋_GBK" w:hAnsi="方正仿宋_GBK" w:eastAsia="方正仿宋_GBK" w:cs="方正仿宋_GBK"/>
          <w:b w:val="0"/>
          <w:bCs/>
          <w:sz w:val="32"/>
          <w:lang w:eastAsia="zh-CN"/>
        </w:rPr>
        <w:t>。</w:t>
      </w:r>
    </w:p>
    <w:p w14:paraId="2D0C2E88">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0" w:lineRule="exact"/>
        <w:ind w:leftChars="0" w:firstLine="42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（二）机构设置</w:t>
      </w:r>
    </w:p>
    <w:p w14:paraId="6C64C01F">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0" w:lineRule="exact"/>
        <w:ind w:leftChars="0" w:firstLine="420"/>
        <w:textAlignment w:val="auto"/>
        <w:rPr>
          <w:rFonts w:hint="eastAsia" w:ascii="方正仿宋_GBK" w:hAnsi="方正仿宋_GBK" w:eastAsia="方正仿宋_GBK" w:cs="方正仿宋_GBK"/>
          <w:b w:val="0"/>
          <w:bCs/>
          <w:sz w:val="32"/>
          <w:lang w:eastAsia="zh-CN"/>
        </w:rPr>
      </w:pPr>
      <w:r>
        <w:rPr>
          <w:rFonts w:hint="eastAsia" w:ascii="方正仿宋_GBK" w:hAnsi="方正仿宋_GBK" w:eastAsia="方正仿宋_GBK" w:cs="方正仿宋_GBK"/>
          <w:b w:val="0"/>
          <w:bCs/>
          <w:sz w:val="32"/>
        </w:rPr>
        <w:t>单位构成</w:t>
      </w:r>
      <w:r>
        <w:rPr>
          <w:rFonts w:hint="eastAsia" w:ascii="方正仿宋_GBK" w:hAnsi="方正仿宋_GBK" w:eastAsia="方正仿宋_GBK" w:cs="方正仿宋_GBK"/>
          <w:b w:val="0"/>
          <w:bCs/>
          <w:sz w:val="32"/>
          <w:lang w:eastAsia="zh-CN"/>
        </w:rPr>
        <w:t>。</w:t>
      </w:r>
      <w:r>
        <w:rPr>
          <w:rFonts w:hint="eastAsia" w:ascii="方正仿宋_GBK" w:hAnsi="方正仿宋_GBK" w:eastAsia="方正仿宋_GBK" w:cs="方正仿宋_GBK"/>
          <w:b w:val="0"/>
          <w:bCs/>
          <w:sz w:val="32"/>
        </w:rPr>
        <w:t>我单位是重庆市长寿区卫生健康委下属正科级公益一类差额</w:t>
      </w:r>
      <w:r>
        <w:rPr>
          <w:rFonts w:hint="eastAsia" w:ascii="方正仿宋_GBK" w:hAnsi="方正仿宋_GBK" w:eastAsia="方正仿宋_GBK" w:cs="方正仿宋_GBK"/>
          <w:b w:val="0"/>
          <w:bCs/>
          <w:sz w:val="32"/>
          <w:lang w:val="en-US" w:eastAsia="zh-CN"/>
        </w:rPr>
        <w:t>拨</w:t>
      </w:r>
      <w:r>
        <w:rPr>
          <w:rFonts w:hint="eastAsia" w:ascii="方正仿宋_GBK" w:hAnsi="方正仿宋_GBK" w:eastAsia="方正仿宋_GBK" w:cs="方正仿宋_GBK"/>
          <w:b w:val="0"/>
          <w:bCs/>
          <w:sz w:val="32"/>
        </w:rPr>
        <w:t>款事业单位，现辖两所分院，设置有行政办公室、后勤保障科、医务科、内科、外科、中医理疗科、妇产科、医学检验科、特检科、公共卫生科、护理部等科室</w:t>
      </w:r>
      <w:r>
        <w:rPr>
          <w:rFonts w:hint="eastAsia" w:ascii="方正仿宋_GBK" w:hAnsi="方正仿宋_GBK" w:eastAsia="方正仿宋_GBK" w:cs="方正仿宋_GBK"/>
          <w:b w:val="0"/>
          <w:bCs/>
          <w:sz w:val="32"/>
          <w:lang w:eastAsia="zh-CN"/>
        </w:rPr>
        <w:t>。</w:t>
      </w:r>
    </w:p>
    <w:p w14:paraId="76B0631D">
      <w:pPr>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textAlignment w:val="auto"/>
        <w:outlineLvl w:val="9"/>
        <w:rPr>
          <w:rFonts w:hint="eastAsia" w:ascii="方正仿宋_GBK" w:hAnsi="方正仿宋_GBK" w:eastAsia="方正仿宋_GBK" w:cs="方正仿宋_GBK"/>
          <w:b w:val="0"/>
          <w:bCs/>
          <w:sz w:val="32"/>
          <w:lang w:eastAsia="zh-CN"/>
        </w:rPr>
      </w:pPr>
      <w:r>
        <w:rPr>
          <w:rFonts w:hint="eastAsia" w:ascii="方正仿宋_GBK" w:hAnsi="方正仿宋_GBK" w:eastAsia="方正仿宋_GBK" w:cs="方正仿宋_GBK"/>
          <w:b w:val="0"/>
          <w:bCs/>
          <w:sz w:val="32"/>
          <w:lang w:val="en-US" w:eastAsia="zh-CN"/>
        </w:rPr>
        <w:t>人员结构。</w:t>
      </w:r>
      <w:r>
        <w:rPr>
          <w:rFonts w:hint="eastAsia" w:ascii="方正仿宋_GBK" w:hAnsi="方正仿宋_GBK" w:eastAsia="方正仿宋_GBK" w:cs="方正仿宋_GBK"/>
          <w:b w:val="0"/>
          <w:bCs/>
          <w:sz w:val="32"/>
        </w:rPr>
        <w:t>人员编制</w:t>
      </w:r>
      <w:r>
        <w:rPr>
          <w:rFonts w:hint="eastAsia" w:ascii="方正仿宋_GBK" w:hAnsi="方正仿宋_GBK" w:eastAsia="方正仿宋_GBK" w:cs="方正仿宋_GBK"/>
          <w:b w:val="0"/>
          <w:bCs/>
          <w:sz w:val="32"/>
          <w:lang w:val="en-US" w:eastAsia="zh-CN"/>
        </w:rPr>
        <w:t>73</w:t>
      </w:r>
      <w:r>
        <w:rPr>
          <w:rFonts w:hint="eastAsia" w:ascii="方正仿宋_GBK" w:hAnsi="方正仿宋_GBK" w:eastAsia="方正仿宋_GBK" w:cs="方正仿宋_GBK"/>
          <w:b w:val="0"/>
          <w:bCs/>
          <w:sz w:val="32"/>
        </w:rPr>
        <w:t>人，20</w:t>
      </w:r>
      <w:r>
        <w:rPr>
          <w:rFonts w:hint="eastAsia" w:ascii="方正仿宋_GBK" w:hAnsi="方正仿宋_GBK" w:eastAsia="方正仿宋_GBK" w:cs="方正仿宋_GBK"/>
          <w:b w:val="0"/>
          <w:bCs/>
          <w:sz w:val="32"/>
          <w:lang w:val="en-US" w:eastAsia="zh-CN"/>
        </w:rPr>
        <w:t>24</w:t>
      </w:r>
      <w:r>
        <w:rPr>
          <w:rFonts w:hint="eastAsia" w:ascii="方正仿宋_GBK" w:hAnsi="方正仿宋_GBK" w:eastAsia="方正仿宋_GBK" w:cs="方正仿宋_GBK"/>
          <w:b w:val="0"/>
          <w:bCs/>
          <w:sz w:val="32"/>
        </w:rPr>
        <w:t>年我院实有在职在编人员</w:t>
      </w:r>
      <w:r>
        <w:rPr>
          <w:rFonts w:hint="eastAsia" w:ascii="方正仿宋_GBK" w:hAnsi="方正仿宋_GBK" w:eastAsia="方正仿宋_GBK" w:cs="方正仿宋_GBK"/>
          <w:b w:val="0"/>
          <w:bCs/>
          <w:sz w:val="32"/>
          <w:lang w:val="en-US" w:eastAsia="zh-CN"/>
        </w:rPr>
        <w:t>67</w:t>
      </w:r>
      <w:r>
        <w:rPr>
          <w:rFonts w:hint="eastAsia" w:ascii="方正仿宋_GBK" w:hAnsi="方正仿宋_GBK" w:eastAsia="方正仿宋_GBK" w:cs="方正仿宋_GBK"/>
          <w:b w:val="0"/>
          <w:bCs/>
          <w:sz w:val="32"/>
        </w:rPr>
        <w:t>人</w:t>
      </w:r>
      <w:r>
        <w:rPr>
          <w:rFonts w:hint="eastAsia" w:ascii="方正仿宋_GBK" w:hAnsi="方正仿宋_GBK" w:eastAsia="方正仿宋_GBK" w:cs="方正仿宋_GBK"/>
          <w:b w:val="0"/>
          <w:bCs/>
          <w:sz w:val="32"/>
          <w:lang w:eastAsia="zh-CN"/>
        </w:rPr>
        <w:t>，</w:t>
      </w:r>
      <w:r>
        <w:rPr>
          <w:rFonts w:hint="eastAsia" w:ascii="方正仿宋_GBK" w:hAnsi="方正仿宋_GBK" w:eastAsia="方正仿宋_GBK" w:cs="方正仿宋_GBK"/>
          <w:b w:val="0"/>
          <w:bCs/>
          <w:sz w:val="32"/>
        </w:rPr>
        <w:t>其中专业技术人员</w:t>
      </w:r>
      <w:r>
        <w:rPr>
          <w:rFonts w:hint="eastAsia" w:ascii="方正仿宋_GBK" w:hAnsi="方正仿宋_GBK" w:eastAsia="方正仿宋_GBK" w:cs="方正仿宋_GBK"/>
          <w:b w:val="0"/>
          <w:bCs/>
          <w:sz w:val="32"/>
          <w:lang w:val="en-US" w:eastAsia="zh-CN"/>
        </w:rPr>
        <w:t>64</w:t>
      </w:r>
      <w:r>
        <w:rPr>
          <w:rFonts w:hint="eastAsia" w:ascii="方正仿宋_GBK" w:hAnsi="方正仿宋_GBK" w:eastAsia="方正仿宋_GBK" w:cs="方正仿宋_GBK"/>
          <w:b w:val="0"/>
          <w:bCs/>
          <w:sz w:val="32"/>
        </w:rPr>
        <w:t>人</w:t>
      </w:r>
      <w:r>
        <w:rPr>
          <w:rFonts w:hint="eastAsia" w:ascii="方正仿宋_GBK" w:hAnsi="方正仿宋_GBK" w:eastAsia="方正仿宋_GBK" w:cs="方正仿宋_GBK"/>
          <w:b w:val="0"/>
          <w:bCs/>
          <w:sz w:val="32"/>
          <w:lang w:val="en-US" w:eastAsia="zh-CN"/>
        </w:rPr>
        <w:t>，</w:t>
      </w:r>
      <w:r>
        <w:rPr>
          <w:rFonts w:hint="eastAsia" w:ascii="方正仿宋_GBK" w:hAnsi="方正仿宋_GBK" w:eastAsia="方正仿宋_GBK" w:cs="方正仿宋_GBK"/>
          <w:b w:val="0"/>
          <w:bCs/>
          <w:sz w:val="32"/>
        </w:rPr>
        <w:t>临聘人员</w:t>
      </w:r>
      <w:r>
        <w:rPr>
          <w:rFonts w:hint="eastAsia" w:ascii="方正仿宋_GBK" w:hAnsi="方正仿宋_GBK" w:eastAsia="方正仿宋_GBK" w:cs="方正仿宋_GBK"/>
          <w:b w:val="0"/>
          <w:bCs/>
          <w:sz w:val="32"/>
          <w:lang w:val="en-US" w:eastAsia="zh-CN"/>
        </w:rPr>
        <w:t>7</w:t>
      </w:r>
      <w:r>
        <w:rPr>
          <w:rFonts w:hint="eastAsia" w:ascii="方正仿宋_GBK" w:hAnsi="方正仿宋_GBK" w:eastAsia="方正仿宋_GBK" w:cs="方正仿宋_GBK"/>
          <w:b w:val="0"/>
          <w:bCs/>
          <w:sz w:val="32"/>
        </w:rPr>
        <w:t>人</w:t>
      </w:r>
      <w:r>
        <w:rPr>
          <w:rFonts w:hint="eastAsia" w:ascii="方正仿宋_GBK" w:hAnsi="方正仿宋_GBK" w:eastAsia="方正仿宋_GBK" w:cs="方正仿宋_GBK"/>
          <w:b w:val="0"/>
          <w:bCs/>
          <w:sz w:val="32"/>
          <w:lang w:eastAsia="zh-CN"/>
        </w:rPr>
        <w:t>。</w:t>
      </w:r>
    </w:p>
    <w:p w14:paraId="675AA8FF">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0" w:lineRule="exact"/>
        <w:ind w:leftChars="0" w:firstLine="640" w:firstLineChars="200"/>
        <w:textAlignment w:val="auto"/>
        <w:rPr>
          <w:rFonts w:hint="eastAsia" w:ascii="方正仿宋_GBK" w:hAnsi="方正仿宋_GBK" w:eastAsia="方正仿宋_GBK" w:cs="方正仿宋_GBK"/>
          <w:b w:val="0"/>
          <w:bCs/>
          <w:sz w:val="32"/>
        </w:rPr>
      </w:pPr>
      <w:r>
        <w:rPr>
          <w:rFonts w:hint="eastAsia" w:ascii="方正仿宋_GBK" w:hAnsi="方正仿宋_GBK" w:eastAsia="方正仿宋_GBK" w:cs="方正仿宋_GBK"/>
          <w:b w:val="0"/>
          <w:bCs/>
          <w:sz w:val="32"/>
          <w:lang w:val="en-US" w:eastAsia="zh-CN"/>
        </w:rPr>
        <w:t>床位情况。</w:t>
      </w:r>
      <w:r>
        <w:rPr>
          <w:rFonts w:hint="eastAsia" w:ascii="方正仿宋_GBK" w:hAnsi="方正仿宋_GBK" w:eastAsia="方正仿宋_GBK" w:cs="方正仿宋_GBK"/>
          <w:b w:val="0"/>
          <w:bCs/>
          <w:sz w:val="32"/>
        </w:rPr>
        <w:t>编制病床数</w:t>
      </w:r>
      <w:r>
        <w:rPr>
          <w:rFonts w:hint="eastAsia" w:ascii="方正仿宋_GBK" w:hAnsi="方正仿宋_GBK" w:eastAsia="方正仿宋_GBK" w:cs="方正仿宋_GBK"/>
          <w:b w:val="0"/>
          <w:bCs/>
          <w:sz w:val="32"/>
          <w:lang w:val="en-US" w:eastAsia="zh-CN"/>
        </w:rPr>
        <w:t>105</w:t>
      </w:r>
      <w:r>
        <w:rPr>
          <w:rFonts w:hint="eastAsia" w:ascii="方正仿宋_GBK" w:hAnsi="方正仿宋_GBK" w:eastAsia="方正仿宋_GBK" w:cs="方正仿宋_GBK"/>
          <w:b w:val="0"/>
          <w:bCs/>
          <w:sz w:val="32"/>
        </w:rPr>
        <w:t>张，其中卫生院本部</w:t>
      </w:r>
      <w:r>
        <w:rPr>
          <w:rFonts w:hint="eastAsia" w:ascii="方正仿宋_GBK" w:hAnsi="方正仿宋_GBK" w:eastAsia="方正仿宋_GBK" w:cs="方正仿宋_GBK"/>
          <w:b w:val="0"/>
          <w:bCs/>
          <w:sz w:val="32"/>
          <w:lang w:val="en-US" w:eastAsia="zh-CN"/>
        </w:rPr>
        <w:t>90</w:t>
      </w:r>
      <w:r>
        <w:rPr>
          <w:rFonts w:hint="eastAsia" w:ascii="方正仿宋_GBK" w:hAnsi="方正仿宋_GBK" w:eastAsia="方正仿宋_GBK" w:cs="方正仿宋_GBK"/>
          <w:b w:val="0"/>
          <w:bCs/>
          <w:sz w:val="32"/>
        </w:rPr>
        <w:t>张、</w:t>
      </w:r>
      <w:r>
        <w:rPr>
          <w:rFonts w:hint="eastAsia" w:ascii="方正仿宋_GBK" w:hAnsi="方正仿宋_GBK" w:eastAsia="方正仿宋_GBK" w:cs="方正仿宋_GBK"/>
          <w:b w:val="0"/>
          <w:bCs/>
          <w:sz w:val="32"/>
          <w:lang w:val="en-US" w:eastAsia="zh-CN"/>
        </w:rPr>
        <w:t>称沱分院10张、芦池分院5张</w:t>
      </w:r>
      <w:r>
        <w:rPr>
          <w:rFonts w:hint="eastAsia" w:ascii="方正仿宋_GBK" w:hAnsi="方正仿宋_GBK" w:eastAsia="方正仿宋_GBK" w:cs="方正仿宋_GBK"/>
          <w:b w:val="0"/>
          <w:bCs/>
          <w:sz w:val="32"/>
        </w:rPr>
        <w:t>。</w:t>
      </w:r>
    </w:p>
    <w:p w14:paraId="737283A9">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0" w:lineRule="exact"/>
        <w:ind w:leftChars="0" w:firstLine="640" w:firstLineChars="200"/>
        <w:textAlignment w:val="auto"/>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二、</w:t>
      </w:r>
      <w:r>
        <w:rPr>
          <w:rStyle w:val="10"/>
          <w:rFonts w:hint="eastAsia" w:ascii="方正黑体_GBK" w:hAnsi="方正黑体_GBK" w:eastAsia="方正黑体_GBK" w:cs="方正黑体_GBK"/>
          <w:b w:val="0"/>
          <w:bCs/>
          <w:sz w:val="32"/>
          <w:szCs w:val="32"/>
          <w:shd w:val="clear" w:color="auto" w:fill="FFFFFF"/>
          <w:lang w:eastAsia="zh-CN"/>
        </w:rPr>
        <w:t>单位</w:t>
      </w:r>
      <w:r>
        <w:rPr>
          <w:rStyle w:val="10"/>
          <w:rFonts w:hint="eastAsia" w:ascii="方正黑体_GBK" w:hAnsi="方正黑体_GBK" w:eastAsia="方正黑体_GBK" w:cs="方正黑体_GBK"/>
          <w:b w:val="0"/>
          <w:bCs/>
          <w:sz w:val="32"/>
          <w:szCs w:val="32"/>
          <w:shd w:val="clear" w:color="auto" w:fill="FFFFFF"/>
        </w:rPr>
        <w:t>决算</w:t>
      </w:r>
      <w:r>
        <w:rPr>
          <w:rStyle w:val="10"/>
          <w:rFonts w:hint="eastAsia" w:ascii="方正黑体_GBK" w:hAnsi="方正黑体_GBK" w:eastAsia="方正黑体_GBK" w:cs="方正黑体_GBK"/>
          <w:b w:val="0"/>
          <w:bCs/>
          <w:sz w:val="32"/>
          <w:szCs w:val="32"/>
          <w:shd w:val="clear" w:color="auto" w:fill="FFFFFF"/>
          <w:lang w:eastAsia="zh-CN"/>
        </w:rPr>
        <w:t>收支</w:t>
      </w:r>
      <w:r>
        <w:rPr>
          <w:rStyle w:val="10"/>
          <w:rFonts w:hint="eastAsia" w:ascii="方正黑体_GBK" w:hAnsi="方正黑体_GBK" w:eastAsia="方正黑体_GBK" w:cs="方正黑体_GBK"/>
          <w:b w:val="0"/>
          <w:bCs/>
          <w:sz w:val="32"/>
          <w:szCs w:val="32"/>
          <w:shd w:val="clear" w:color="auto" w:fill="FFFFFF"/>
        </w:rPr>
        <w:t>情况说明</w:t>
      </w:r>
    </w:p>
    <w:p w14:paraId="6DA80DBE">
      <w:pPr>
        <w:pStyle w:val="11"/>
        <w:keepNext w:val="0"/>
        <w:keepLines w:val="0"/>
        <w:pageBreakBefore w:val="0"/>
        <w:kinsoku/>
        <w:wordWrap/>
        <w:overflowPunct/>
        <w:topLinePunct w:val="0"/>
        <w:autoSpaceDE w:val="0"/>
        <w:autoSpaceDN/>
        <w:bidi w:val="0"/>
        <w:adjustRightInd w:val="0"/>
        <w:snapToGrid w:val="0"/>
        <w:spacing w:beforeAutospacing="0" w:afterAutospacing="0" w:line="580" w:lineRule="exact"/>
        <w:ind w:leftChars="0" w:firstLine="643"/>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（一）收入支出决算总体情况说明</w:t>
      </w:r>
    </w:p>
    <w:p w14:paraId="6F6CBB75">
      <w:pPr>
        <w:pStyle w:val="6"/>
        <w:keepNext w:val="0"/>
        <w:keepLines w:val="0"/>
        <w:pageBreakBefore w:val="0"/>
        <w:shd w:val="clear" w:color="auto" w:fill="FFFFFF"/>
        <w:kinsoku/>
        <w:wordWrap/>
        <w:overflowPunct/>
        <w:topLinePunct w:val="0"/>
        <w:autoSpaceDN/>
        <w:bidi w:val="0"/>
        <w:adjustRightInd w:val="0"/>
        <w:snapToGrid w:val="0"/>
        <w:spacing w:beforeAutospacing="0" w:afterAutospacing="0" w:line="580" w:lineRule="exact"/>
        <w:ind w:leftChars="0" w:firstLine="640" w:firstLineChars="200"/>
        <w:textAlignment w:val="auto"/>
        <w:rPr>
          <w:rFonts w:hint="default" w:ascii="方正仿宋_GBK" w:hAnsi="方正仿宋_GBK" w:eastAsia="方正仿宋_GBK" w:cs="方正仿宋_GBK"/>
          <w:b w:val="0"/>
          <w:bCs/>
          <w:sz w:val="32"/>
          <w:szCs w:val="32"/>
        </w:rPr>
      </w:pPr>
      <w:r>
        <w:rPr>
          <w:rStyle w:val="10"/>
          <w:rFonts w:ascii="方正仿宋_GBK" w:hAnsi="方正仿宋_GBK" w:eastAsia="方正仿宋_GBK" w:cs="方正仿宋_GBK"/>
          <w:b w:val="0"/>
          <w:bCs/>
          <w:sz w:val="32"/>
          <w:szCs w:val="32"/>
          <w:shd w:val="clear" w:color="auto" w:fill="FFFFFF"/>
        </w:rPr>
        <w:t>1.总体情况。</w:t>
      </w:r>
      <w:r>
        <w:rPr>
          <w:rFonts w:hint="eastAsia" w:ascii="方正仿宋_GBK" w:hAnsi="方正仿宋_GBK" w:eastAsia="方正仿宋_GBK" w:cs="方正仿宋_GBK"/>
          <w:b w:val="0"/>
          <w:bCs/>
          <w:sz w:val="32"/>
          <w:szCs w:val="32"/>
          <w:shd w:val="clear" w:color="auto" w:fill="FFFFFF"/>
          <w:lang w:eastAsia="zh-CN"/>
        </w:rPr>
        <w:t>2024年</w:t>
      </w:r>
      <w:r>
        <w:rPr>
          <w:rFonts w:ascii="方正仿宋_GBK" w:hAnsi="方正仿宋_GBK" w:eastAsia="方正仿宋_GBK" w:cs="方正仿宋_GBK"/>
          <w:b w:val="0"/>
          <w:bCs/>
          <w:sz w:val="32"/>
          <w:szCs w:val="32"/>
          <w:shd w:val="clear" w:color="auto" w:fill="FFFFFF"/>
        </w:rPr>
        <w:t>度收入总计2522.95万元，支出总计</w:t>
      </w:r>
      <w:r>
        <w:rPr>
          <w:rFonts w:ascii="方正仿宋_GBK" w:hAnsi="方正仿宋_GBK" w:eastAsia="方正仿宋_GBK" w:cs="方正仿宋_GBK"/>
          <w:b w:val="0"/>
          <w:bCs/>
          <w:sz w:val="32"/>
          <w:szCs w:val="32"/>
        </w:rPr>
        <w:t>2522.95</w:t>
      </w:r>
      <w:r>
        <w:rPr>
          <w:rFonts w:ascii="方正仿宋_GBK" w:hAnsi="方正仿宋_GBK" w:eastAsia="方正仿宋_GBK" w:cs="方正仿宋_GBK"/>
          <w:b w:val="0"/>
          <w:bCs/>
          <w:sz w:val="32"/>
          <w:szCs w:val="32"/>
          <w:shd w:val="clear" w:color="auto" w:fill="FFFFFF"/>
        </w:rPr>
        <w:t>万元。收、支与2023年度相比，增加293.92万元，增长13.2%，主要原因</w:t>
      </w:r>
      <w:r>
        <w:rPr>
          <w:rFonts w:hint="eastAsia" w:ascii="方正仿宋_GBK" w:hAnsi="方正仿宋_GBK" w:eastAsia="方正仿宋_GBK" w:cs="方正仿宋_GBK"/>
          <w:b w:val="0"/>
          <w:bCs/>
          <w:sz w:val="32"/>
          <w:szCs w:val="32"/>
          <w:shd w:val="clear" w:color="auto" w:fill="FFFFFF"/>
          <w:lang w:eastAsia="zh-CN"/>
        </w:rPr>
        <w:t>：</w:t>
      </w:r>
      <w:r>
        <w:rPr>
          <w:rFonts w:hint="eastAsia" w:ascii="方正仿宋_GBK" w:hAnsi="方正仿宋_GBK" w:eastAsia="方正仿宋_GBK" w:cs="方正仿宋_GBK"/>
          <w:b w:val="0"/>
          <w:bCs/>
          <w:color w:val="auto"/>
          <w:sz w:val="32"/>
          <w:szCs w:val="32"/>
          <w:shd w:val="clear" w:color="auto" w:fill="FFFFFF"/>
          <w:lang w:val="en-US" w:eastAsia="zh-CN"/>
        </w:rPr>
        <w:t>一</w:t>
      </w:r>
      <w:r>
        <w:rPr>
          <w:rFonts w:ascii="方正仿宋_GBK" w:hAnsi="方正仿宋_GBK" w:eastAsia="方正仿宋_GBK" w:cs="方正仿宋_GBK"/>
          <w:b w:val="0"/>
          <w:bCs/>
          <w:color w:val="auto"/>
          <w:sz w:val="32"/>
          <w:szCs w:val="32"/>
          <w:shd w:val="clear" w:color="auto" w:fill="FFFFFF"/>
        </w:rPr>
        <w:t>是</w:t>
      </w:r>
      <w:r>
        <w:rPr>
          <w:rFonts w:hint="eastAsia" w:ascii="方正仿宋_GBK" w:hAnsi="方正仿宋_GBK" w:eastAsia="方正仿宋_GBK" w:cs="方正仿宋_GBK"/>
          <w:b w:val="0"/>
          <w:bCs/>
          <w:color w:val="auto"/>
          <w:sz w:val="32"/>
          <w:szCs w:val="32"/>
          <w:shd w:val="clear" w:color="auto" w:fill="FFFFFF"/>
          <w:lang w:val="en-US" w:eastAsia="zh-CN"/>
        </w:rPr>
        <w:t>业务量增加，医疗收入增加；二是2024年基本公共卫生拨款列入财政项目资金，2023年基本公共卫生拨款未列入财政拨款</w:t>
      </w:r>
      <w:r>
        <w:rPr>
          <w:rFonts w:ascii="方正仿宋_GBK" w:hAnsi="方正仿宋_GBK" w:eastAsia="方正仿宋_GBK" w:cs="方正仿宋_GBK"/>
          <w:b w:val="0"/>
          <w:bCs/>
          <w:color w:val="auto"/>
          <w:sz w:val="32"/>
          <w:szCs w:val="32"/>
          <w:shd w:val="clear" w:color="auto" w:fill="FFFFFF"/>
        </w:rPr>
        <w:t>。</w:t>
      </w:r>
    </w:p>
    <w:p w14:paraId="636CFEED">
      <w:pPr>
        <w:pStyle w:val="6"/>
        <w:keepNext w:val="0"/>
        <w:keepLines w:val="0"/>
        <w:pageBreakBefore w:val="0"/>
        <w:kinsoku/>
        <w:wordWrap/>
        <w:overflowPunct/>
        <w:topLinePunct w:val="0"/>
        <w:autoSpaceDN/>
        <w:bidi w:val="0"/>
        <w:adjustRightInd w:val="0"/>
        <w:snapToGrid w:val="0"/>
        <w:spacing w:before="0" w:beforeAutospacing="0" w:after="0" w:afterAutospacing="0" w:line="580" w:lineRule="exact"/>
        <w:ind w:leftChars="0" w:firstLine="640" w:firstLineChars="200"/>
        <w:jc w:val="both"/>
        <w:textAlignment w:val="auto"/>
        <w:rPr>
          <w:rFonts w:hint="default" w:ascii="方正仿宋_GBK" w:hAnsi="方正仿宋_GBK" w:eastAsia="方正仿宋_GBK" w:cs="方正仿宋_GBK"/>
          <w:b w:val="0"/>
          <w:bCs/>
          <w:sz w:val="32"/>
          <w:szCs w:val="32"/>
          <w:shd w:val="clear" w:color="auto" w:fill="FFFFFF"/>
        </w:rPr>
      </w:pPr>
      <w:r>
        <w:rPr>
          <w:rStyle w:val="10"/>
          <w:rFonts w:ascii="方正仿宋_GBK" w:hAnsi="方正仿宋_GBK" w:eastAsia="方正仿宋_GBK" w:cs="方正仿宋_GBK"/>
          <w:b w:val="0"/>
          <w:bCs/>
          <w:sz w:val="32"/>
          <w:szCs w:val="32"/>
          <w:shd w:val="clear" w:color="auto" w:fill="FFFFFF"/>
        </w:rPr>
        <w:t>2.收入情况。</w:t>
      </w:r>
      <w:r>
        <w:rPr>
          <w:rFonts w:hint="eastAsia" w:ascii="方正仿宋_GBK" w:hAnsi="方正仿宋_GBK" w:eastAsia="方正仿宋_GBK" w:cs="方正仿宋_GBK"/>
          <w:b w:val="0"/>
          <w:bCs/>
          <w:sz w:val="32"/>
          <w:szCs w:val="32"/>
          <w:shd w:val="clear" w:color="auto" w:fill="FFFFFF"/>
          <w:lang w:eastAsia="zh-CN"/>
        </w:rPr>
        <w:t>2024年</w:t>
      </w:r>
      <w:r>
        <w:rPr>
          <w:rFonts w:ascii="方正仿宋_GBK" w:hAnsi="方正仿宋_GBK" w:eastAsia="方正仿宋_GBK" w:cs="方正仿宋_GBK"/>
          <w:b w:val="0"/>
          <w:bCs/>
          <w:sz w:val="32"/>
          <w:szCs w:val="32"/>
          <w:shd w:val="clear" w:color="auto" w:fill="FFFFFF"/>
        </w:rPr>
        <w:t>度收入合计2433.83万元，与2023年度相比，增加380.26万元，增长18.5%，</w:t>
      </w:r>
      <w:r>
        <w:rPr>
          <w:rFonts w:ascii="方正仿宋_GBK" w:hAnsi="方正仿宋_GBK" w:eastAsia="方正仿宋_GBK" w:cs="方正仿宋_GBK"/>
          <w:b w:val="0"/>
          <w:bCs/>
          <w:color w:val="auto"/>
          <w:sz w:val="32"/>
          <w:szCs w:val="32"/>
          <w:shd w:val="clear" w:color="auto" w:fill="FFFFFF"/>
        </w:rPr>
        <w:t>主要原因</w:t>
      </w:r>
      <w:r>
        <w:rPr>
          <w:rFonts w:hint="eastAsia" w:ascii="方正仿宋_GBK" w:hAnsi="方正仿宋_GBK" w:eastAsia="方正仿宋_GBK" w:cs="方正仿宋_GBK"/>
          <w:b w:val="0"/>
          <w:bCs/>
          <w:color w:val="auto"/>
          <w:sz w:val="32"/>
          <w:szCs w:val="32"/>
          <w:shd w:val="clear" w:color="auto" w:fill="FFFFFF"/>
          <w:lang w:val="en-US" w:eastAsia="zh-CN" w:bidi="ar-SA"/>
        </w:rPr>
        <w:t>：</w:t>
      </w:r>
      <w:r>
        <w:rPr>
          <w:rFonts w:hint="eastAsia" w:ascii="方正仿宋_GBK" w:hAnsi="方正仿宋_GBK" w:eastAsia="方正仿宋_GBK" w:cs="方正仿宋_GBK"/>
          <w:b w:val="0"/>
          <w:bCs/>
          <w:color w:val="auto"/>
          <w:sz w:val="32"/>
          <w:szCs w:val="32"/>
          <w:shd w:val="clear" w:color="auto" w:fill="FFFFFF"/>
          <w:lang w:val="en-US" w:eastAsia="zh-CN"/>
        </w:rPr>
        <w:t>一</w:t>
      </w:r>
      <w:r>
        <w:rPr>
          <w:rFonts w:ascii="方正仿宋_GBK" w:hAnsi="方正仿宋_GBK" w:eastAsia="方正仿宋_GBK" w:cs="方正仿宋_GBK"/>
          <w:b w:val="0"/>
          <w:bCs/>
          <w:color w:val="auto"/>
          <w:sz w:val="32"/>
          <w:szCs w:val="32"/>
          <w:shd w:val="clear" w:color="auto" w:fill="FFFFFF"/>
        </w:rPr>
        <w:t>是</w:t>
      </w:r>
      <w:r>
        <w:rPr>
          <w:rFonts w:hint="eastAsia" w:ascii="方正仿宋_GBK" w:hAnsi="方正仿宋_GBK" w:eastAsia="方正仿宋_GBK" w:cs="方正仿宋_GBK"/>
          <w:b w:val="0"/>
          <w:bCs/>
          <w:color w:val="auto"/>
          <w:sz w:val="32"/>
          <w:szCs w:val="32"/>
          <w:shd w:val="clear" w:color="auto" w:fill="FFFFFF"/>
          <w:lang w:val="en-US" w:eastAsia="zh-CN"/>
        </w:rPr>
        <w:t>业务量增加，医疗收入增加；二是2024年基本公共卫生拨款列入财政项目资金，2023年基本公共卫生拨款未列入财政拨款项目资金</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sz w:val="32"/>
          <w:szCs w:val="32"/>
          <w:shd w:val="clear" w:color="auto" w:fill="FFFFFF"/>
        </w:rPr>
        <w:t>其中：财政拨款收入</w:t>
      </w:r>
      <w:r>
        <w:rPr>
          <w:rFonts w:ascii="方正仿宋_GBK" w:hAnsi="方正仿宋_GBK" w:eastAsia="方正仿宋_GBK" w:cs="方正仿宋_GBK"/>
          <w:b w:val="0"/>
          <w:bCs/>
          <w:sz w:val="32"/>
          <w:szCs w:val="32"/>
        </w:rPr>
        <w:t>1342.50</w:t>
      </w:r>
      <w:r>
        <w:rPr>
          <w:rFonts w:ascii="方正仿宋_GBK" w:hAnsi="方正仿宋_GBK" w:eastAsia="方正仿宋_GBK" w:cs="方正仿宋_GBK"/>
          <w:b w:val="0"/>
          <w:bCs/>
          <w:sz w:val="32"/>
          <w:szCs w:val="32"/>
          <w:shd w:val="clear" w:color="auto" w:fill="FFFFFF"/>
        </w:rPr>
        <w:t>万元，占</w:t>
      </w:r>
      <w:r>
        <w:rPr>
          <w:rFonts w:ascii="方正仿宋_GBK" w:hAnsi="方正仿宋_GBK" w:eastAsia="方正仿宋_GBK" w:cs="方正仿宋_GBK"/>
          <w:b w:val="0"/>
          <w:bCs/>
          <w:sz w:val="32"/>
          <w:szCs w:val="32"/>
        </w:rPr>
        <w:t>55.2%</w:t>
      </w:r>
      <w:r>
        <w:rPr>
          <w:rFonts w:ascii="方正仿宋_GBK" w:hAnsi="方正仿宋_GBK" w:eastAsia="方正仿宋_GBK" w:cs="方正仿宋_GBK"/>
          <w:b w:val="0"/>
          <w:bCs/>
          <w:sz w:val="32"/>
          <w:szCs w:val="32"/>
          <w:shd w:val="clear" w:color="auto" w:fill="FFFFFF"/>
        </w:rPr>
        <w:t>；事业收入</w:t>
      </w:r>
      <w:r>
        <w:rPr>
          <w:rFonts w:ascii="方正仿宋_GBK" w:hAnsi="方正仿宋_GBK" w:eastAsia="方正仿宋_GBK" w:cs="方正仿宋_GBK"/>
          <w:b w:val="0"/>
          <w:bCs/>
          <w:sz w:val="32"/>
          <w:szCs w:val="32"/>
        </w:rPr>
        <w:t>1068.49</w:t>
      </w:r>
      <w:r>
        <w:rPr>
          <w:rFonts w:ascii="方正仿宋_GBK" w:hAnsi="方正仿宋_GBK" w:eastAsia="方正仿宋_GBK" w:cs="方正仿宋_GBK"/>
          <w:b w:val="0"/>
          <w:bCs/>
          <w:sz w:val="32"/>
          <w:szCs w:val="32"/>
          <w:shd w:val="clear" w:color="auto" w:fill="FFFFFF"/>
        </w:rPr>
        <w:t>万元，占43.9%；经营收入</w:t>
      </w:r>
      <w:r>
        <w:rPr>
          <w:rFonts w:ascii="方正仿宋_GBK" w:hAnsi="方正仿宋_GBK" w:eastAsia="方正仿宋_GBK" w:cs="方正仿宋_GBK"/>
          <w:b w:val="0"/>
          <w:bCs/>
          <w:sz w:val="32"/>
          <w:szCs w:val="32"/>
        </w:rPr>
        <w:t>0.00</w:t>
      </w:r>
      <w:r>
        <w:rPr>
          <w:rFonts w:ascii="方正仿宋_GBK" w:hAnsi="方正仿宋_GBK" w:eastAsia="方正仿宋_GBK" w:cs="方正仿宋_GBK"/>
          <w:b w:val="0"/>
          <w:bCs/>
          <w:sz w:val="32"/>
          <w:szCs w:val="32"/>
          <w:shd w:val="clear" w:color="auto" w:fill="FFFFFF"/>
        </w:rPr>
        <w:t>万元，占0.0%；其他收入</w:t>
      </w:r>
      <w:r>
        <w:rPr>
          <w:rFonts w:ascii="方正仿宋_GBK" w:hAnsi="方正仿宋_GBK" w:eastAsia="方正仿宋_GBK" w:cs="方正仿宋_GBK"/>
          <w:b w:val="0"/>
          <w:bCs/>
          <w:sz w:val="32"/>
          <w:szCs w:val="32"/>
        </w:rPr>
        <w:t>22.84</w:t>
      </w:r>
      <w:r>
        <w:rPr>
          <w:rFonts w:ascii="方正仿宋_GBK" w:hAnsi="方正仿宋_GBK" w:eastAsia="方正仿宋_GBK" w:cs="方正仿宋_GBK"/>
          <w:b w:val="0"/>
          <w:bCs/>
          <w:sz w:val="32"/>
          <w:szCs w:val="32"/>
          <w:shd w:val="clear" w:color="auto" w:fill="FFFFFF"/>
        </w:rPr>
        <w:t>万元，占0.9%</w:t>
      </w:r>
      <w:r>
        <w:rPr>
          <w:rFonts w:ascii="方正仿宋_GBK" w:hAnsi="方正仿宋_GBK" w:eastAsia="方正仿宋_GBK" w:cs="方正仿宋_GBK"/>
          <w:b w:val="0"/>
          <w:bCs/>
          <w:sz w:val="32"/>
          <w:szCs w:val="32"/>
          <w:highlight w:val="none"/>
          <w:shd w:val="clear" w:color="auto" w:fill="FFFFFF"/>
        </w:rPr>
        <w:t>。此外，使用非财政拨款结余（含专用结余）</w:t>
      </w:r>
      <w:r>
        <w:rPr>
          <w:rFonts w:ascii="方正仿宋_GBK" w:hAnsi="方正仿宋_GBK" w:eastAsia="方正仿宋_GBK" w:cs="方正仿宋_GBK"/>
          <w:b w:val="0"/>
          <w:bCs/>
          <w:sz w:val="32"/>
          <w:szCs w:val="32"/>
        </w:rPr>
        <w:t>83.92</w:t>
      </w:r>
      <w:r>
        <w:rPr>
          <w:rFonts w:ascii="方正仿宋_GBK" w:hAnsi="方正仿宋_GBK" w:eastAsia="方正仿宋_GBK" w:cs="方正仿宋_GBK"/>
          <w:b w:val="0"/>
          <w:bCs/>
          <w:sz w:val="32"/>
          <w:szCs w:val="32"/>
          <w:shd w:val="clear" w:color="auto" w:fill="FFFFFF"/>
        </w:rPr>
        <w:t>万元，年初结转和结余</w:t>
      </w:r>
      <w:r>
        <w:rPr>
          <w:rFonts w:ascii="方正仿宋_GBK" w:hAnsi="方正仿宋_GBK" w:eastAsia="方正仿宋_GBK" w:cs="方正仿宋_GBK"/>
          <w:b w:val="0"/>
          <w:bCs/>
          <w:sz w:val="32"/>
          <w:szCs w:val="32"/>
        </w:rPr>
        <w:t>5.20</w:t>
      </w:r>
      <w:r>
        <w:rPr>
          <w:rFonts w:ascii="方正仿宋_GBK" w:hAnsi="方正仿宋_GBK" w:eastAsia="方正仿宋_GBK" w:cs="方正仿宋_GBK"/>
          <w:b w:val="0"/>
          <w:bCs/>
          <w:sz w:val="32"/>
          <w:szCs w:val="32"/>
          <w:shd w:val="clear" w:color="auto" w:fill="FFFFFF"/>
        </w:rPr>
        <w:t>万元。</w:t>
      </w:r>
    </w:p>
    <w:p w14:paraId="349B185F">
      <w:pPr>
        <w:pStyle w:val="6"/>
        <w:keepNext w:val="0"/>
        <w:keepLines w:val="0"/>
        <w:pageBreakBefore w:val="0"/>
        <w:kinsoku/>
        <w:wordWrap/>
        <w:overflowPunct/>
        <w:topLinePunct w:val="0"/>
        <w:autoSpaceDN/>
        <w:bidi w:val="0"/>
        <w:adjustRightInd w:val="0"/>
        <w:snapToGrid w:val="0"/>
        <w:spacing w:before="0" w:beforeAutospacing="0" w:after="0" w:afterAutospacing="0" w:line="580" w:lineRule="exact"/>
        <w:ind w:leftChars="0" w:firstLine="640" w:firstLineChars="200"/>
        <w:jc w:val="both"/>
        <w:textAlignment w:val="auto"/>
        <w:rPr>
          <w:rFonts w:hint="default" w:ascii="方正仿宋_GBK" w:hAnsi="方正仿宋_GBK" w:eastAsia="方正仿宋_GBK" w:cs="方正仿宋_GBK"/>
          <w:b w:val="0"/>
          <w:bCs/>
          <w:sz w:val="32"/>
          <w:szCs w:val="32"/>
          <w:shd w:val="clear" w:color="auto" w:fill="FFFFFF"/>
        </w:rPr>
      </w:pPr>
      <w:r>
        <w:rPr>
          <w:rStyle w:val="10"/>
          <w:rFonts w:ascii="方正仿宋_GBK" w:hAnsi="方正仿宋_GBK" w:eastAsia="方正仿宋_GBK" w:cs="方正仿宋_GBK"/>
          <w:b w:val="0"/>
          <w:bCs/>
          <w:sz w:val="32"/>
          <w:szCs w:val="32"/>
          <w:shd w:val="clear" w:color="auto" w:fill="FFFFFF"/>
        </w:rPr>
        <w:t>3.支出情况。</w:t>
      </w:r>
      <w:r>
        <w:rPr>
          <w:rFonts w:hint="eastAsia" w:ascii="方正仿宋_GBK" w:hAnsi="方正仿宋_GBK" w:eastAsia="方正仿宋_GBK" w:cs="方正仿宋_GBK"/>
          <w:b w:val="0"/>
          <w:bCs/>
          <w:sz w:val="32"/>
          <w:szCs w:val="32"/>
          <w:shd w:val="clear" w:color="auto" w:fill="FFFFFF"/>
          <w:lang w:eastAsia="zh-CN"/>
        </w:rPr>
        <w:t>2024年</w:t>
      </w:r>
      <w:r>
        <w:rPr>
          <w:rFonts w:ascii="方正仿宋_GBK" w:hAnsi="方正仿宋_GBK" w:eastAsia="方正仿宋_GBK" w:cs="方正仿宋_GBK"/>
          <w:b w:val="0"/>
          <w:bCs/>
          <w:sz w:val="32"/>
          <w:szCs w:val="32"/>
          <w:shd w:val="clear" w:color="auto" w:fill="FFFFFF"/>
        </w:rPr>
        <w:t>度支出合计</w:t>
      </w:r>
      <w:r>
        <w:rPr>
          <w:rFonts w:ascii="方正仿宋_GBK" w:hAnsi="方正仿宋_GBK" w:eastAsia="方正仿宋_GBK" w:cs="方正仿宋_GBK"/>
          <w:b w:val="0"/>
          <w:bCs/>
          <w:sz w:val="32"/>
          <w:szCs w:val="32"/>
        </w:rPr>
        <w:t>2522.95</w:t>
      </w:r>
      <w:r>
        <w:rPr>
          <w:rFonts w:ascii="方正仿宋_GBK" w:hAnsi="方正仿宋_GBK" w:eastAsia="方正仿宋_GBK" w:cs="方正仿宋_GBK"/>
          <w:b w:val="0"/>
          <w:bCs/>
          <w:sz w:val="32"/>
          <w:szCs w:val="32"/>
          <w:shd w:val="clear" w:color="auto" w:fill="FFFFFF"/>
        </w:rPr>
        <w:t>万元，与2023年度相比，增加299.12万元，增长13.5%，主要原因是</w:t>
      </w:r>
      <w:r>
        <w:rPr>
          <w:rFonts w:hint="eastAsia" w:ascii="方正仿宋_GBK" w:hAnsi="方正仿宋_GBK" w:eastAsia="方正仿宋_GBK" w:cs="方正仿宋_GBK"/>
          <w:b w:val="0"/>
          <w:bCs/>
          <w:sz w:val="32"/>
          <w:szCs w:val="32"/>
          <w:shd w:val="clear" w:color="auto" w:fill="FFFFFF"/>
          <w:lang w:val="en-US" w:eastAsia="zh-CN" w:bidi="ar-SA"/>
        </w:rPr>
        <w:t>：</w:t>
      </w:r>
      <w:r>
        <w:rPr>
          <w:rFonts w:hint="eastAsia" w:ascii="方正仿宋_GBK" w:hAnsi="方正仿宋_GBK" w:eastAsia="方正仿宋_GBK" w:cs="方正仿宋_GBK"/>
          <w:b w:val="0"/>
          <w:bCs/>
          <w:color w:val="auto"/>
          <w:sz w:val="32"/>
          <w:szCs w:val="32"/>
          <w:shd w:val="clear" w:color="auto" w:fill="FFFFFF"/>
          <w:lang w:val="en-US" w:eastAsia="zh-CN"/>
        </w:rPr>
        <w:t>因单位绩效工资分配方案变化，2024年发放当年绩效工资比2023年发放当年绩效工资多，因岗位工资及薪级结构调整</w:t>
      </w:r>
      <w:r>
        <w:rPr>
          <w:rFonts w:hint="eastAsia" w:ascii="方正仿宋_GBK" w:hAnsi="方正仿宋_GBK" w:eastAsia="方正仿宋_GBK" w:cs="方正仿宋_GBK"/>
          <w:b w:val="0"/>
          <w:bCs/>
          <w:color w:val="auto"/>
          <w:sz w:val="32"/>
          <w:szCs w:val="32"/>
          <w:shd w:val="clear" w:color="auto" w:fill="FFFFFF"/>
          <w:lang w:val="en-US" w:eastAsia="zh-CN" w:bidi="ar-SA"/>
        </w:rPr>
        <w:t>，</w:t>
      </w:r>
      <w:r>
        <w:rPr>
          <w:rFonts w:hint="eastAsia" w:ascii="方正仿宋_GBK" w:hAnsi="方正仿宋_GBK" w:eastAsia="方正仿宋_GBK" w:cs="方正仿宋_GBK"/>
          <w:b w:val="0"/>
          <w:bCs/>
          <w:color w:val="auto"/>
          <w:sz w:val="32"/>
          <w:szCs w:val="32"/>
          <w:shd w:val="clear" w:color="auto" w:fill="FFFFFF"/>
          <w:lang w:val="en-US" w:eastAsia="zh-CN"/>
        </w:rPr>
        <w:t>基本工资比2023年多发放</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sz w:val="32"/>
          <w:szCs w:val="32"/>
          <w:shd w:val="clear" w:color="auto" w:fill="FFFFFF"/>
        </w:rPr>
        <w:t>其中：基本支出</w:t>
      </w:r>
      <w:r>
        <w:rPr>
          <w:rFonts w:ascii="方正仿宋_GBK" w:hAnsi="方正仿宋_GBK" w:eastAsia="方正仿宋_GBK" w:cs="方正仿宋_GBK"/>
          <w:b w:val="0"/>
          <w:bCs/>
          <w:sz w:val="32"/>
          <w:szCs w:val="32"/>
        </w:rPr>
        <w:t>2369.52</w:t>
      </w:r>
      <w:r>
        <w:rPr>
          <w:rFonts w:ascii="方正仿宋_GBK" w:hAnsi="方正仿宋_GBK" w:eastAsia="方正仿宋_GBK" w:cs="方正仿宋_GBK"/>
          <w:b w:val="0"/>
          <w:bCs/>
          <w:sz w:val="32"/>
          <w:szCs w:val="32"/>
          <w:shd w:val="clear" w:color="auto" w:fill="FFFFFF"/>
        </w:rPr>
        <w:t>万元，占93.9%；项目支出</w:t>
      </w:r>
      <w:r>
        <w:rPr>
          <w:rFonts w:ascii="方正仿宋_GBK" w:hAnsi="方正仿宋_GBK" w:eastAsia="方正仿宋_GBK" w:cs="方正仿宋_GBK"/>
          <w:b w:val="0"/>
          <w:bCs/>
          <w:sz w:val="32"/>
          <w:szCs w:val="32"/>
        </w:rPr>
        <w:t>153.44</w:t>
      </w:r>
      <w:r>
        <w:rPr>
          <w:rFonts w:ascii="方正仿宋_GBK" w:hAnsi="方正仿宋_GBK" w:eastAsia="方正仿宋_GBK" w:cs="方正仿宋_GBK"/>
          <w:b w:val="0"/>
          <w:bCs/>
          <w:sz w:val="32"/>
          <w:szCs w:val="32"/>
          <w:shd w:val="clear" w:color="auto" w:fill="FFFFFF"/>
        </w:rPr>
        <w:t>万元，占6.1%；经营支出</w:t>
      </w:r>
      <w:r>
        <w:rPr>
          <w:rFonts w:ascii="方正仿宋_GBK" w:hAnsi="方正仿宋_GBK" w:eastAsia="方正仿宋_GBK" w:cs="方正仿宋_GBK"/>
          <w:b w:val="0"/>
          <w:bCs/>
          <w:sz w:val="32"/>
          <w:szCs w:val="32"/>
        </w:rPr>
        <w:t>0.00</w:t>
      </w:r>
      <w:r>
        <w:rPr>
          <w:rFonts w:ascii="方正仿宋_GBK" w:hAnsi="方正仿宋_GBK" w:eastAsia="方正仿宋_GBK" w:cs="方正仿宋_GBK"/>
          <w:b w:val="0"/>
          <w:bCs/>
          <w:sz w:val="32"/>
          <w:szCs w:val="32"/>
          <w:shd w:val="clear" w:color="auto" w:fill="FFFFFF"/>
        </w:rPr>
        <w:t>万元，占0.0%。此外，结余分配</w:t>
      </w:r>
      <w:r>
        <w:rPr>
          <w:rFonts w:ascii="方正仿宋_GBK" w:hAnsi="方正仿宋_GBK" w:eastAsia="方正仿宋_GBK" w:cs="方正仿宋_GBK"/>
          <w:b w:val="0"/>
          <w:bCs/>
          <w:sz w:val="32"/>
          <w:szCs w:val="32"/>
        </w:rPr>
        <w:t>0.00</w:t>
      </w:r>
      <w:r>
        <w:rPr>
          <w:rFonts w:ascii="方正仿宋_GBK" w:hAnsi="方正仿宋_GBK" w:eastAsia="方正仿宋_GBK" w:cs="方正仿宋_GBK"/>
          <w:b w:val="0"/>
          <w:bCs/>
          <w:sz w:val="32"/>
          <w:szCs w:val="32"/>
          <w:shd w:val="clear" w:color="auto" w:fill="FFFFFF"/>
        </w:rPr>
        <w:t>万元。</w:t>
      </w:r>
    </w:p>
    <w:p w14:paraId="590154AF">
      <w:pPr>
        <w:pStyle w:val="6"/>
        <w:keepNext w:val="0"/>
        <w:keepLines w:val="0"/>
        <w:pageBreakBefore w:val="0"/>
        <w:kinsoku/>
        <w:wordWrap/>
        <w:overflowPunct/>
        <w:topLinePunct w:val="0"/>
        <w:autoSpaceDN/>
        <w:bidi w:val="0"/>
        <w:adjustRightInd w:val="0"/>
        <w:snapToGrid w:val="0"/>
        <w:spacing w:before="0" w:beforeAutospacing="0" w:after="0" w:afterAutospacing="0" w:line="580" w:lineRule="exact"/>
        <w:ind w:leftChars="0" w:firstLine="640" w:firstLineChars="200"/>
        <w:jc w:val="both"/>
        <w:textAlignment w:val="auto"/>
        <w:rPr>
          <w:rFonts w:hint="default" w:ascii="方正仿宋_GBK" w:hAnsi="方正仿宋_GBK" w:eastAsia="方正仿宋_GBK" w:cs="方正仿宋_GBK"/>
          <w:b w:val="0"/>
          <w:bCs/>
          <w:color w:val="auto"/>
          <w:sz w:val="32"/>
          <w:szCs w:val="32"/>
        </w:rPr>
      </w:pPr>
      <w:r>
        <w:rPr>
          <w:rStyle w:val="10"/>
          <w:rFonts w:ascii="方正仿宋_GBK" w:hAnsi="方正仿宋_GBK" w:eastAsia="方正仿宋_GBK" w:cs="方正仿宋_GBK"/>
          <w:b w:val="0"/>
          <w:bCs/>
          <w:color w:val="auto"/>
          <w:sz w:val="32"/>
          <w:szCs w:val="32"/>
          <w:shd w:val="clear" w:color="auto" w:fill="FFFFFF"/>
        </w:rPr>
        <w:t>4.结转结余情况。</w:t>
      </w:r>
      <w:r>
        <w:rPr>
          <w:rFonts w:hint="eastAsia" w:ascii="方正仿宋_GBK" w:hAnsi="方正仿宋_GBK" w:eastAsia="方正仿宋_GBK" w:cs="方正仿宋_GBK"/>
          <w:b w:val="0"/>
          <w:bCs/>
          <w:color w:val="auto"/>
          <w:sz w:val="32"/>
          <w:szCs w:val="32"/>
          <w:shd w:val="clear" w:color="auto" w:fill="FFFFFF"/>
          <w:lang w:eastAsia="zh-CN"/>
        </w:rPr>
        <w:t>2024年</w:t>
      </w:r>
      <w:r>
        <w:rPr>
          <w:rFonts w:ascii="方正仿宋_GBK" w:hAnsi="方正仿宋_GBK" w:eastAsia="方正仿宋_GBK" w:cs="方正仿宋_GBK"/>
          <w:b w:val="0"/>
          <w:bCs/>
          <w:color w:val="auto"/>
          <w:sz w:val="32"/>
          <w:szCs w:val="32"/>
          <w:shd w:val="clear" w:color="auto" w:fill="FFFFFF"/>
        </w:rPr>
        <w:t>度年末结转和结余</w:t>
      </w:r>
      <w:r>
        <w:rPr>
          <w:rFonts w:ascii="方正仿宋_GBK" w:hAnsi="方正仿宋_GBK" w:eastAsia="方正仿宋_GBK" w:cs="方正仿宋_GBK"/>
          <w:b w:val="0"/>
          <w:bCs/>
          <w:color w:val="auto"/>
          <w:sz w:val="32"/>
          <w:szCs w:val="32"/>
        </w:rPr>
        <w:t>0.00</w:t>
      </w:r>
      <w:r>
        <w:rPr>
          <w:rFonts w:ascii="方正仿宋_GBK" w:hAnsi="方正仿宋_GBK" w:eastAsia="方正仿宋_GBK" w:cs="方正仿宋_GBK"/>
          <w:b w:val="0"/>
          <w:bCs/>
          <w:color w:val="auto"/>
          <w:sz w:val="32"/>
          <w:szCs w:val="32"/>
          <w:shd w:val="clear" w:color="auto" w:fill="FFFFFF"/>
        </w:rPr>
        <w:t>万元，与2023年度相比，减少5.20万元，下降100.0%。</w:t>
      </w:r>
    </w:p>
    <w:p w14:paraId="71B5F0EC">
      <w:pPr>
        <w:pStyle w:val="11"/>
        <w:keepNext w:val="0"/>
        <w:keepLines w:val="0"/>
        <w:pageBreakBefore w:val="0"/>
        <w:kinsoku/>
        <w:wordWrap/>
        <w:overflowPunct/>
        <w:topLinePunct w:val="0"/>
        <w:autoSpaceDE w:val="0"/>
        <w:autoSpaceDN/>
        <w:bidi w:val="0"/>
        <w:adjustRightInd w:val="0"/>
        <w:snapToGrid w:val="0"/>
        <w:spacing w:beforeAutospacing="0" w:afterAutospacing="0" w:line="580" w:lineRule="exact"/>
        <w:ind w:leftChars="0" w:firstLine="643"/>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（二）财政拨款收入支出决算总体情况说明</w:t>
      </w:r>
    </w:p>
    <w:p w14:paraId="6F1C3384">
      <w:pPr>
        <w:pStyle w:val="6"/>
        <w:keepNext w:val="0"/>
        <w:keepLines w:val="0"/>
        <w:pageBreakBefore w:val="0"/>
        <w:kinsoku/>
        <w:wordWrap/>
        <w:overflowPunct/>
        <w:topLinePunct w:val="0"/>
        <w:autoSpaceDN/>
        <w:bidi w:val="0"/>
        <w:adjustRightInd w:val="0"/>
        <w:snapToGrid w:val="0"/>
        <w:spacing w:before="0" w:beforeAutospacing="0" w:after="0" w:afterAutospacing="0" w:line="580" w:lineRule="exact"/>
        <w:ind w:leftChars="0"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sz w:val="32"/>
          <w:szCs w:val="32"/>
          <w:shd w:val="clear" w:color="auto" w:fill="FFFFFF"/>
          <w:lang w:eastAsia="zh-CN"/>
        </w:rPr>
        <w:t>2024年</w:t>
      </w:r>
      <w:r>
        <w:rPr>
          <w:rFonts w:ascii="方正仿宋_GBK" w:hAnsi="方正仿宋_GBK" w:eastAsia="方正仿宋_GBK" w:cs="方正仿宋_GBK"/>
          <w:b w:val="0"/>
          <w:bCs/>
          <w:color w:val="auto"/>
          <w:sz w:val="32"/>
          <w:szCs w:val="32"/>
          <w:shd w:val="clear" w:color="auto" w:fill="FFFFFF"/>
        </w:rPr>
        <w:t>度财政拨款收、支总计1347.70万元。与202</w:t>
      </w:r>
      <w:r>
        <w:rPr>
          <w:rFonts w:hint="eastAsia" w:ascii="方正仿宋_GBK" w:hAnsi="方正仿宋_GBK" w:eastAsia="方正仿宋_GBK" w:cs="方正仿宋_GBK"/>
          <w:b w:val="0"/>
          <w:bCs/>
          <w:color w:val="auto"/>
          <w:sz w:val="32"/>
          <w:szCs w:val="32"/>
          <w:shd w:val="clear" w:color="auto" w:fill="FFFFFF"/>
          <w:lang w:val="en-US" w:eastAsia="zh-CN"/>
        </w:rPr>
        <w:t>3</w:t>
      </w:r>
      <w:r>
        <w:rPr>
          <w:rFonts w:ascii="方正仿宋_GBK" w:hAnsi="方正仿宋_GBK" w:eastAsia="方正仿宋_GBK" w:cs="方正仿宋_GBK"/>
          <w:b w:val="0"/>
          <w:bCs/>
          <w:color w:val="auto"/>
          <w:sz w:val="32"/>
          <w:szCs w:val="32"/>
          <w:shd w:val="clear" w:color="auto" w:fill="FFFFFF"/>
        </w:rPr>
        <w:t>年相比，财政拨款收、支总计各增加167.29万元，增长14.2%。主要原因</w:t>
      </w:r>
      <w:r>
        <w:rPr>
          <w:rFonts w:hint="eastAsia" w:ascii="方正仿宋_GBK" w:hAnsi="方正仿宋_GBK" w:eastAsia="方正仿宋_GBK" w:cs="方正仿宋_GBK"/>
          <w:b w:val="0"/>
          <w:bCs/>
          <w:color w:val="auto"/>
          <w:sz w:val="32"/>
          <w:szCs w:val="32"/>
          <w:shd w:val="clear" w:color="auto" w:fill="FFFFFF"/>
          <w:lang w:val="en-US" w:eastAsia="zh-CN" w:bidi="ar-SA"/>
        </w:rPr>
        <w:t>：</w:t>
      </w:r>
      <w:r>
        <w:rPr>
          <w:rFonts w:hint="eastAsia" w:ascii="方正仿宋_GBK" w:hAnsi="方正仿宋_GBK" w:eastAsia="方正仿宋_GBK" w:cs="方正仿宋_GBK"/>
          <w:b w:val="0"/>
          <w:bCs/>
          <w:color w:val="auto"/>
          <w:sz w:val="32"/>
          <w:szCs w:val="32"/>
          <w:shd w:val="clear" w:color="auto" w:fill="FFFFFF"/>
          <w:lang w:val="en-US" w:eastAsia="zh-CN"/>
        </w:rPr>
        <w:t>一</w:t>
      </w:r>
      <w:r>
        <w:rPr>
          <w:rFonts w:ascii="方正仿宋_GBK" w:hAnsi="方正仿宋_GBK" w:eastAsia="方正仿宋_GBK" w:cs="方正仿宋_GBK"/>
          <w:b w:val="0"/>
          <w:bCs/>
          <w:color w:val="auto"/>
          <w:sz w:val="32"/>
          <w:szCs w:val="32"/>
          <w:shd w:val="clear" w:color="auto" w:fill="FFFFFF"/>
        </w:rPr>
        <w:t>是</w:t>
      </w:r>
      <w:r>
        <w:rPr>
          <w:rFonts w:hint="eastAsia" w:ascii="方正仿宋_GBK" w:hAnsi="方正仿宋_GBK" w:eastAsia="方正仿宋_GBK" w:cs="方正仿宋_GBK"/>
          <w:b w:val="0"/>
          <w:bCs/>
          <w:color w:val="auto"/>
          <w:sz w:val="32"/>
          <w:szCs w:val="32"/>
          <w:shd w:val="clear" w:color="auto" w:fill="FFFFFF"/>
          <w:lang w:val="en-US" w:eastAsia="zh-CN"/>
        </w:rPr>
        <w:t>社保基数调整，二是2024年基本公共卫生拨款列入财政项目资金，2023年基本公共卫生拨款未列入财政拨款项目资金</w:t>
      </w:r>
      <w:r>
        <w:rPr>
          <w:rFonts w:ascii="方正仿宋_GBK" w:hAnsi="方正仿宋_GBK" w:eastAsia="方正仿宋_GBK" w:cs="方正仿宋_GBK"/>
          <w:b w:val="0"/>
          <w:bCs/>
          <w:color w:val="auto"/>
          <w:sz w:val="32"/>
          <w:szCs w:val="32"/>
          <w:shd w:val="clear" w:color="auto" w:fill="FFFFFF"/>
        </w:rPr>
        <w:t>。</w:t>
      </w:r>
    </w:p>
    <w:p w14:paraId="6B1DB892">
      <w:pPr>
        <w:pStyle w:val="11"/>
        <w:keepNext w:val="0"/>
        <w:keepLines w:val="0"/>
        <w:pageBreakBefore w:val="0"/>
        <w:kinsoku/>
        <w:wordWrap/>
        <w:overflowPunct/>
        <w:topLinePunct w:val="0"/>
        <w:autoSpaceDE w:val="0"/>
        <w:autoSpaceDN/>
        <w:bidi w:val="0"/>
        <w:adjustRightInd w:val="0"/>
        <w:snapToGrid w:val="0"/>
        <w:spacing w:beforeAutospacing="0" w:afterAutospacing="0" w:line="580" w:lineRule="exact"/>
        <w:ind w:leftChars="0" w:firstLine="643"/>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（三）一般公共预算财政拨款收入支出决算情况说明</w:t>
      </w:r>
    </w:p>
    <w:p w14:paraId="70F925C7">
      <w:pPr>
        <w:pStyle w:val="6"/>
        <w:keepNext w:val="0"/>
        <w:keepLines w:val="0"/>
        <w:pageBreakBefore w:val="0"/>
        <w:kinsoku/>
        <w:wordWrap/>
        <w:overflowPunct/>
        <w:topLinePunct w:val="0"/>
        <w:autoSpaceDN/>
        <w:bidi w:val="0"/>
        <w:adjustRightInd w:val="0"/>
        <w:snapToGrid w:val="0"/>
        <w:spacing w:before="0" w:beforeAutospacing="0" w:after="0" w:afterAutospacing="0" w:line="580" w:lineRule="exact"/>
        <w:ind w:leftChars="0" w:firstLine="640" w:firstLineChars="200"/>
        <w:jc w:val="both"/>
        <w:textAlignment w:val="auto"/>
        <w:rPr>
          <w:rFonts w:hint="default" w:ascii="方正仿宋_GBK" w:hAnsi="方正仿宋_GBK" w:eastAsia="方正仿宋_GBK" w:cs="方正仿宋_GBK"/>
          <w:b w:val="0"/>
          <w:bCs/>
          <w:color w:val="auto"/>
          <w:sz w:val="32"/>
          <w:szCs w:val="32"/>
        </w:rPr>
      </w:pPr>
      <w:r>
        <w:rPr>
          <w:rStyle w:val="10"/>
          <w:rFonts w:ascii="方正仿宋_GBK" w:hAnsi="方正仿宋_GBK" w:eastAsia="方正仿宋_GBK" w:cs="方正仿宋_GBK"/>
          <w:b w:val="0"/>
          <w:bCs/>
          <w:color w:val="auto"/>
          <w:sz w:val="32"/>
          <w:szCs w:val="32"/>
          <w:shd w:val="clear" w:color="auto" w:fill="FFFFFF"/>
        </w:rPr>
        <w:t>1.收入情况。</w:t>
      </w:r>
      <w:r>
        <w:rPr>
          <w:rFonts w:hint="eastAsia" w:ascii="方正仿宋_GBK" w:hAnsi="方正仿宋_GBK" w:eastAsia="方正仿宋_GBK" w:cs="方正仿宋_GBK"/>
          <w:b w:val="0"/>
          <w:bCs/>
          <w:color w:val="auto"/>
          <w:sz w:val="32"/>
          <w:szCs w:val="32"/>
          <w:shd w:val="clear" w:color="auto" w:fill="FFFFFF"/>
          <w:lang w:eastAsia="zh-CN"/>
        </w:rPr>
        <w:t>2024年</w:t>
      </w:r>
      <w:r>
        <w:rPr>
          <w:rFonts w:ascii="方正仿宋_GBK" w:hAnsi="方正仿宋_GBK" w:eastAsia="方正仿宋_GBK" w:cs="方正仿宋_GBK"/>
          <w:b w:val="0"/>
          <w:bCs/>
          <w:color w:val="auto"/>
          <w:sz w:val="32"/>
          <w:szCs w:val="32"/>
          <w:shd w:val="clear" w:color="auto" w:fill="FFFFFF"/>
        </w:rPr>
        <w:t>度一般公共预算财政拨款收入</w:t>
      </w:r>
      <w:r>
        <w:rPr>
          <w:rFonts w:ascii="方正仿宋_GBK" w:hAnsi="方正仿宋_GBK" w:eastAsia="方正仿宋_GBK" w:cs="方正仿宋_GBK"/>
          <w:b w:val="0"/>
          <w:bCs/>
          <w:color w:val="auto"/>
          <w:sz w:val="32"/>
          <w:szCs w:val="32"/>
        </w:rPr>
        <w:t>1342.50</w:t>
      </w:r>
      <w:r>
        <w:rPr>
          <w:rFonts w:ascii="方正仿宋_GBK" w:hAnsi="方正仿宋_GBK" w:eastAsia="方正仿宋_GBK" w:cs="方正仿宋_GBK"/>
          <w:b w:val="0"/>
          <w:bCs/>
          <w:color w:val="auto"/>
          <w:sz w:val="32"/>
          <w:szCs w:val="32"/>
          <w:shd w:val="clear" w:color="auto" w:fill="FFFFFF"/>
        </w:rPr>
        <w:t>万元，与2023年度相比，增加271.36万元，增长25.3%。主要原因</w:t>
      </w:r>
      <w:r>
        <w:rPr>
          <w:rFonts w:hint="eastAsia" w:ascii="方正仿宋_GBK" w:hAnsi="方正仿宋_GBK" w:eastAsia="方正仿宋_GBK" w:cs="方正仿宋_GBK"/>
          <w:b w:val="0"/>
          <w:bCs/>
          <w:color w:val="auto"/>
          <w:sz w:val="32"/>
          <w:szCs w:val="32"/>
          <w:shd w:val="clear" w:color="auto" w:fill="FFFFFF"/>
          <w:lang w:eastAsia="zh-CN"/>
        </w:rPr>
        <w:t>：</w:t>
      </w:r>
      <w:r>
        <w:rPr>
          <w:rFonts w:hint="eastAsia" w:ascii="方正仿宋_GBK" w:hAnsi="方正仿宋_GBK" w:eastAsia="方正仿宋_GBK" w:cs="方正仿宋_GBK"/>
          <w:b w:val="0"/>
          <w:bCs/>
          <w:color w:val="auto"/>
          <w:sz w:val="32"/>
          <w:szCs w:val="32"/>
          <w:shd w:val="clear" w:color="auto" w:fill="FFFFFF"/>
          <w:lang w:val="en-US" w:eastAsia="zh-CN"/>
        </w:rPr>
        <w:t>一</w:t>
      </w:r>
      <w:r>
        <w:rPr>
          <w:rFonts w:ascii="方正仿宋_GBK" w:hAnsi="方正仿宋_GBK" w:eastAsia="方正仿宋_GBK" w:cs="方正仿宋_GBK"/>
          <w:b w:val="0"/>
          <w:bCs/>
          <w:color w:val="auto"/>
          <w:sz w:val="32"/>
          <w:szCs w:val="32"/>
          <w:shd w:val="clear" w:color="auto" w:fill="FFFFFF"/>
        </w:rPr>
        <w:t>是</w:t>
      </w:r>
      <w:r>
        <w:rPr>
          <w:rFonts w:hint="eastAsia" w:ascii="方正仿宋_GBK" w:hAnsi="方正仿宋_GBK" w:eastAsia="方正仿宋_GBK" w:cs="方正仿宋_GBK"/>
          <w:b w:val="0"/>
          <w:bCs/>
          <w:color w:val="auto"/>
          <w:sz w:val="32"/>
          <w:szCs w:val="32"/>
          <w:shd w:val="clear" w:color="auto" w:fill="FFFFFF"/>
          <w:lang w:val="en-US" w:eastAsia="zh-CN"/>
        </w:rPr>
        <w:t>社保基数调整，二是2024年基本公共卫生拨款列入财政项目资金，2023年基本公共卫生拨款未列入财政拨款项目资金</w:t>
      </w:r>
      <w:r>
        <w:rPr>
          <w:rFonts w:ascii="方正仿宋_GBK" w:hAnsi="方正仿宋_GBK" w:eastAsia="方正仿宋_GBK" w:cs="方正仿宋_GBK"/>
          <w:b w:val="0"/>
          <w:bCs/>
          <w:color w:val="auto"/>
          <w:sz w:val="32"/>
          <w:szCs w:val="32"/>
          <w:shd w:val="clear" w:color="auto" w:fill="FFFFFF"/>
        </w:rPr>
        <w:t>。较年初预算数增加113.50万元，增长9.2%。主要原因是</w:t>
      </w:r>
      <w:r>
        <w:rPr>
          <w:rFonts w:hint="eastAsia" w:ascii="方正仿宋_GBK" w:hAnsi="方正仿宋_GBK" w:eastAsia="方正仿宋_GBK" w:cs="方正仿宋_GBK"/>
          <w:b w:val="0"/>
          <w:bCs/>
          <w:color w:val="auto"/>
          <w:sz w:val="32"/>
          <w:szCs w:val="32"/>
          <w:shd w:val="clear" w:color="auto" w:fill="FFFFFF"/>
          <w:lang w:val="en-US" w:eastAsia="zh-CN"/>
        </w:rPr>
        <w:t>社保基数调整</w:t>
      </w:r>
      <w:r>
        <w:rPr>
          <w:rFonts w:ascii="方正仿宋_GBK" w:hAnsi="方正仿宋_GBK" w:eastAsia="方正仿宋_GBK" w:cs="方正仿宋_GBK"/>
          <w:b w:val="0"/>
          <w:bCs/>
          <w:color w:val="auto"/>
          <w:sz w:val="32"/>
          <w:szCs w:val="32"/>
          <w:shd w:val="clear" w:color="auto" w:fill="FFFFFF"/>
        </w:rPr>
        <w:t>。此外，年初财政拨款结转和结余</w:t>
      </w:r>
      <w:r>
        <w:rPr>
          <w:rFonts w:ascii="方正仿宋_GBK" w:hAnsi="方正仿宋_GBK" w:eastAsia="方正仿宋_GBK" w:cs="方正仿宋_GBK"/>
          <w:b w:val="0"/>
          <w:bCs/>
          <w:color w:val="auto"/>
          <w:sz w:val="32"/>
          <w:szCs w:val="32"/>
        </w:rPr>
        <w:t>5.20</w:t>
      </w:r>
      <w:r>
        <w:rPr>
          <w:rFonts w:ascii="方正仿宋_GBK" w:hAnsi="方正仿宋_GBK" w:eastAsia="方正仿宋_GBK" w:cs="方正仿宋_GBK"/>
          <w:b w:val="0"/>
          <w:bCs/>
          <w:color w:val="auto"/>
          <w:sz w:val="32"/>
          <w:szCs w:val="32"/>
          <w:shd w:val="clear" w:color="auto" w:fill="FFFFFF"/>
        </w:rPr>
        <w:t>万元。</w:t>
      </w:r>
    </w:p>
    <w:p w14:paraId="1ABE9B40">
      <w:pPr>
        <w:pStyle w:val="6"/>
        <w:keepNext w:val="0"/>
        <w:keepLines w:val="0"/>
        <w:pageBreakBefore w:val="0"/>
        <w:kinsoku/>
        <w:wordWrap/>
        <w:overflowPunct/>
        <w:topLinePunct w:val="0"/>
        <w:autoSpaceDN/>
        <w:bidi w:val="0"/>
        <w:adjustRightInd w:val="0"/>
        <w:snapToGrid w:val="0"/>
        <w:spacing w:before="0" w:beforeAutospacing="0" w:after="0" w:afterAutospacing="0" w:line="580" w:lineRule="exact"/>
        <w:ind w:leftChars="0" w:firstLine="640" w:firstLineChars="200"/>
        <w:jc w:val="both"/>
        <w:textAlignment w:val="auto"/>
        <w:rPr>
          <w:rFonts w:hint="default" w:ascii="方正仿宋_GBK" w:hAnsi="方正仿宋_GBK" w:eastAsia="方正仿宋_GBK" w:cs="方正仿宋_GBK"/>
          <w:b w:val="0"/>
          <w:bCs/>
          <w:color w:val="auto"/>
          <w:sz w:val="32"/>
          <w:szCs w:val="32"/>
        </w:rPr>
      </w:pPr>
      <w:r>
        <w:rPr>
          <w:rStyle w:val="10"/>
          <w:rFonts w:ascii="方正仿宋_GBK" w:hAnsi="方正仿宋_GBK" w:eastAsia="方正仿宋_GBK" w:cs="方正仿宋_GBK"/>
          <w:b w:val="0"/>
          <w:bCs/>
          <w:color w:val="auto"/>
          <w:sz w:val="32"/>
          <w:szCs w:val="32"/>
          <w:shd w:val="clear" w:color="auto" w:fill="FFFFFF"/>
        </w:rPr>
        <w:t>2.支出情况。</w:t>
      </w:r>
      <w:r>
        <w:rPr>
          <w:rFonts w:hint="eastAsia" w:ascii="方正仿宋_GBK" w:hAnsi="方正仿宋_GBK" w:eastAsia="方正仿宋_GBK" w:cs="方正仿宋_GBK"/>
          <w:b w:val="0"/>
          <w:bCs/>
          <w:color w:val="auto"/>
          <w:sz w:val="32"/>
          <w:szCs w:val="32"/>
          <w:shd w:val="clear" w:color="auto" w:fill="FFFFFF"/>
          <w:lang w:eastAsia="zh-CN"/>
        </w:rPr>
        <w:t>2024年</w:t>
      </w:r>
      <w:r>
        <w:rPr>
          <w:rFonts w:ascii="方正仿宋_GBK" w:hAnsi="方正仿宋_GBK" w:eastAsia="方正仿宋_GBK" w:cs="方正仿宋_GBK"/>
          <w:b w:val="0"/>
          <w:bCs/>
          <w:color w:val="auto"/>
          <w:sz w:val="32"/>
          <w:szCs w:val="32"/>
          <w:shd w:val="clear" w:color="auto" w:fill="FFFFFF"/>
        </w:rPr>
        <w:t>度一般公共预算财政拨款支出</w:t>
      </w:r>
      <w:r>
        <w:rPr>
          <w:rFonts w:ascii="方正仿宋_GBK" w:hAnsi="方正仿宋_GBK" w:eastAsia="方正仿宋_GBK" w:cs="方正仿宋_GBK"/>
          <w:b w:val="0"/>
          <w:bCs/>
          <w:color w:val="auto"/>
          <w:sz w:val="32"/>
          <w:szCs w:val="32"/>
        </w:rPr>
        <w:t>1347.70</w:t>
      </w:r>
      <w:r>
        <w:rPr>
          <w:rFonts w:ascii="方正仿宋_GBK" w:hAnsi="方正仿宋_GBK" w:eastAsia="方正仿宋_GBK" w:cs="方正仿宋_GBK"/>
          <w:b w:val="0"/>
          <w:bCs/>
          <w:color w:val="auto"/>
          <w:sz w:val="32"/>
          <w:szCs w:val="32"/>
          <w:shd w:val="clear" w:color="auto" w:fill="FFFFFF"/>
        </w:rPr>
        <w:t>万元，与2023年度相比，增加226.81万元，增长20.2%。主要原因</w:t>
      </w:r>
      <w:r>
        <w:rPr>
          <w:rFonts w:hint="eastAsia" w:ascii="方正仿宋_GBK" w:hAnsi="方正仿宋_GBK" w:eastAsia="方正仿宋_GBK" w:cs="方正仿宋_GBK"/>
          <w:b w:val="0"/>
          <w:bCs/>
          <w:color w:val="auto"/>
          <w:sz w:val="32"/>
          <w:szCs w:val="32"/>
          <w:shd w:val="clear" w:color="auto" w:fill="FFFFFF"/>
          <w:lang w:eastAsia="zh-CN"/>
        </w:rPr>
        <w:t>：</w:t>
      </w:r>
      <w:r>
        <w:rPr>
          <w:rFonts w:hint="eastAsia" w:ascii="方正仿宋_GBK" w:hAnsi="方正仿宋_GBK" w:eastAsia="方正仿宋_GBK" w:cs="方正仿宋_GBK"/>
          <w:b w:val="0"/>
          <w:bCs/>
          <w:color w:val="auto"/>
          <w:sz w:val="32"/>
          <w:szCs w:val="32"/>
          <w:shd w:val="clear" w:color="auto" w:fill="FFFFFF"/>
          <w:lang w:val="en-US" w:eastAsia="zh-CN"/>
        </w:rPr>
        <w:t>一</w:t>
      </w:r>
      <w:r>
        <w:rPr>
          <w:rFonts w:ascii="方正仿宋_GBK" w:hAnsi="方正仿宋_GBK" w:eastAsia="方正仿宋_GBK" w:cs="方正仿宋_GBK"/>
          <w:b w:val="0"/>
          <w:bCs/>
          <w:color w:val="auto"/>
          <w:sz w:val="32"/>
          <w:szCs w:val="32"/>
          <w:shd w:val="clear" w:color="auto" w:fill="FFFFFF"/>
        </w:rPr>
        <w:t>是</w:t>
      </w:r>
      <w:r>
        <w:rPr>
          <w:rFonts w:hint="eastAsia" w:ascii="方正仿宋_GBK" w:hAnsi="方正仿宋_GBK" w:eastAsia="方正仿宋_GBK" w:cs="方正仿宋_GBK"/>
          <w:b w:val="0"/>
          <w:bCs/>
          <w:color w:val="auto"/>
          <w:sz w:val="32"/>
          <w:szCs w:val="32"/>
          <w:shd w:val="clear" w:color="auto" w:fill="FFFFFF"/>
          <w:lang w:val="en-US" w:eastAsia="zh-CN"/>
        </w:rPr>
        <w:t>社保基数调整，二是2024年基本公共卫生拨款列入财政项目资金，2023年基本公共卫生拨款未列入财政拨款项目资金</w:t>
      </w:r>
      <w:r>
        <w:rPr>
          <w:rFonts w:ascii="方正仿宋_GBK" w:hAnsi="方正仿宋_GBK" w:eastAsia="方正仿宋_GBK" w:cs="方正仿宋_GBK"/>
          <w:b w:val="0"/>
          <w:bCs/>
          <w:color w:val="auto"/>
          <w:sz w:val="32"/>
          <w:szCs w:val="32"/>
          <w:shd w:val="clear" w:color="auto" w:fill="FFFFFF"/>
        </w:rPr>
        <w:t>。较年初预算数增加118.70万元，增长9.7%。主要原因是</w:t>
      </w:r>
      <w:r>
        <w:rPr>
          <w:rFonts w:hint="eastAsia" w:ascii="方正仿宋_GBK" w:hAnsi="方正仿宋_GBK" w:eastAsia="方正仿宋_GBK" w:cs="方正仿宋_GBK"/>
          <w:b w:val="0"/>
          <w:bCs/>
          <w:color w:val="auto"/>
          <w:sz w:val="32"/>
          <w:szCs w:val="32"/>
          <w:shd w:val="clear" w:color="auto" w:fill="FFFFFF"/>
          <w:lang w:val="en-US" w:eastAsia="zh-CN"/>
        </w:rPr>
        <w:t>社保基数调整，人员变动，2024年基本公共卫生拨款列入财政项目资金，2023年基本公共卫生拨款未列入财政拨款项目资金</w:t>
      </w:r>
      <w:r>
        <w:rPr>
          <w:rFonts w:ascii="方正仿宋_GBK" w:hAnsi="方正仿宋_GBK" w:eastAsia="方正仿宋_GBK" w:cs="方正仿宋_GBK"/>
          <w:b w:val="0"/>
          <w:bCs/>
          <w:color w:val="auto"/>
          <w:sz w:val="32"/>
          <w:szCs w:val="32"/>
          <w:shd w:val="clear" w:color="auto" w:fill="FFFFFF"/>
        </w:rPr>
        <w:t>。</w:t>
      </w:r>
    </w:p>
    <w:p w14:paraId="737D7F42">
      <w:pPr>
        <w:pStyle w:val="6"/>
        <w:keepNext w:val="0"/>
        <w:keepLines w:val="0"/>
        <w:pageBreakBefore w:val="0"/>
        <w:kinsoku/>
        <w:wordWrap/>
        <w:overflowPunct/>
        <w:topLinePunct w:val="0"/>
        <w:autoSpaceDN/>
        <w:bidi w:val="0"/>
        <w:adjustRightInd w:val="0"/>
        <w:snapToGrid w:val="0"/>
        <w:spacing w:before="0" w:beforeAutospacing="0" w:after="0" w:afterAutospacing="0" w:line="580" w:lineRule="exact"/>
        <w:ind w:leftChars="0" w:firstLine="640" w:firstLineChars="200"/>
        <w:jc w:val="both"/>
        <w:textAlignment w:val="auto"/>
        <w:rPr>
          <w:rFonts w:hint="default" w:ascii="方正仿宋_GBK" w:hAnsi="方正仿宋_GBK" w:eastAsia="方正仿宋_GBK" w:cs="方正仿宋_GBK"/>
          <w:b w:val="0"/>
          <w:bCs/>
          <w:color w:val="auto"/>
          <w:sz w:val="32"/>
          <w:szCs w:val="32"/>
        </w:rPr>
      </w:pPr>
      <w:r>
        <w:rPr>
          <w:rStyle w:val="10"/>
          <w:rFonts w:ascii="方正仿宋_GBK" w:hAnsi="方正仿宋_GBK" w:eastAsia="方正仿宋_GBK" w:cs="方正仿宋_GBK"/>
          <w:b w:val="0"/>
          <w:bCs/>
          <w:color w:val="auto"/>
          <w:sz w:val="32"/>
          <w:szCs w:val="32"/>
          <w:shd w:val="clear" w:color="auto" w:fill="FFFFFF"/>
        </w:rPr>
        <w:t>3.结转结余情况。</w:t>
      </w:r>
      <w:r>
        <w:rPr>
          <w:rFonts w:hint="eastAsia" w:ascii="方正仿宋_GBK" w:hAnsi="方正仿宋_GBK" w:eastAsia="方正仿宋_GBK" w:cs="方正仿宋_GBK"/>
          <w:b w:val="0"/>
          <w:bCs/>
          <w:color w:val="auto"/>
          <w:sz w:val="32"/>
          <w:szCs w:val="32"/>
          <w:shd w:val="clear" w:color="auto" w:fill="FFFFFF"/>
          <w:lang w:eastAsia="zh-CN"/>
        </w:rPr>
        <w:t>2024年</w:t>
      </w:r>
      <w:r>
        <w:rPr>
          <w:rFonts w:ascii="方正仿宋_GBK" w:hAnsi="方正仿宋_GBK" w:eastAsia="方正仿宋_GBK" w:cs="方正仿宋_GBK"/>
          <w:b w:val="0"/>
          <w:bCs/>
          <w:color w:val="auto"/>
          <w:sz w:val="32"/>
          <w:szCs w:val="32"/>
          <w:shd w:val="clear" w:color="auto" w:fill="FFFFFF"/>
        </w:rPr>
        <w:t>度年末一般公共预算财政拨款结转和结余</w:t>
      </w:r>
      <w:r>
        <w:rPr>
          <w:rFonts w:ascii="方正仿宋_GBK" w:hAnsi="方正仿宋_GBK" w:eastAsia="方正仿宋_GBK" w:cs="方正仿宋_GBK"/>
          <w:b w:val="0"/>
          <w:bCs/>
          <w:color w:val="auto"/>
          <w:sz w:val="32"/>
          <w:szCs w:val="32"/>
        </w:rPr>
        <w:t>0.00</w:t>
      </w:r>
      <w:r>
        <w:rPr>
          <w:rFonts w:ascii="方正仿宋_GBK" w:hAnsi="方正仿宋_GBK" w:eastAsia="方正仿宋_GBK" w:cs="方正仿宋_GBK"/>
          <w:b w:val="0"/>
          <w:bCs/>
          <w:color w:val="auto"/>
          <w:sz w:val="32"/>
          <w:szCs w:val="32"/>
          <w:shd w:val="clear" w:color="auto" w:fill="FFFFFF"/>
        </w:rPr>
        <w:t>万元，与2023年度相比，减少5.20万元，下降100.0%。</w:t>
      </w:r>
    </w:p>
    <w:p w14:paraId="08413E78">
      <w:pPr>
        <w:pStyle w:val="6"/>
        <w:keepNext w:val="0"/>
        <w:keepLines w:val="0"/>
        <w:pageBreakBefore w:val="0"/>
        <w:kinsoku/>
        <w:wordWrap/>
        <w:overflowPunct/>
        <w:topLinePunct w:val="0"/>
        <w:autoSpaceDN/>
        <w:bidi w:val="0"/>
        <w:adjustRightInd w:val="0"/>
        <w:snapToGrid w:val="0"/>
        <w:spacing w:before="0" w:beforeAutospacing="0" w:after="0" w:afterAutospacing="0" w:line="580" w:lineRule="exact"/>
        <w:ind w:leftChars="0" w:firstLine="640" w:firstLineChars="200"/>
        <w:jc w:val="both"/>
        <w:textAlignment w:val="auto"/>
        <w:rPr>
          <w:rFonts w:hint="default" w:ascii="方正仿宋_GBK" w:hAnsi="方正仿宋_GBK" w:eastAsia="方正仿宋_GBK" w:cs="方正仿宋_GBK"/>
          <w:b w:val="0"/>
          <w:bCs/>
          <w:color w:val="auto"/>
          <w:sz w:val="32"/>
          <w:szCs w:val="32"/>
          <w:highlight w:val="cyan"/>
          <w:shd w:val="clear" w:color="auto" w:fill="FFFFFF"/>
        </w:rPr>
      </w:pPr>
      <w:r>
        <w:rPr>
          <w:rStyle w:val="10"/>
          <w:rFonts w:ascii="方正仿宋_GBK" w:hAnsi="方正仿宋_GBK" w:eastAsia="方正仿宋_GBK" w:cs="方正仿宋_GBK"/>
          <w:b w:val="0"/>
          <w:bCs/>
          <w:color w:val="auto"/>
          <w:sz w:val="32"/>
          <w:szCs w:val="32"/>
          <w:shd w:val="clear" w:color="auto" w:fill="FFFFFF"/>
        </w:rPr>
        <w:t xml:space="preserve"> 4.比较情况。</w:t>
      </w:r>
      <w:r>
        <w:rPr>
          <w:rFonts w:ascii="方正仿宋_GBK" w:hAnsi="方正仿宋_GBK" w:eastAsia="方正仿宋_GBK" w:cs="方正仿宋_GBK"/>
          <w:b w:val="0"/>
          <w:bCs/>
          <w:color w:val="auto"/>
          <w:sz w:val="32"/>
          <w:szCs w:val="32"/>
          <w:shd w:val="clear" w:color="auto" w:fill="FFFFFF"/>
        </w:rPr>
        <w:t>本单位</w:t>
      </w:r>
      <w:r>
        <w:rPr>
          <w:rFonts w:hint="eastAsia" w:ascii="方正仿宋_GBK" w:hAnsi="方正仿宋_GBK" w:eastAsia="方正仿宋_GBK" w:cs="方正仿宋_GBK"/>
          <w:b w:val="0"/>
          <w:bCs/>
          <w:color w:val="auto"/>
          <w:sz w:val="32"/>
          <w:szCs w:val="32"/>
          <w:shd w:val="clear" w:color="auto" w:fill="FFFFFF"/>
          <w:lang w:eastAsia="zh-CN"/>
        </w:rPr>
        <w:t>2024年</w:t>
      </w:r>
      <w:r>
        <w:rPr>
          <w:rFonts w:ascii="方正仿宋_GBK" w:hAnsi="方正仿宋_GBK" w:eastAsia="方正仿宋_GBK" w:cs="方正仿宋_GBK"/>
          <w:b w:val="0"/>
          <w:bCs/>
          <w:color w:val="auto"/>
          <w:sz w:val="32"/>
          <w:szCs w:val="32"/>
          <w:shd w:val="clear" w:color="auto" w:fill="FFFFFF"/>
        </w:rPr>
        <w:t>度一般公共预算财政拨款支出主要用于以下几个方面：</w:t>
      </w:r>
    </w:p>
    <w:p w14:paraId="492747D7">
      <w:pPr>
        <w:pStyle w:val="6"/>
        <w:keepNext w:val="0"/>
        <w:keepLines w:val="0"/>
        <w:pageBreakBefore w:val="0"/>
        <w:kinsoku/>
        <w:wordWrap/>
        <w:overflowPunct/>
        <w:topLinePunct w:val="0"/>
        <w:autoSpaceDN/>
        <w:bidi w:val="0"/>
        <w:adjustRightInd w:val="0"/>
        <w:snapToGrid w:val="0"/>
        <w:spacing w:before="0" w:beforeAutospacing="0" w:after="0" w:afterAutospacing="0" w:line="580" w:lineRule="exact"/>
        <w:ind w:leftChars="0"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w:t>
      </w:r>
      <w:r>
        <w:rPr>
          <w:rFonts w:hint="eastAsia" w:ascii="方正仿宋_GBK" w:hAnsi="方正仿宋_GBK" w:eastAsia="方正仿宋_GBK" w:cs="方正仿宋_GBK"/>
          <w:b w:val="0"/>
          <w:bCs/>
          <w:color w:val="auto"/>
          <w:sz w:val="32"/>
          <w:szCs w:val="32"/>
          <w:shd w:val="clear" w:color="auto" w:fill="FFFFFF"/>
          <w:lang w:val="en-US" w:eastAsia="zh-CN"/>
        </w:rPr>
        <w:t>1</w:t>
      </w:r>
      <w:r>
        <w:rPr>
          <w:rFonts w:ascii="方正仿宋_GBK" w:hAnsi="方正仿宋_GBK" w:eastAsia="方正仿宋_GBK" w:cs="方正仿宋_GBK"/>
          <w:b w:val="0"/>
          <w:bCs/>
          <w:color w:val="auto"/>
          <w:sz w:val="32"/>
          <w:szCs w:val="32"/>
          <w:shd w:val="clear" w:color="auto" w:fill="FFFFFF"/>
        </w:rPr>
        <w:t>）社会</w:t>
      </w:r>
      <w:r>
        <w:rPr>
          <w:rFonts w:ascii="方正仿宋_GBK" w:hAnsi="方正仿宋_GBK" w:eastAsia="方正仿宋_GBK" w:cs="方正仿宋_GBK"/>
          <w:b w:val="0"/>
          <w:bCs/>
          <w:color w:val="auto"/>
          <w:sz w:val="32"/>
          <w:szCs w:val="32"/>
          <w:highlight w:val="none"/>
          <w:shd w:val="clear" w:color="auto" w:fill="FFFFFF"/>
        </w:rPr>
        <w:t>保障</w:t>
      </w:r>
      <w:r>
        <w:rPr>
          <w:rFonts w:hint="eastAsia" w:ascii="方正仿宋_GBK" w:hAnsi="方正仿宋_GBK" w:eastAsia="方正仿宋_GBK" w:cs="方正仿宋_GBK"/>
          <w:b w:val="0"/>
          <w:bCs/>
          <w:color w:val="auto"/>
          <w:sz w:val="32"/>
          <w:szCs w:val="32"/>
          <w:highlight w:val="none"/>
          <w:shd w:val="clear" w:color="auto" w:fill="FFFFFF"/>
          <w:lang w:eastAsia="zh-CN"/>
        </w:rPr>
        <w:t>和</w:t>
      </w:r>
      <w:r>
        <w:rPr>
          <w:rFonts w:ascii="方正仿宋_GBK" w:hAnsi="方正仿宋_GBK" w:eastAsia="方正仿宋_GBK" w:cs="方正仿宋_GBK"/>
          <w:b w:val="0"/>
          <w:bCs/>
          <w:color w:val="auto"/>
          <w:sz w:val="32"/>
          <w:szCs w:val="32"/>
          <w:highlight w:val="none"/>
          <w:shd w:val="clear" w:color="auto" w:fill="FFFFFF"/>
        </w:rPr>
        <w:t>就业支</w:t>
      </w:r>
      <w:r>
        <w:rPr>
          <w:rFonts w:ascii="方正仿宋_GBK" w:hAnsi="方正仿宋_GBK" w:eastAsia="方正仿宋_GBK" w:cs="方正仿宋_GBK"/>
          <w:b w:val="0"/>
          <w:bCs/>
          <w:color w:val="auto"/>
          <w:sz w:val="32"/>
          <w:szCs w:val="32"/>
          <w:shd w:val="clear" w:color="auto" w:fill="FFFFFF"/>
        </w:rPr>
        <w:t>出</w:t>
      </w:r>
      <w:r>
        <w:rPr>
          <w:rFonts w:ascii="方正仿宋_GBK" w:hAnsi="方正仿宋_GBK" w:eastAsia="方正仿宋_GBK" w:cs="方正仿宋_GBK"/>
          <w:b w:val="0"/>
          <w:bCs/>
          <w:color w:val="auto"/>
          <w:sz w:val="32"/>
          <w:szCs w:val="32"/>
        </w:rPr>
        <w:t>278.65</w:t>
      </w:r>
      <w:r>
        <w:rPr>
          <w:rFonts w:ascii="方正仿宋_GBK" w:hAnsi="方正仿宋_GBK" w:eastAsia="方正仿宋_GBK" w:cs="方正仿宋_GBK"/>
          <w:b w:val="0"/>
          <w:bCs/>
          <w:color w:val="auto"/>
          <w:sz w:val="32"/>
          <w:szCs w:val="32"/>
          <w:shd w:val="clear" w:color="auto" w:fill="FFFFFF"/>
        </w:rPr>
        <w:t>万元，占</w:t>
      </w:r>
      <w:r>
        <w:rPr>
          <w:rFonts w:ascii="方正仿宋_GBK" w:hAnsi="方正仿宋_GBK" w:eastAsia="方正仿宋_GBK" w:cs="方正仿宋_GBK"/>
          <w:b w:val="0"/>
          <w:bCs/>
          <w:color w:val="auto"/>
          <w:sz w:val="32"/>
          <w:szCs w:val="32"/>
        </w:rPr>
        <w:t>20.7%</w:t>
      </w:r>
      <w:r>
        <w:rPr>
          <w:rFonts w:ascii="方正仿宋_GBK" w:hAnsi="方正仿宋_GBK" w:eastAsia="方正仿宋_GBK" w:cs="方正仿宋_GBK"/>
          <w:b w:val="0"/>
          <w:bCs/>
          <w:color w:val="auto"/>
          <w:sz w:val="32"/>
          <w:szCs w:val="32"/>
          <w:shd w:val="clear" w:color="auto" w:fill="FFFFFF"/>
        </w:rPr>
        <w:t>，较年初预算数增加51.23万元，增长22.5%，主要原因是</w:t>
      </w:r>
      <w:r>
        <w:rPr>
          <w:rFonts w:hint="eastAsia" w:ascii="方正仿宋_GBK" w:hAnsi="方正仿宋_GBK" w:eastAsia="方正仿宋_GBK" w:cs="方正仿宋_GBK"/>
          <w:b w:val="0"/>
          <w:bCs/>
          <w:color w:val="auto"/>
          <w:sz w:val="32"/>
          <w:szCs w:val="32"/>
          <w:shd w:val="clear" w:color="auto" w:fill="FFFFFF"/>
          <w:lang w:val="en-US" w:eastAsia="zh-CN"/>
        </w:rPr>
        <w:t>人员增加，社保基数调整等导致人员经费增加</w:t>
      </w:r>
      <w:r>
        <w:rPr>
          <w:rFonts w:ascii="方正仿宋_GBK" w:hAnsi="方正仿宋_GBK" w:eastAsia="方正仿宋_GBK" w:cs="方正仿宋_GBK"/>
          <w:b w:val="0"/>
          <w:bCs/>
          <w:color w:val="auto"/>
          <w:sz w:val="32"/>
          <w:szCs w:val="32"/>
          <w:shd w:val="clear" w:color="auto" w:fill="FFFFFF"/>
        </w:rPr>
        <w:t>。</w:t>
      </w:r>
    </w:p>
    <w:p w14:paraId="7F31B81D">
      <w:pPr>
        <w:pStyle w:val="6"/>
        <w:keepNext w:val="0"/>
        <w:keepLines w:val="0"/>
        <w:pageBreakBefore w:val="0"/>
        <w:kinsoku/>
        <w:wordWrap/>
        <w:overflowPunct/>
        <w:topLinePunct w:val="0"/>
        <w:autoSpaceDN/>
        <w:bidi w:val="0"/>
        <w:adjustRightInd w:val="0"/>
        <w:snapToGrid w:val="0"/>
        <w:spacing w:before="0" w:beforeAutospacing="0" w:after="0" w:afterAutospacing="0" w:line="580" w:lineRule="exact"/>
        <w:ind w:leftChars="0"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w:t>
      </w:r>
      <w:r>
        <w:rPr>
          <w:rFonts w:hint="eastAsia" w:ascii="方正仿宋_GBK" w:hAnsi="方正仿宋_GBK" w:eastAsia="方正仿宋_GBK" w:cs="方正仿宋_GBK"/>
          <w:b w:val="0"/>
          <w:bCs/>
          <w:color w:val="auto"/>
          <w:sz w:val="32"/>
          <w:szCs w:val="32"/>
          <w:shd w:val="clear" w:color="auto" w:fill="FFFFFF"/>
          <w:lang w:val="en-US" w:eastAsia="zh-CN"/>
        </w:rPr>
        <w:t>2</w:t>
      </w:r>
      <w:r>
        <w:rPr>
          <w:rFonts w:ascii="方正仿宋_GBK" w:hAnsi="方正仿宋_GBK" w:eastAsia="方正仿宋_GBK" w:cs="方正仿宋_GBK"/>
          <w:b w:val="0"/>
          <w:bCs/>
          <w:color w:val="auto"/>
          <w:sz w:val="32"/>
          <w:szCs w:val="32"/>
          <w:shd w:val="clear" w:color="auto" w:fill="FFFFFF"/>
        </w:rPr>
        <w:t>）卫生健康支出</w:t>
      </w:r>
      <w:r>
        <w:rPr>
          <w:rFonts w:ascii="方正仿宋_GBK" w:hAnsi="方正仿宋_GBK" w:eastAsia="方正仿宋_GBK" w:cs="方正仿宋_GBK"/>
          <w:b w:val="0"/>
          <w:bCs/>
          <w:color w:val="auto"/>
          <w:sz w:val="32"/>
          <w:szCs w:val="32"/>
        </w:rPr>
        <w:t>1053.45</w:t>
      </w:r>
      <w:r>
        <w:rPr>
          <w:rFonts w:ascii="方正仿宋_GBK" w:hAnsi="方正仿宋_GBK" w:eastAsia="方正仿宋_GBK" w:cs="方正仿宋_GBK"/>
          <w:b w:val="0"/>
          <w:bCs/>
          <w:color w:val="auto"/>
          <w:sz w:val="32"/>
          <w:szCs w:val="32"/>
          <w:shd w:val="clear" w:color="auto" w:fill="FFFFFF"/>
        </w:rPr>
        <w:t>万元，占</w:t>
      </w:r>
      <w:r>
        <w:rPr>
          <w:rFonts w:ascii="方正仿宋_GBK" w:hAnsi="方正仿宋_GBK" w:eastAsia="方正仿宋_GBK" w:cs="方正仿宋_GBK"/>
          <w:b w:val="0"/>
          <w:bCs/>
          <w:color w:val="auto"/>
          <w:sz w:val="32"/>
          <w:szCs w:val="32"/>
        </w:rPr>
        <w:t>78.2%</w:t>
      </w:r>
      <w:r>
        <w:rPr>
          <w:rFonts w:ascii="方正仿宋_GBK" w:hAnsi="方正仿宋_GBK" w:eastAsia="方正仿宋_GBK" w:cs="方正仿宋_GBK"/>
          <w:b w:val="0"/>
          <w:bCs/>
          <w:color w:val="auto"/>
          <w:sz w:val="32"/>
          <w:szCs w:val="32"/>
          <w:shd w:val="clear" w:color="auto" w:fill="FFFFFF"/>
        </w:rPr>
        <w:t>，较年初预算数增加92.10万元，增长9.6%，主要原因</w:t>
      </w:r>
      <w:r>
        <w:rPr>
          <w:rFonts w:hint="eastAsia" w:ascii="方正仿宋_GBK" w:hAnsi="方正仿宋_GBK" w:eastAsia="方正仿宋_GBK" w:cs="方正仿宋_GBK"/>
          <w:b w:val="0"/>
          <w:bCs/>
          <w:color w:val="auto"/>
          <w:sz w:val="32"/>
          <w:szCs w:val="32"/>
          <w:shd w:val="clear" w:color="auto" w:fill="FFFFFF"/>
          <w:lang w:val="en-US" w:eastAsia="zh-CN"/>
        </w:rPr>
        <w:t>一</w:t>
      </w:r>
      <w:r>
        <w:rPr>
          <w:rFonts w:ascii="方正仿宋_GBK" w:hAnsi="方正仿宋_GBK" w:eastAsia="方正仿宋_GBK" w:cs="方正仿宋_GBK"/>
          <w:b w:val="0"/>
          <w:bCs/>
          <w:color w:val="auto"/>
          <w:sz w:val="32"/>
          <w:szCs w:val="32"/>
          <w:shd w:val="clear" w:color="auto" w:fill="FFFFFF"/>
        </w:rPr>
        <w:t>是</w:t>
      </w:r>
      <w:r>
        <w:rPr>
          <w:rFonts w:hint="eastAsia" w:ascii="方正仿宋_GBK" w:hAnsi="方正仿宋_GBK" w:eastAsia="方正仿宋_GBK" w:cs="方正仿宋_GBK"/>
          <w:b w:val="0"/>
          <w:bCs/>
          <w:color w:val="auto"/>
          <w:sz w:val="32"/>
          <w:szCs w:val="32"/>
          <w:shd w:val="clear" w:color="auto" w:fill="FFFFFF"/>
          <w:lang w:val="en-US" w:eastAsia="zh-CN"/>
        </w:rPr>
        <w:t>社保基数调整，人员经费增加，二是单位绩效工资分配方案变化，2024年发放当年绩效工资比2023年发放当年绩效工资多，因岗位工资及薪级结构调整基本工资比2023年多发放</w:t>
      </w:r>
      <w:r>
        <w:rPr>
          <w:rFonts w:ascii="方正仿宋_GBK" w:hAnsi="方正仿宋_GBK" w:eastAsia="方正仿宋_GBK" w:cs="方正仿宋_GBK"/>
          <w:b w:val="0"/>
          <w:bCs/>
          <w:color w:val="auto"/>
          <w:sz w:val="32"/>
          <w:szCs w:val="32"/>
          <w:shd w:val="clear" w:color="auto" w:fill="FFFFFF"/>
        </w:rPr>
        <w:t>。</w:t>
      </w:r>
    </w:p>
    <w:p w14:paraId="32C4655E">
      <w:pPr>
        <w:keepNext w:val="0"/>
        <w:keepLines w:val="0"/>
        <w:pageBreakBefore w:val="0"/>
        <w:kinsoku/>
        <w:wordWrap/>
        <w:overflowPunct/>
        <w:topLinePunct w:val="0"/>
        <w:autoSpaceDN/>
        <w:bidi w:val="0"/>
        <w:adjustRightInd w:val="0"/>
        <w:snapToGrid w:val="0"/>
        <w:spacing w:beforeAutospacing="0" w:afterAutospacing="0" w:line="580" w:lineRule="exact"/>
        <w:ind w:leftChars="0" w:firstLine="640" w:firstLineChars="200"/>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w:t>
      </w:r>
      <w:r>
        <w:rPr>
          <w:rFonts w:hint="eastAsia" w:ascii="方正仿宋_GBK" w:hAnsi="方正仿宋_GBK" w:eastAsia="方正仿宋_GBK" w:cs="方正仿宋_GBK"/>
          <w:b w:val="0"/>
          <w:bCs/>
          <w:color w:val="auto"/>
          <w:sz w:val="32"/>
          <w:szCs w:val="32"/>
          <w:shd w:val="clear" w:color="auto" w:fill="FFFFFF"/>
          <w:lang w:val="en-US" w:eastAsia="zh-CN"/>
        </w:rPr>
        <w:t>3</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color w:val="auto"/>
          <w:sz w:val="32"/>
          <w:szCs w:val="32"/>
        </w:rPr>
        <w:t>住房保障支出15.59</w:t>
      </w:r>
      <w:r>
        <w:rPr>
          <w:rFonts w:ascii="方正仿宋_GBK" w:hAnsi="方正仿宋_GBK" w:eastAsia="方正仿宋_GBK" w:cs="方正仿宋_GBK"/>
          <w:b w:val="0"/>
          <w:bCs/>
          <w:color w:val="auto"/>
          <w:sz w:val="32"/>
          <w:szCs w:val="32"/>
          <w:shd w:val="clear" w:color="auto" w:fill="FFFFFF"/>
        </w:rPr>
        <w:t>万元，占</w:t>
      </w:r>
      <w:r>
        <w:rPr>
          <w:rFonts w:ascii="方正仿宋_GBK" w:hAnsi="方正仿宋_GBK" w:eastAsia="方正仿宋_GBK" w:cs="方正仿宋_GBK"/>
          <w:b w:val="0"/>
          <w:bCs/>
          <w:color w:val="auto"/>
          <w:sz w:val="32"/>
          <w:szCs w:val="32"/>
        </w:rPr>
        <w:t>1.2%</w:t>
      </w:r>
      <w:r>
        <w:rPr>
          <w:rFonts w:ascii="方正仿宋_GBK" w:hAnsi="方正仿宋_GBK" w:eastAsia="方正仿宋_GBK" w:cs="方正仿宋_GBK"/>
          <w:b w:val="0"/>
          <w:bCs/>
          <w:color w:val="auto"/>
          <w:sz w:val="32"/>
          <w:szCs w:val="32"/>
          <w:shd w:val="clear" w:color="auto" w:fill="FFFFFF"/>
        </w:rPr>
        <w:t>，较年初预算数减少24.65万元，下降61.3%。</w:t>
      </w:r>
    </w:p>
    <w:p w14:paraId="0AB1B476">
      <w:pPr>
        <w:pStyle w:val="11"/>
        <w:keepNext w:val="0"/>
        <w:keepLines w:val="0"/>
        <w:pageBreakBefore w:val="0"/>
        <w:kinsoku/>
        <w:wordWrap/>
        <w:overflowPunct/>
        <w:topLinePunct w:val="0"/>
        <w:autoSpaceDE w:val="0"/>
        <w:autoSpaceDN/>
        <w:bidi w:val="0"/>
        <w:adjustRightInd w:val="0"/>
        <w:snapToGrid w:val="0"/>
        <w:spacing w:beforeAutospacing="0" w:afterAutospacing="0" w:line="580" w:lineRule="exact"/>
        <w:ind w:leftChars="0" w:firstLine="643"/>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（四）一般公共预算财政拨款基本支出决算情况说明</w:t>
      </w:r>
    </w:p>
    <w:p w14:paraId="04A6E712">
      <w:pPr>
        <w:pStyle w:val="6"/>
        <w:keepNext w:val="0"/>
        <w:keepLines w:val="0"/>
        <w:pageBreakBefore w:val="0"/>
        <w:kinsoku/>
        <w:wordWrap/>
        <w:overflowPunct/>
        <w:topLinePunct w:val="0"/>
        <w:autoSpaceDN/>
        <w:bidi w:val="0"/>
        <w:adjustRightInd w:val="0"/>
        <w:snapToGrid w:val="0"/>
        <w:spacing w:before="0" w:beforeAutospacing="0" w:after="0" w:afterAutospacing="0" w:line="580" w:lineRule="exact"/>
        <w:ind w:leftChars="0"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sz w:val="32"/>
          <w:szCs w:val="32"/>
          <w:shd w:val="clear" w:color="auto" w:fill="FFFFFF"/>
          <w:lang w:eastAsia="zh-CN"/>
        </w:rPr>
        <w:t xml:space="preserve"> 2024年</w:t>
      </w:r>
      <w:r>
        <w:rPr>
          <w:rFonts w:ascii="方正仿宋_GBK" w:hAnsi="方正仿宋_GBK" w:eastAsia="方正仿宋_GBK" w:cs="方正仿宋_GBK"/>
          <w:b w:val="0"/>
          <w:bCs/>
          <w:color w:val="auto"/>
          <w:sz w:val="32"/>
          <w:szCs w:val="32"/>
          <w:shd w:val="clear" w:color="auto" w:fill="FFFFFF"/>
        </w:rPr>
        <w:t>度一般公共财政拨款基本支出</w:t>
      </w:r>
      <w:r>
        <w:rPr>
          <w:rFonts w:ascii="方正仿宋_GBK" w:hAnsi="方正仿宋_GBK" w:eastAsia="方正仿宋_GBK" w:cs="方正仿宋_GBK"/>
          <w:b w:val="0"/>
          <w:bCs/>
          <w:color w:val="auto"/>
          <w:sz w:val="32"/>
          <w:szCs w:val="32"/>
        </w:rPr>
        <w:t>1194.26</w:t>
      </w:r>
      <w:r>
        <w:rPr>
          <w:rFonts w:ascii="方正仿宋_GBK" w:hAnsi="方正仿宋_GBK" w:eastAsia="方正仿宋_GBK" w:cs="方正仿宋_GBK"/>
          <w:b w:val="0"/>
          <w:bCs/>
          <w:color w:val="auto"/>
          <w:sz w:val="32"/>
          <w:szCs w:val="32"/>
          <w:shd w:val="clear" w:color="auto" w:fill="FFFFFF"/>
        </w:rPr>
        <w:t>万元。其中：人员经费</w:t>
      </w:r>
      <w:r>
        <w:rPr>
          <w:rFonts w:ascii="方正仿宋_GBK" w:hAnsi="方正仿宋_GBK" w:eastAsia="方正仿宋_GBK" w:cs="方正仿宋_GBK"/>
          <w:b w:val="0"/>
          <w:bCs/>
          <w:color w:val="auto"/>
          <w:sz w:val="32"/>
          <w:szCs w:val="32"/>
        </w:rPr>
        <w:t>1192.56</w:t>
      </w:r>
      <w:r>
        <w:rPr>
          <w:rFonts w:ascii="方正仿宋_GBK" w:hAnsi="方正仿宋_GBK" w:eastAsia="方正仿宋_GBK" w:cs="方正仿宋_GBK"/>
          <w:b w:val="0"/>
          <w:bCs/>
          <w:color w:val="auto"/>
          <w:sz w:val="32"/>
          <w:szCs w:val="32"/>
          <w:shd w:val="clear" w:color="auto" w:fill="FFFFFF"/>
        </w:rPr>
        <w:t>万元，与2023年度相比，增加219.82万元，增长22.6%，主要原因</w:t>
      </w:r>
      <w:r>
        <w:rPr>
          <w:rFonts w:hint="eastAsia" w:ascii="方正仿宋_GBK" w:hAnsi="方正仿宋_GBK" w:eastAsia="方正仿宋_GBK" w:cs="方正仿宋_GBK"/>
          <w:b w:val="0"/>
          <w:bCs/>
          <w:color w:val="auto"/>
          <w:sz w:val="32"/>
          <w:szCs w:val="32"/>
          <w:shd w:val="clear" w:color="auto" w:fill="FFFFFF"/>
          <w:lang w:val="en-US" w:eastAsia="zh-CN"/>
        </w:rPr>
        <w:t>一</w:t>
      </w:r>
      <w:r>
        <w:rPr>
          <w:rFonts w:ascii="方正仿宋_GBK" w:hAnsi="方正仿宋_GBK" w:eastAsia="方正仿宋_GBK" w:cs="方正仿宋_GBK"/>
          <w:b w:val="0"/>
          <w:bCs/>
          <w:color w:val="auto"/>
          <w:sz w:val="32"/>
          <w:szCs w:val="32"/>
          <w:shd w:val="clear" w:color="auto" w:fill="FFFFFF"/>
        </w:rPr>
        <w:t>是</w:t>
      </w:r>
      <w:r>
        <w:rPr>
          <w:rFonts w:hint="eastAsia" w:ascii="方正仿宋_GBK" w:hAnsi="方正仿宋_GBK" w:eastAsia="方正仿宋_GBK" w:cs="方正仿宋_GBK"/>
          <w:b w:val="0"/>
          <w:bCs/>
          <w:color w:val="auto"/>
          <w:sz w:val="32"/>
          <w:szCs w:val="32"/>
          <w:shd w:val="clear" w:color="auto" w:fill="FFFFFF"/>
          <w:lang w:val="en-US" w:eastAsia="zh-CN"/>
        </w:rPr>
        <w:t>社保基数调整，人员经费增加，二是单位绩效工资分配方案变化，2024年发放当年绩效工资比2023年发放当年绩效工资多，因岗位工资及薪级结构调整基本工资比2023年多发放</w:t>
      </w:r>
      <w:r>
        <w:rPr>
          <w:rFonts w:ascii="方正仿宋_GBK" w:hAnsi="方正仿宋_GBK" w:eastAsia="方正仿宋_GBK" w:cs="方正仿宋_GBK"/>
          <w:b w:val="0"/>
          <w:bCs/>
          <w:color w:val="auto"/>
          <w:sz w:val="32"/>
          <w:szCs w:val="32"/>
          <w:shd w:val="clear" w:color="auto" w:fill="FFFFFF"/>
        </w:rPr>
        <w:t>。人员经费用途主要包括</w:t>
      </w:r>
      <w:r>
        <w:rPr>
          <w:rFonts w:hint="eastAsia" w:ascii="方正仿宋_GBK" w:hAnsi="方正仿宋_GBK" w:eastAsia="方正仿宋_GBK" w:cs="方正仿宋_GBK"/>
          <w:b w:val="0"/>
          <w:bCs/>
          <w:color w:val="auto"/>
          <w:sz w:val="32"/>
          <w:szCs w:val="32"/>
          <w:highlight w:val="none"/>
          <w:shd w:val="clear" w:color="auto" w:fill="FFFFFF"/>
          <w:lang w:val="en-US" w:eastAsia="zh-CN"/>
        </w:rPr>
        <w:t>工资福利支出和对个人和家庭的补助</w:t>
      </w:r>
      <w:r>
        <w:rPr>
          <w:rFonts w:ascii="方正仿宋_GBK" w:hAnsi="方正仿宋_GBK" w:eastAsia="方正仿宋_GBK" w:cs="方正仿宋_GBK"/>
          <w:b w:val="0"/>
          <w:bCs/>
          <w:color w:val="auto"/>
          <w:sz w:val="32"/>
          <w:szCs w:val="32"/>
          <w:shd w:val="clear" w:color="auto" w:fill="FFFFFF"/>
        </w:rPr>
        <w:t>。公用经费</w:t>
      </w:r>
      <w:r>
        <w:rPr>
          <w:rFonts w:ascii="方正仿宋_GBK" w:hAnsi="方正仿宋_GBK" w:eastAsia="方正仿宋_GBK" w:cs="方正仿宋_GBK"/>
          <w:b w:val="0"/>
          <w:bCs/>
          <w:color w:val="auto"/>
          <w:sz w:val="32"/>
          <w:szCs w:val="32"/>
        </w:rPr>
        <w:t>1.70</w:t>
      </w:r>
      <w:r>
        <w:rPr>
          <w:rFonts w:ascii="方正仿宋_GBK" w:hAnsi="方正仿宋_GBK" w:eastAsia="方正仿宋_GBK" w:cs="方正仿宋_GBK"/>
          <w:b w:val="0"/>
          <w:bCs/>
          <w:color w:val="auto"/>
          <w:sz w:val="32"/>
          <w:szCs w:val="32"/>
          <w:shd w:val="clear" w:color="auto" w:fill="FFFFFF"/>
        </w:rPr>
        <w:t>万元，与2023年度相比，增加0.15万元，增长9.7%</w:t>
      </w:r>
      <w:r>
        <w:rPr>
          <w:rFonts w:hint="eastAsia" w:ascii="方正仿宋_GBK" w:hAnsi="方正仿宋_GBK" w:eastAsia="方正仿宋_GBK" w:cs="方正仿宋_GBK"/>
          <w:b w:val="0"/>
          <w:bCs/>
          <w:color w:val="auto"/>
          <w:sz w:val="32"/>
          <w:szCs w:val="32"/>
          <w:shd w:val="clear" w:color="auto" w:fill="FFFFFF"/>
          <w:lang w:eastAsia="zh-CN"/>
        </w:rPr>
        <w:t>。</w:t>
      </w:r>
      <w:r>
        <w:rPr>
          <w:rFonts w:ascii="方正仿宋_GBK" w:hAnsi="方正仿宋_GBK" w:eastAsia="方正仿宋_GBK" w:cs="方正仿宋_GBK"/>
          <w:b w:val="0"/>
          <w:bCs/>
          <w:color w:val="auto"/>
          <w:sz w:val="32"/>
          <w:szCs w:val="32"/>
          <w:shd w:val="clear" w:color="auto" w:fill="FFFFFF"/>
        </w:rPr>
        <w:t>公用经费用途主要包括</w:t>
      </w:r>
      <w:r>
        <w:rPr>
          <w:rFonts w:hint="eastAsia" w:ascii="方正仿宋_GBK" w:hAnsi="方正仿宋_GBK" w:eastAsia="方正仿宋_GBK" w:cs="方正仿宋_GBK"/>
          <w:b w:val="0"/>
          <w:bCs/>
          <w:color w:val="auto"/>
          <w:sz w:val="32"/>
          <w:szCs w:val="32"/>
          <w:highlight w:val="none"/>
          <w:shd w:val="clear" w:color="auto" w:fill="FFFFFF"/>
          <w:lang w:val="en-US" w:eastAsia="zh-CN"/>
        </w:rPr>
        <w:t>商品和服务支出</w:t>
      </w:r>
      <w:r>
        <w:rPr>
          <w:rFonts w:ascii="方正仿宋_GBK" w:hAnsi="方正仿宋_GBK" w:eastAsia="方正仿宋_GBK" w:cs="方正仿宋_GBK"/>
          <w:b w:val="0"/>
          <w:bCs/>
          <w:color w:val="auto"/>
          <w:sz w:val="32"/>
          <w:szCs w:val="32"/>
          <w:highlight w:val="none"/>
          <w:shd w:val="clear" w:color="auto" w:fill="FFFFFF"/>
        </w:rPr>
        <w:t>。</w:t>
      </w:r>
    </w:p>
    <w:p w14:paraId="6D5442C3">
      <w:pPr>
        <w:pStyle w:val="11"/>
        <w:keepNext w:val="0"/>
        <w:keepLines w:val="0"/>
        <w:pageBreakBefore w:val="0"/>
        <w:numPr>
          <w:ilvl w:val="0"/>
          <w:numId w:val="1"/>
        </w:numPr>
        <w:kinsoku/>
        <w:wordWrap/>
        <w:overflowPunct/>
        <w:topLinePunct w:val="0"/>
        <w:autoSpaceDE w:val="0"/>
        <w:autoSpaceDN/>
        <w:bidi w:val="0"/>
        <w:adjustRightInd w:val="0"/>
        <w:snapToGrid w:val="0"/>
        <w:spacing w:beforeAutospacing="0" w:afterAutospacing="0" w:line="580" w:lineRule="exact"/>
        <w:ind w:leftChars="0" w:firstLine="643"/>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政府性基金预算收支决算情况说明</w:t>
      </w:r>
    </w:p>
    <w:p w14:paraId="3DE61063">
      <w:pPr>
        <w:pStyle w:val="11"/>
        <w:keepNext w:val="0"/>
        <w:keepLines w:val="0"/>
        <w:pageBreakBefore w:val="0"/>
        <w:numPr>
          <w:ilvl w:val="0"/>
          <w:numId w:val="0"/>
        </w:numPr>
        <w:kinsoku/>
        <w:wordWrap/>
        <w:overflowPunct/>
        <w:topLinePunct w:val="0"/>
        <w:autoSpaceDE w:val="0"/>
        <w:autoSpaceDN/>
        <w:bidi w:val="0"/>
        <w:adjustRightInd w:val="0"/>
        <w:snapToGrid w:val="0"/>
        <w:spacing w:beforeAutospacing="0" w:afterAutospacing="0" w:line="580" w:lineRule="exact"/>
        <w:ind w:leftChars="0" w:firstLine="640" w:firstLineChars="200"/>
        <w:textAlignment w:val="auto"/>
        <w:rPr>
          <w:rFonts w:hint="eastAsia" w:ascii="方正仿宋_GBK" w:hAnsi="方正仿宋_GBK" w:eastAsia="方正仿宋_GBK" w:cs="方正仿宋_GBK"/>
          <w:b w:val="0"/>
          <w:bCs/>
          <w:color w:val="auto"/>
          <w:sz w:val="32"/>
          <w:szCs w:val="32"/>
          <w:shd w:val="clear" w:color="auto" w:fill="FFFFFF"/>
          <w:lang w:val="en-US" w:eastAsia="zh-CN"/>
        </w:rPr>
      </w:pPr>
      <w:r>
        <w:rPr>
          <w:rFonts w:hint="eastAsia" w:ascii="方正仿宋_GBK" w:hAnsi="方正仿宋_GBK" w:eastAsia="方正仿宋_GBK" w:cs="方正仿宋_GBK"/>
          <w:b w:val="0"/>
          <w:bCs/>
          <w:color w:val="auto"/>
          <w:sz w:val="32"/>
          <w:szCs w:val="32"/>
          <w:shd w:val="clear" w:color="auto" w:fill="FFFFFF"/>
          <w:lang w:val="en-US" w:eastAsia="zh-CN"/>
        </w:rPr>
        <w:t>本单位2024年度无政府性基金预算财政拨款收支。</w:t>
      </w:r>
    </w:p>
    <w:p w14:paraId="442021BC">
      <w:pPr>
        <w:pStyle w:val="11"/>
        <w:keepNext w:val="0"/>
        <w:keepLines w:val="0"/>
        <w:pageBreakBefore w:val="0"/>
        <w:kinsoku/>
        <w:wordWrap/>
        <w:overflowPunct/>
        <w:topLinePunct w:val="0"/>
        <w:autoSpaceDE w:val="0"/>
        <w:autoSpaceDN/>
        <w:bidi w:val="0"/>
        <w:adjustRightInd w:val="0"/>
        <w:snapToGrid w:val="0"/>
        <w:spacing w:beforeAutospacing="0" w:afterAutospacing="0" w:line="580" w:lineRule="exact"/>
        <w:ind w:leftChars="0" w:firstLine="643"/>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（六）国有资本经营预算财政拨款支出决算情况说明</w:t>
      </w:r>
    </w:p>
    <w:p w14:paraId="2D77EDF1">
      <w:pPr>
        <w:pStyle w:val="6"/>
        <w:keepNext w:val="0"/>
        <w:keepLines w:val="0"/>
        <w:pageBreakBefore w:val="0"/>
        <w:kinsoku/>
        <w:wordWrap/>
        <w:overflowPunct/>
        <w:topLinePunct w:val="0"/>
        <w:autoSpaceDN/>
        <w:bidi w:val="0"/>
        <w:adjustRightInd w:val="0"/>
        <w:snapToGrid w:val="0"/>
        <w:spacing w:before="0" w:beforeAutospacing="0" w:after="0" w:afterAutospacing="0" w:line="580" w:lineRule="exact"/>
        <w:ind w:leftChars="0" w:firstLine="640" w:firstLineChars="200"/>
        <w:jc w:val="both"/>
        <w:textAlignment w:val="auto"/>
        <w:rPr>
          <w:rFonts w:hint="eastAsia" w:ascii="方正仿宋_GBK" w:hAnsi="方正仿宋_GBK" w:eastAsia="方正仿宋_GBK" w:cs="方正仿宋_GBK"/>
          <w:b w:val="0"/>
          <w:bCs/>
          <w:color w:val="auto"/>
          <w:sz w:val="32"/>
          <w:szCs w:val="32"/>
          <w:lang w:eastAsia="zh-CN"/>
        </w:rPr>
      </w:pPr>
      <w:r>
        <w:rPr>
          <w:rFonts w:hint="eastAsia" w:ascii="方正仿宋_GBK" w:hAnsi="方正仿宋_GBK" w:eastAsia="方正仿宋_GBK" w:cs="方正仿宋_GBK"/>
          <w:b w:val="0"/>
          <w:bCs/>
          <w:color w:val="auto"/>
          <w:sz w:val="32"/>
          <w:szCs w:val="32"/>
          <w:shd w:val="clear" w:color="auto" w:fill="FFFFFF"/>
          <w:lang w:val="en-US" w:eastAsia="zh-CN"/>
        </w:rPr>
        <w:t>本单位2024年度无国有资本经营预算财政拨款支出。</w:t>
      </w:r>
      <w:r>
        <w:rPr>
          <w:rFonts w:hint="eastAsia" w:ascii="方正仿宋_GBK" w:hAnsi="方正仿宋_GBK" w:eastAsia="方正仿宋_GBK" w:cs="方正仿宋_GBK"/>
          <w:b w:val="0"/>
          <w:bCs/>
          <w:color w:val="auto"/>
          <w:sz w:val="32"/>
          <w:szCs w:val="32"/>
          <w:shd w:val="clear" w:color="auto" w:fill="FFFFFF"/>
          <w:lang w:eastAsia="zh-CN"/>
        </w:rPr>
        <w:t xml:space="preserve"> </w:t>
      </w:r>
    </w:p>
    <w:p w14:paraId="3913F243">
      <w:pPr>
        <w:pStyle w:val="6"/>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before="0" w:beforeAutospacing="0" w:after="0" w:afterAutospacing="0" w:line="580" w:lineRule="exact"/>
        <w:ind w:leftChars="0" w:firstLine="640" w:firstLineChars="200"/>
        <w:textAlignment w:val="auto"/>
        <w:rPr>
          <w:rStyle w:val="10"/>
          <w:rFonts w:hint="eastAsia" w:ascii="方正黑体_GBK" w:hAnsi="方正黑体_GBK" w:eastAsia="方正黑体_GBK" w:cs="方正黑体_GBK"/>
          <w:b w:val="0"/>
          <w:bCs/>
          <w:color w:val="auto"/>
          <w:sz w:val="32"/>
          <w:szCs w:val="32"/>
          <w:shd w:val="clear" w:color="auto" w:fill="FFFFFF"/>
          <w:lang w:val="en-US" w:eastAsia="zh-CN"/>
        </w:rPr>
      </w:pPr>
      <w:r>
        <w:rPr>
          <w:rStyle w:val="10"/>
          <w:rFonts w:hint="eastAsia" w:ascii="方正黑体_GBK" w:hAnsi="方正黑体_GBK" w:eastAsia="方正黑体_GBK" w:cs="方正黑体_GBK"/>
          <w:b w:val="0"/>
          <w:bCs/>
          <w:color w:val="auto"/>
          <w:sz w:val="32"/>
          <w:szCs w:val="32"/>
          <w:shd w:val="clear" w:color="auto" w:fill="FFFFFF"/>
          <w:lang w:eastAsia="zh-CN"/>
        </w:rPr>
        <w:t>财政拨款</w:t>
      </w:r>
      <w:r>
        <w:rPr>
          <w:rStyle w:val="10"/>
          <w:rFonts w:hint="eastAsia" w:ascii="方正黑体_GBK" w:hAnsi="方正黑体_GBK" w:eastAsia="方正黑体_GBK" w:cs="方正黑体_GBK"/>
          <w:b w:val="0"/>
          <w:bCs/>
          <w:color w:val="auto"/>
          <w:sz w:val="32"/>
          <w:szCs w:val="32"/>
          <w:shd w:val="clear" w:color="auto" w:fill="FFFFFF"/>
        </w:rPr>
        <w:t>“三公”经费情况说明</w:t>
      </w:r>
      <w:r>
        <w:rPr>
          <w:rStyle w:val="10"/>
          <w:rFonts w:hint="eastAsia" w:ascii="方正黑体_GBK" w:hAnsi="方正黑体_GBK" w:eastAsia="方正黑体_GBK" w:cs="方正黑体_GBK"/>
          <w:b w:val="0"/>
          <w:bCs/>
          <w:color w:val="auto"/>
          <w:sz w:val="32"/>
          <w:szCs w:val="32"/>
          <w:shd w:val="clear" w:color="auto" w:fill="FFFFFF"/>
          <w:lang w:val="en-US" w:eastAsia="zh-CN"/>
        </w:rPr>
        <w:t xml:space="preserve">  </w:t>
      </w:r>
    </w:p>
    <w:p w14:paraId="6ECB8290">
      <w:pPr>
        <w:pStyle w:val="6"/>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80" w:lineRule="exact"/>
        <w:ind w:leftChars="0" w:firstLine="640" w:firstLineChars="200"/>
        <w:textAlignment w:val="auto"/>
        <w:rPr>
          <w:rStyle w:val="10"/>
          <w:rFonts w:hint="eastAsia" w:ascii="方正仿宋_GBK" w:hAnsi="方正仿宋_GBK" w:eastAsia="方正仿宋_GBK" w:cs="方正仿宋_GBK"/>
          <w:b w:val="0"/>
          <w:bCs/>
          <w:color w:val="auto"/>
          <w:sz w:val="32"/>
          <w:szCs w:val="32"/>
          <w:shd w:val="clear" w:color="auto" w:fill="FFFFFF"/>
          <w:lang w:val="en-US" w:eastAsia="zh-CN"/>
        </w:rPr>
      </w:pPr>
      <w:r>
        <w:rPr>
          <w:rStyle w:val="10"/>
          <w:rFonts w:hint="eastAsia" w:ascii="方正仿宋_GBK" w:hAnsi="方正仿宋_GBK" w:eastAsia="方正仿宋_GBK" w:cs="方正仿宋_GBK"/>
          <w:b w:val="0"/>
          <w:bCs/>
          <w:color w:val="auto"/>
          <w:sz w:val="32"/>
          <w:szCs w:val="32"/>
          <w:shd w:val="clear" w:color="auto" w:fill="FFFFFF"/>
          <w:lang w:val="en-US" w:eastAsia="zh-CN"/>
        </w:rPr>
        <w:t>我单位属于差额拨款单位，财政未保障我单位“三公”经费</w:t>
      </w:r>
      <w:r>
        <w:rPr>
          <w:rFonts w:hint="eastAsia" w:ascii="方正仿宋_GBK" w:hAnsi="方正仿宋_GBK" w:eastAsia="方正仿宋_GBK" w:cs="方正仿宋_GBK"/>
          <w:b w:val="0"/>
          <w:bCs/>
          <w:color w:val="auto"/>
          <w:sz w:val="32"/>
          <w:szCs w:val="32"/>
          <w:shd w:val="clear" w:color="auto" w:fill="FFFFFF"/>
          <w:lang w:val="en-US" w:eastAsia="zh-CN" w:bidi="ar-SA"/>
        </w:rPr>
        <w:t>。</w:t>
      </w:r>
    </w:p>
    <w:p w14:paraId="25CF587F">
      <w:pPr>
        <w:pStyle w:val="11"/>
        <w:keepNext w:val="0"/>
        <w:keepLines w:val="0"/>
        <w:pageBreakBefore w:val="0"/>
        <w:kinsoku/>
        <w:wordWrap/>
        <w:overflowPunct/>
        <w:topLinePunct w:val="0"/>
        <w:autoSpaceDE w:val="0"/>
        <w:autoSpaceDN/>
        <w:bidi w:val="0"/>
        <w:adjustRightInd w:val="0"/>
        <w:snapToGrid w:val="0"/>
        <w:spacing w:beforeAutospacing="0" w:afterAutospacing="0" w:line="580" w:lineRule="exact"/>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（一）“三公”经费支出总体情况说明</w:t>
      </w:r>
    </w:p>
    <w:p w14:paraId="18575DD7">
      <w:pPr>
        <w:pStyle w:val="6"/>
        <w:keepNext w:val="0"/>
        <w:keepLines w:val="0"/>
        <w:pageBreakBefore w:val="0"/>
        <w:kinsoku/>
        <w:wordWrap/>
        <w:overflowPunct/>
        <w:topLinePunct w:val="0"/>
        <w:autoSpaceDN/>
        <w:bidi w:val="0"/>
        <w:adjustRightInd w:val="0"/>
        <w:snapToGrid w:val="0"/>
        <w:spacing w:before="0" w:beforeAutospacing="0" w:after="0" w:afterAutospacing="0" w:line="580" w:lineRule="exact"/>
        <w:ind w:leftChars="0"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sz w:val="32"/>
          <w:szCs w:val="32"/>
          <w:shd w:val="clear" w:color="auto" w:fill="FFFFFF"/>
          <w:lang w:eastAsia="zh-CN"/>
        </w:rPr>
        <w:t>2024年</w:t>
      </w:r>
      <w:r>
        <w:rPr>
          <w:rFonts w:ascii="方正仿宋_GBK" w:hAnsi="方正仿宋_GBK" w:eastAsia="方正仿宋_GBK" w:cs="方正仿宋_GBK"/>
          <w:b w:val="0"/>
          <w:bCs/>
          <w:color w:val="auto"/>
          <w:sz w:val="32"/>
          <w:szCs w:val="32"/>
          <w:shd w:val="clear" w:color="auto" w:fill="FFFFFF"/>
        </w:rPr>
        <w:t>度“三公”经费支出共计</w:t>
      </w:r>
      <w:r>
        <w:rPr>
          <w:rFonts w:ascii="方正仿宋_GBK" w:hAnsi="方正仿宋_GBK" w:eastAsia="方正仿宋_GBK" w:cs="方正仿宋_GBK"/>
          <w:b w:val="0"/>
          <w:bCs/>
          <w:color w:val="auto"/>
          <w:sz w:val="32"/>
          <w:szCs w:val="32"/>
        </w:rPr>
        <w:t>0.00</w:t>
      </w:r>
      <w:r>
        <w:rPr>
          <w:rFonts w:ascii="方正仿宋_GBK" w:hAnsi="方正仿宋_GBK" w:eastAsia="方正仿宋_GBK" w:cs="方正仿宋_GBK"/>
          <w:b w:val="0"/>
          <w:bCs/>
          <w:color w:val="auto"/>
          <w:sz w:val="32"/>
          <w:szCs w:val="32"/>
          <w:shd w:val="clear" w:color="auto" w:fill="FFFFFF"/>
        </w:rPr>
        <w:t>万元，较年初预算数无增减，</w:t>
      </w:r>
      <w:r>
        <w:rPr>
          <w:rFonts w:hint="eastAsia" w:ascii="方正仿宋_GBK" w:hAnsi="方正仿宋_GBK" w:eastAsia="方正仿宋_GBK" w:cs="方正仿宋_GBK"/>
          <w:b w:val="0"/>
          <w:bCs/>
          <w:color w:val="auto"/>
          <w:sz w:val="32"/>
          <w:szCs w:val="32"/>
          <w:shd w:val="clear" w:color="auto" w:fill="FFFFFF"/>
          <w:lang w:val="en-US" w:eastAsia="zh-CN"/>
        </w:rPr>
        <w:t>与上年持平</w:t>
      </w:r>
      <w:r>
        <w:rPr>
          <w:rFonts w:ascii="方正仿宋_GBK" w:hAnsi="方正仿宋_GBK" w:eastAsia="方正仿宋_GBK" w:cs="方正仿宋_GBK"/>
          <w:b w:val="0"/>
          <w:bCs/>
          <w:color w:val="auto"/>
          <w:sz w:val="32"/>
          <w:szCs w:val="32"/>
          <w:shd w:val="clear" w:color="auto" w:fill="FFFFFF"/>
        </w:rPr>
        <w:t>。</w:t>
      </w:r>
    </w:p>
    <w:p w14:paraId="2CC0ADC4">
      <w:pPr>
        <w:pStyle w:val="11"/>
        <w:keepNext w:val="0"/>
        <w:keepLines w:val="0"/>
        <w:pageBreakBefore w:val="0"/>
        <w:kinsoku/>
        <w:wordWrap/>
        <w:overflowPunct/>
        <w:topLinePunct w:val="0"/>
        <w:autoSpaceDE w:val="0"/>
        <w:autoSpaceDN/>
        <w:bidi w:val="0"/>
        <w:adjustRightInd w:val="0"/>
        <w:snapToGrid w:val="0"/>
        <w:spacing w:beforeAutospacing="0" w:afterAutospacing="0" w:line="580" w:lineRule="exact"/>
        <w:ind w:leftChars="0" w:firstLine="643"/>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（二）“三公”经费分项支出情况</w:t>
      </w:r>
    </w:p>
    <w:p w14:paraId="711A045C">
      <w:pPr>
        <w:pStyle w:val="6"/>
        <w:keepNext w:val="0"/>
        <w:keepLines w:val="0"/>
        <w:pageBreakBefore w:val="0"/>
        <w:kinsoku/>
        <w:wordWrap/>
        <w:overflowPunct/>
        <w:topLinePunct w:val="0"/>
        <w:autoSpaceDN/>
        <w:bidi w:val="0"/>
        <w:adjustRightInd w:val="0"/>
        <w:snapToGrid w:val="0"/>
        <w:spacing w:before="0" w:beforeAutospacing="0" w:after="0" w:afterAutospacing="0" w:line="580" w:lineRule="exact"/>
        <w:ind w:leftChars="0"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sz w:val="32"/>
          <w:szCs w:val="32"/>
          <w:shd w:val="clear" w:color="auto" w:fill="FFFFFF"/>
          <w:lang w:eastAsia="zh-CN"/>
        </w:rPr>
        <w:t>2024年</w:t>
      </w:r>
      <w:r>
        <w:rPr>
          <w:rFonts w:ascii="方正仿宋_GBK" w:hAnsi="方正仿宋_GBK" w:eastAsia="方正仿宋_GBK" w:cs="方正仿宋_GBK"/>
          <w:b w:val="0"/>
          <w:bCs/>
          <w:color w:val="auto"/>
          <w:sz w:val="32"/>
          <w:szCs w:val="32"/>
          <w:shd w:val="clear" w:color="auto" w:fill="FFFFFF"/>
        </w:rPr>
        <w:t>度本单位</w:t>
      </w:r>
      <w:r>
        <w:rPr>
          <w:rFonts w:hint="eastAsia" w:ascii="方正仿宋_GBK" w:hAnsi="方正仿宋_GBK" w:eastAsia="方正仿宋_GBK" w:cs="方正仿宋_GBK"/>
          <w:b w:val="0"/>
          <w:bCs/>
          <w:color w:val="auto"/>
          <w:sz w:val="32"/>
          <w:szCs w:val="32"/>
          <w:shd w:val="clear" w:color="auto" w:fill="FFFFFF"/>
          <w:lang w:val="en-US" w:eastAsia="zh-CN"/>
        </w:rPr>
        <w:t>无</w:t>
      </w:r>
      <w:r>
        <w:rPr>
          <w:rFonts w:ascii="方正仿宋_GBK" w:hAnsi="方正仿宋_GBK" w:eastAsia="方正仿宋_GBK" w:cs="方正仿宋_GBK"/>
          <w:b w:val="0"/>
          <w:bCs/>
          <w:color w:val="auto"/>
          <w:sz w:val="32"/>
          <w:szCs w:val="32"/>
          <w:shd w:val="clear" w:color="auto" w:fill="FFFFFF"/>
        </w:rPr>
        <w:t>因公出国（境）费用，费用支出较年初预算数无增减，</w:t>
      </w:r>
      <w:r>
        <w:rPr>
          <w:rFonts w:hint="eastAsia" w:ascii="方正仿宋_GBK" w:hAnsi="方正仿宋_GBK" w:eastAsia="方正仿宋_GBK" w:cs="方正仿宋_GBK"/>
          <w:b w:val="0"/>
          <w:bCs/>
          <w:color w:val="auto"/>
          <w:sz w:val="32"/>
          <w:szCs w:val="32"/>
          <w:shd w:val="clear" w:color="auto" w:fill="FFFFFF"/>
          <w:lang w:val="en-US" w:eastAsia="zh-CN"/>
        </w:rPr>
        <w:t>与上年持平</w:t>
      </w:r>
      <w:r>
        <w:rPr>
          <w:rFonts w:ascii="方正仿宋_GBK" w:hAnsi="方正仿宋_GBK" w:eastAsia="方正仿宋_GBK" w:cs="方正仿宋_GBK"/>
          <w:b w:val="0"/>
          <w:bCs/>
          <w:color w:val="auto"/>
          <w:sz w:val="32"/>
          <w:szCs w:val="32"/>
          <w:shd w:val="clear" w:color="auto" w:fill="FFFFFF"/>
        </w:rPr>
        <w:t>。</w:t>
      </w:r>
    </w:p>
    <w:p w14:paraId="4D0775E6">
      <w:pPr>
        <w:pStyle w:val="11"/>
        <w:keepNext w:val="0"/>
        <w:keepLines w:val="0"/>
        <w:pageBreakBefore w:val="0"/>
        <w:kinsoku/>
        <w:wordWrap/>
        <w:overflowPunct/>
        <w:topLinePunct w:val="0"/>
        <w:autoSpaceDE w:val="0"/>
        <w:autoSpaceDN/>
        <w:bidi w:val="0"/>
        <w:adjustRightInd w:val="0"/>
        <w:snapToGrid w:val="0"/>
        <w:spacing w:beforeAutospacing="0" w:afterAutospacing="0" w:line="580" w:lineRule="exact"/>
        <w:ind w:leftChars="0" w:firstLine="643"/>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（三）“三公”经费实物量情况</w:t>
      </w:r>
    </w:p>
    <w:p w14:paraId="3BF7183F">
      <w:pPr>
        <w:pStyle w:val="6"/>
        <w:keepNext w:val="0"/>
        <w:keepLines w:val="0"/>
        <w:pageBreakBefore w:val="0"/>
        <w:kinsoku/>
        <w:wordWrap/>
        <w:overflowPunct/>
        <w:topLinePunct w:val="0"/>
        <w:autoSpaceDN/>
        <w:bidi w:val="0"/>
        <w:adjustRightInd w:val="0"/>
        <w:snapToGrid w:val="0"/>
        <w:spacing w:before="0" w:beforeAutospacing="0" w:after="0" w:afterAutospacing="0" w:line="580" w:lineRule="exact"/>
        <w:ind w:leftChars="0"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 xml:space="preserve"> </w:t>
      </w:r>
      <w:r>
        <w:rPr>
          <w:rFonts w:hint="eastAsia" w:ascii="方正仿宋_GBK" w:hAnsi="方正仿宋_GBK" w:eastAsia="方正仿宋_GBK" w:cs="方正仿宋_GBK"/>
          <w:b w:val="0"/>
          <w:bCs/>
          <w:color w:val="auto"/>
          <w:sz w:val="32"/>
          <w:szCs w:val="32"/>
          <w:lang w:val="en-US" w:eastAsia="zh-CN"/>
        </w:rPr>
        <w:t>2024年度本单位无公务接待费用</w:t>
      </w:r>
      <w:r>
        <w:rPr>
          <w:rFonts w:ascii="方正仿宋_GBK" w:hAnsi="方正仿宋_GBK" w:eastAsia="方正仿宋_GBK" w:cs="方正仿宋_GBK"/>
          <w:b w:val="0"/>
          <w:bCs/>
          <w:color w:val="auto"/>
          <w:sz w:val="32"/>
          <w:szCs w:val="32"/>
          <w:shd w:val="clear" w:color="auto" w:fill="FFFFFF"/>
        </w:rPr>
        <w:t>。</w:t>
      </w:r>
    </w:p>
    <w:p w14:paraId="38CF5B35">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0" w:lineRule="exact"/>
        <w:ind w:leftChars="0" w:firstLine="640" w:firstLineChars="200"/>
        <w:textAlignment w:val="auto"/>
        <w:rPr>
          <w:rStyle w:val="10"/>
          <w:rFonts w:hint="eastAsia" w:ascii="方正黑体_GBK" w:hAnsi="方正黑体_GBK" w:eastAsia="方正黑体_GBK" w:cs="方正黑体_GBK"/>
          <w:b w:val="0"/>
          <w:bCs/>
          <w:color w:val="auto"/>
          <w:sz w:val="32"/>
          <w:szCs w:val="32"/>
          <w:shd w:val="clear" w:color="auto" w:fill="FFFFFF"/>
        </w:rPr>
      </w:pPr>
      <w:r>
        <w:rPr>
          <w:rStyle w:val="10"/>
          <w:rFonts w:hint="eastAsia" w:ascii="方正黑体_GBK" w:hAnsi="方正黑体_GBK" w:eastAsia="方正黑体_GBK" w:cs="方正黑体_GBK"/>
          <w:b w:val="0"/>
          <w:bCs/>
          <w:color w:val="auto"/>
          <w:sz w:val="32"/>
          <w:szCs w:val="32"/>
          <w:shd w:val="clear" w:color="auto" w:fill="FFFFFF"/>
        </w:rPr>
        <w:t>四、其他需要说明的事项</w:t>
      </w:r>
    </w:p>
    <w:p w14:paraId="64108F0F">
      <w:pPr>
        <w:pStyle w:val="11"/>
        <w:keepNext w:val="0"/>
        <w:keepLines w:val="0"/>
        <w:pageBreakBefore w:val="0"/>
        <w:kinsoku/>
        <w:wordWrap/>
        <w:overflowPunct/>
        <w:topLinePunct w:val="0"/>
        <w:autoSpaceDE w:val="0"/>
        <w:autoSpaceDN/>
        <w:bidi w:val="0"/>
        <w:adjustRightInd w:val="0"/>
        <w:snapToGrid w:val="0"/>
        <w:spacing w:beforeAutospacing="0" w:afterAutospacing="0" w:line="580" w:lineRule="exact"/>
        <w:ind w:leftChars="0" w:firstLine="643"/>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 xml:space="preserve"> （一）财政拨款会议费和培训费情况说明</w:t>
      </w:r>
    </w:p>
    <w:p w14:paraId="0D4221F3">
      <w:pPr>
        <w:pStyle w:val="6"/>
        <w:keepNext w:val="0"/>
        <w:keepLines w:val="0"/>
        <w:pageBreakBefore w:val="0"/>
        <w:kinsoku/>
        <w:wordWrap/>
        <w:overflowPunct/>
        <w:topLinePunct w:val="0"/>
        <w:autoSpaceDN/>
        <w:bidi w:val="0"/>
        <w:adjustRightInd w:val="0"/>
        <w:snapToGrid w:val="0"/>
        <w:spacing w:before="0" w:beforeAutospacing="0" w:after="0" w:afterAutospacing="0" w:line="580" w:lineRule="exact"/>
        <w:ind w:leftChars="0" w:firstLine="640" w:firstLineChars="200"/>
        <w:jc w:val="both"/>
        <w:textAlignment w:val="auto"/>
        <w:rPr>
          <w:rFonts w:hint="eastAsia" w:ascii="方正仿宋_GBK" w:hAnsi="方正仿宋_GBK" w:eastAsia="方正仿宋_GBK" w:cs="方正仿宋_GBK"/>
          <w:b w:val="0"/>
          <w:bCs/>
          <w:color w:val="auto"/>
          <w:sz w:val="32"/>
          <w:szCs w:val="32"/>
          <w:lang w:eastAsia="zh-CN"/>
        </w:rPr>
      </w:pPr>
      <w:r>
        <w:rPr>
          <w:rFonts w:hint="eastAsia" w:ascii="方正仿宋_GBK" w:hAnsi="方正仿宋_GBK" w:eastAsia="方正仿宋_GBK" w:cs="方正仿宋_GBK"/>
          <w:b w:val="0"/>
          <w:bCs/>
          <w:color w:val="auto"/>
          <w:sz w:val="32"/>
          <w:szCs w:val="32"/>
          <w:highlight w:val="none"/>
          <w:shd w:val="clear" w:color="auto" w:fill="FFFFFF"/>
          <w:lang w:val="en-US" w:eastAsia="zh-CN"/>
        </w:rPr>
        <w:t>2024年</w:t>
      </w:r>
      <w:r>
        <w:rPr>
          <w:rFonts w:ascii="方正仿宋_GBK" w:hAnsi="方正仿宋_GBK" w:eastAsia="方正仿宋_GBK" w:cs="方正仿宋_GBK"/>
          <w:b w:val="0"/>
          <w:bCs/>
          <w:color w:val="auto"/>
          <w:sz w:val="32"/>
          <w:szCs w:val="32"/>
          <w:highlight w:val="none"/>
          <w:shd w:val="clear" w:color="auto" w:fill="FFFFFF"/>
        </w:rPr>
        <w:t>度</w:t>
      </w:r>
      <w:r>
        <w:rPr>
          <w:rFonts w:hint="eastAsia" w:ascii="方正仿宋_GBK" w:hAnsi="宋体" w:eastAsia="方正仿宋_GBK" w:cs="宋体"/>
          <w:b w:val="0"/>
          <w:bCs/>
          <w:color w:val="auto"/>
          <w:kern w:val="0"/>
          <w:sz w:val="32"/>
          <w:szCs w:val="32"/>
          <w:highlight w:val="none"/>
        </w:rPr>
        <w:t>单位</w:t>
      </w:r>
      <w:r>
        <w:rPr>
          <w:rFonts w:ascii="方正仿宋_GBK" w:hAnsi="方正仿宋_GBK" w:eastAsia="方正仿宋_GBK" w:cs="方正仿宋_GBK"/>
          <w:b w:val="0"/>
          <w:bCs/>
          <w:color w:val="auto"/>
          <w:sz w:val="32"/>
          <w:szCs w:val="32"/>
          <w:highlight w:val="none"/>
          <w:shd w:val="clear" w:color="auto" w:fill="FFFFFF"/>
        </w:rPr>
        <w:t>会议费支出</w:t>
      </w:r>
      <w:r>
        <w:rPr>
          <w:rFonts w:hint="eastAsia" w:ascii="方正仿宋_GBK" w:hAnsi="方正仿宋_GBK" w:eastAsia="方正仿宋_GBK" w:cs="方正仿宋_GBK"/>
          <w:b w:val="0"/>
          <w:bCs/>
          <w:color w:val="auto"/>
          <w:sz w:val="32"/>
          <w:szCs w:val="32"/>
          <w:highlight w:val="none"/>
          <w:lang w:val="en-US" w:eastAsia="zh-CN"/>
        </w:rPr>
        <w:t>0</w:t>
      </w:r>
      <w:r>
        <w:rPr>
          <w:rFonts w:ascii="方正仿宋_GBK" w:hAnsi="方正仿宋_GBK" w:eastAsia="方正仿宋_GBK" w:cs="方正仿宋_GBK"/>
          <w:b w:val="0"/>
          <w:bCs/>
          <w:color w:val="auto"/>
          <w:sz w:val="32"/>
          <w:szCs w:val="32"/>
          <w:highlight w:val="none"/>
          <w:shd w:val="clear" w:color="auto" w:fill="FFFFFF"/>
        </w:rPr>
        <w:t>万元</w:t>
      </w:r>
      <w:r>
        <w:rPr>
          <w:rFonts w:hint="eastAsia" w:ascii="方正仿宋_GBK" w:hAnsi="方正仿宋_GBK" w:eastAsia="方正仿宋_GBK" w:cs="方正仿宋_GBK"/>
          <w:b w:val="0"/>
          <w:bCs/>
          <w:color w:val="auto"/>
          <w:sz w:val="32"/>
          <w:szCs w:val="32"/>
          <w:highlight w:val="none"/>
          <w:shd w:val="clear" w:color="auto" w:fill="FFFFFF"/>
          <w:lang w:eastAsia="zh-CN"/>
        </w:rPr>
        <w:t>，</w:t>
      </w:r>
      <w:r>
        <w:rPr>
          <w:rFonts w:ascii="方正仿宋_GBK" w:hAnsi="方正仿宋_GBK" w:eastAsia="方正仿宋_GBK" w:cs="方正仿宋_GBK"/>
          <w:b w:val="0"/>
          <w:bCs/>
          <w:color w:val="auto"/>
          <w:sz w:val="32"/>
          <w:szCs w:val="32"/>
          <w:shd w:val="clear" w:color="auto" w:fill="FFFFFF"/>
        </w:rPr>
        <w:t>与2023年度相比，无变化</w:t>
      </w:r>
      <w:r>
        <w:rPr>
          <w:rFonts w:hint="eastAsia" w:ascii="方正仿宋_GBK" w:hAnsi="方正仿宋_GBK" w:eastAsia="方正仿宋_GBK" w:cs="方正仿宋_GBK"/>
          <w:b w:val="0"/>
          <w:bCs/>
          <w:color w:val="auto"/>
          <w:sz w:val="32"/>
          <w:szCs w:val="32"/>
          <w:shd w:val="clear" w:color="auto" w:fill="FFFFFF"/>
          <w:lang w:eastAsia="zh-CN"/>
        </w:rPr>
        <w:t>。</w:t>
      </w:r>
    </w:p>
    <w:p w14:paraId="7E9E7701">
      <w:pPr>
        <w:pStyle w:val="11"/>
        <w:keepNext w:val="0"/>
        <w:keepLines w:val="0"/>
        <w:pageBreakBefore w:val="0"/>
        <w:kinsoku/>
        <w:wordWrap/>
        <w:overflowPunct/>
        <w:topLinePunct w:val="0"/>
        <w:autoSpaceDE w:val="0"/>
        <w:autoSpaceDN/>
        <w:bidi w:val="0"/>
        <w:adjustRightInd w:val="0"/>
        <w:snapToGrid w:val="0"/>
        <w:spacing w:beforeAutospacing="0" w:afterAutospacing="0" w:line="580" w:lineRule="exact"/>
        <w:ind w:leftChars="0" w:firstLine="643"/>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（二）机关运行经费情况说明</w:t>
      </w:r>
    </w:p>
    <w:p w14:paraId="220EC99A">
      <w:pPr>
        <w:pStyle w:val="11"/>
        <w:keepNext w:val="0"/>
        <w:keepLines w:val="0"/>
        <w:pageBreakBefore w:val="0"/>
        <w:kinsoku/>
        <w:wordWrap/>
        <w:overflowPunct/>
        <w:topLinePunct w:val="0"/>
        <w:autoSpaceDE w:val="0"/>
        <w:autoSpaceDN/>
        <w:bidi w:val="0"/>
        <w:adjustRightInd w:val="0"/>
        <w:snapToGrid w:val="0"/>
        <w:spacing w:beforeAutospacing="0" w:afterAutospacing="0" w:line="580" w:lineRule="exact"/>
        <w:ind w:leftChars="0" w:firstLine="643"/>
        <w:textAlignment w:val="auto"/>
        <w:rPr>
          <w:rFonts w:hint="default" w:ascii="方正仿宋_GBK" w:hAnsi="宋体" w:eastAsia="方正仿宋_GBK" w:cs="宋体"/>
          <w:b w:val="0"/>
          <w:bCs/>
          <w:color w:val="auto"/>
          <w:kern w:val="0"/>
          <w:sz w:val="32"/>
          <w:szCs w:val="32"/>
          <w:highlight w:val="none"/>
        </w:rPr>
      </w:pPr>
      <w:r>
        <w:rPr>
          <w:rFonts w:hint="default" w:ascii="方正仿宋_GBK" w:hAnsi="宋体" w:eastAsia="方正仿宋_GBK" w:cs="宋体"/>
          <w:b w:val="0"/>
          <w:bCs/>
          <w:color w:val="auto"/>
          <w:kern w:val="0"/>
          <w:sz w:val="32"/>
          <w:szCs w:val="32"/>
          <w:highlight w:val="none"/>
        </w:rPr>
        <w:t>按照部门决算列报口径，我单位不在机关运行经费统计范围之内。</w:t>
      </w:r>
    </w:p>
    <w:p w14:paraId="7DA1727E">
      <w:pPr>
        <w:pStyle w:val="11"/>
        <w:keepNext w:val="0"/>
        <w:keepLines w:val="0"/>
        <w:pageBreakBefore w:val="0"/>
        <w:kinsoku/>
        <w:wordWrap/>
        <w:overflowPunct/>
        <w:topLinePunct w:val="0"/>
        <w:autoSpaceDE w:val="0"/>
        <w:autoSpaceDN/>
        <w:bidi w:val="0"/>
        <w:adjustRightInd w:val="0"/>
        <w:snapToGrid w:val="0"/>
        <w:spacing w:beforeAutospacing="0" w:afterAutospacing="0" w:line="580" w:lineRule="exact"/>
        <w:ind w:leftChars="0" w:firstLine="643"/>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（三）国有资产占用情况说明</w:t>
      </w:r>
    </w:p>
    <w:p w14:paraId="321B630B">
      <w:pPr>
        <w:pStyle w:val="6"/>
        <w:keepNext w:val="0"/>
        <w:keepLines w:val="0"/>
        <w:pageBreakBefore w:val="0"/>
        <w:kinsoku/>
        <w:wordWrap/>
        <w:overflowPunct/>
        <w:topLinePunct w:val="0"/>
        <w:autoSpaceDN/>
        <w:bidi w:val="0"/>
        <w:adjustRightInd w:val="0"/>
        <w:snapToGrid w:val="0"/>
        <w:spacing w:before="0" w:beforeAutospacing="0" w:after="0" w:afterAutospacing="0" w:line="580" w:lineRule="exact"/>
        <w:ind w:leftChars="0"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截至</w:t>
      </w:r>
      <w:r>
        <w:rPr>
          <w:rFonts w:hint="eastAsia" w:ascii="方正仿宋_GBK" w:hAnsi="方正仿宋_GBK" w:eastAsia="方正仿宋_GBK" w:cs="方正仿宋_GBK"/>
          <w:b w:val="0"/>
          <w:bCs/>
          <w:color w:val="auto"/>
          <w:sz w:val="32"/>
          <w:szCs w:val="32"/>
          <w:shd w:val="clear" w:color="auto" w:fill="FFFFFF"/>
          <w:lang w:eastAsia="zh-CN"/>
        </w:rPr>
        <w:t>2024年</w:t>
      </w:r>
      <w:r>
        <w:rPr>
          <w:rFonts w:ascii="方正仿宋_GBK" w:hAnsi="方正仿宋_GBK" w:eastAsia="方正仿宋_GBK" w:cs="方正仿宋_GBK"/>
          <w:b w:val="0"/>
          <w:bCs/>
          <w:color w:val="auto"/>
          <w:sz w:val="32"/>
          <w:szCs w:val="32"/>
          <w:shd w:val="clear" w:color="auto" w:fill="FFFFFF"/>
        </w:rPr>
        <w:t>12月31日，本单位共有车辆</w:t>
      </w:r>
      <w:r>
        <w:rPr>
          <w:rFonts w:ascii="方正仿宋_GBK" w:hAnsi="方正仿宋_GBK" w:eastAsia="方正仿宋_GBK" w:cs="方正仿宋_GBK"/>
          <w:b w:val="0"/>
          <w:bCs/>
          <w:color w:val="auto"/>
          <w:sz w:val="32"/>
          <w:szCs w:val="32"/>
        </w:rPr>
        <w:t>1</w:t>
      </w:r>
      <w:r>
        <w:rPr>
          <w:rFonts w:ascii="方正仿宋_GBK" w:hAnsi="方正仿宋_GBK" w:eastAsia="方正仿宋_GBK" w:cs="方正仿宋_GBK"/>
          <w:b w:val="0"/>
          <w:bCs/>
          <w:color w:val="auto"/>
          <w:sz w:val="32"/>
          <w:szCs w:val="32"/>
          <w:shd w:val="clear" w:color="auto" w:fill="FFFFFF"/>
        </w:rPr>
        <w:t>辆，其中，特种专业技术用车</w:t>
      </w:r>
      <w:r>
        <w:rPr>
          <w:rFonts w:ascii="方正仿宋_GBK" w:hAnsi="方正仿宋_GBK" w:eastAsia="方正仿宋_GBK" w:cs="方正仿宋_GBK"/>
          <w:b w:val="0"/>
          <w:bCs/>
          <w:color w:val="auto"/>
          <w:sz w:val="32"/>
          <w:szCs w:val="32"/>
        </w:rPr>
        <w:t>1</w:t>
      </w:r>
      <w:r>
        <w:rPr>
          <w:rFonts w:ascii="方正仿宋_GBK" w:hAnsi="方正仿宋_GBK" w:eastAsia="方正仿宋_GBK" w:cs="方正仿宋_GBK"/>
          <w:b w:val="0"/>
          <w:bCs/>
          <w:color w:val="auto"/>
          <w:sz w:val="32"/>
          <w:szCs w:val="32"/>
          <w:shd w:val="clear" w:color="auto" w:fill="FFFFFF"/>
        </w:rPr>
        <w:t>辆。单价100万元（含）以上专用设备</w:t>
      </w:r>
      <w:r>
        <w:rPr>
          <w:rFonts w:ascii="方正仿宋_GBK" w:hAnsi="方正仿宋_GBK" w:eastAsia="方正仿宋_GBK" w:cs="方正仿宋_GBK"/>
          <w:b w:val="0"/>
          <w:bCs/>
          <w:color w:val="auto"/>
          <w:sz w:val="32"/>
          <w:szCs w:val="32"/>
        </w:rPr>
        <w:t>1</w:t>
      </w:r>
      <w:r>
        <w:rPr>
          <w:rFonts w:ascii="方正仿宋_GBK" w:hAnsi="方正仿宋_GBK" w:eastAsia="方正仿宋_GBK" w:cs="方正仿宋_GBK"/>
          <w:b w:val="0"/>
          <w:bCs/>
          <w:color w:val="auto"/>
          <w:sz w:val="32"/>
          <w:szCs w:val="32"/>
          <w:shd w:val="clear" w:color="auto" w:fill="FFFFFF"/>
        </w:rPr>
        <w:t>台（套）。</w:t>
      </w:r>
    </w:p>
    <w:p w14:paraId="2ED81073">
      <w:pPr>
        <w:pStyle w:val="11"/>
        <w:keepNext w:val="0"/>
        <w:keepLines w:val="0"/>
        <w:pageBreakBefore w:val="0"/>
        <w:kinsoku/>
        <w:wordWrap/>
        <w:overflowPunct/>
        <w:topLinePunct w:val="0"/>
        <w:autoSpaceDE w:val="0"/>
        <w:autoSpaceDN/>
        <w:bidi w:val="0"/>
        <w:adjustRightInd w:val="0"/>
        <w:snapToGrid w:val="0"/>
        <w:spacing w:beforeAutospacing="0" w:afterAutospacing="0" w:line="580" w:lineRule="exact"/>
        <w:ind w:leftChars="0" w:firstLine="643"/>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（四）政府采购支出情况说明</w:t>
      </w:r>
    </w:p>
    <w:p w14:paraId="69F2F03A">
      <w:pPr>
        <w:pStyle w:val="6"/>
        <w:keepNext w:val="0"/>
        <w:keepLines w:val="0"/>
        <w:pageBreakBefore w:val="0"/>
        <w:kinsoku/>
        <w:wordWrap/>
        <w:overflowPunct/>
        <w:topLinePunct w:val="0"/>
        <w:autoSpaceDN/>
        <w:bidi w:val="0"/>
        <w:adjustRightInd w:val="0"/>
        <w:snapToGrid w:val="0"/>
        <w:spacing w:before="0" w:beforeAutospacing="0" w:after="0" w:afterAutospacing="0" w:line="580" w:lineRule="exact"/>
        <w:ind w:leftChars="0"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lang w:val="en-US" w:eastAsia="zh-CN"/>
        </w:rPr>
      </w:pPr>
      <w:r>
        <w:rPr>
          <w:rFonts w:hint="eastAsia" w:ascii="方正仿宋_GBK" w:hAnsi="方正仿宋_GBK" w:eastAsia="方正仿宋_GBK" w:cs="方正仿宋_GBK"/>
          <w:b w:val="0"/>
          <w:bCs/>
          <w:color w:val="auto"/>
          <w:sz w:val="32"/>
          <w:szCs w:val="32"/>
          <w:shd w:val="clear" w:color="auto" w:fill="FFFFFF"/>
          <w:lang w:eastAsia="zh-CN"/>
        </w:rPr>
        <w:t>2024年</w:t>
      </w:r>
      <w:r>
        <w:rPr>
          <w:rFonts w:ascii="方正仿宋_GBK" w:hAnsi="方正仿宋_GBK" w:eastAsia="方正仿宋_GBK" w:cs="方正仿宋_GBK"/>
          <w:b w:val="0"/>
          <w:bCs/>
          <w:color w:val="auto"/>
          <w:sz w:val="32"/>
          <w:szCs w:val="32"/>
          <w:shd w:val="clear" w:color="auto" w:fill="FFFFFF"/>
        </w:rPr>
        <w:t>度本单位政府采购支出总额</w:t>
      </w:r>
      <w:r>
        <w:rPr>
          <w:rFonts w:ascii="方正仿宋_GBK" w:hAnsi="方正仿宋_GBK" w:eastAsia="方正仿宋_GBK" w:cs="方正仿宋_GBK"/>
          <w:b w:val="0"/>
          <w:bCs/>
          <w:color w:val="auto"/>
          <w:sz w:val="32"/>
          <w:szCs w:val="32"/>
        </w:rPr>
        <w:t>1.07</w:t>
      </w:r>
      <w:r>
        <w:rPr>
          <w:rFonts w:ascii="方正仿宋_GBK" w:hAnsi="方正仿宋_GBK" w:eastAsia="方正仿宋_GBK" w:cs="方正仿宋_GBK"/>
          <w:b w:val="0"/>
          <w:bCs/>
          <w:color w:val="auto"/>
          <w:sz w:val="32"/>
          <w:szCs w:val="32"/>
          <w:shd w:val="clear" w:color="auto" w:fill="FFFFFF"/>
        </w:rPr>
        <w:t>万元，其中：政府采购货物支出</w:t>
      </w:r>
      <w:r>
        <w:rPr>
          <w:rFonts w:ascii="方正仿宋_GBK" w:hAnsi="方正仿宋_GBK" w:eastAsia="方正仿宋_GBK" w:cs="方正仿宋_GBK"/>
          <w:b w:val="0"/>
          <w:bCs/>
          <w:color w:val="auto"/>
          <w:sz w:val="32"/>
          <w:szCs w:val="32"/>
        </w:rPr>
        <w:t>1.07</w:t>
      </w:r>
      <w:r>
        <w:rPr>
          <w:rFonts w:ascii="方正仿宋_GBK" w:hAnsi="方正仿宋_GBK" w:eastAsia="方正仿宋_GBK" w:cs="方正仿宋_GBK"/>
          <w:b w:val="0"/>
          <w:bCs/>
          <w:color w:val="auto"/>
          <w:sz w:val="32"/>
          <w:szCs w:val="32"/>
          <w:shd w:val="clear" w:color="auto" w:fill="FFFFFF"/>
        </w:rPr>
        <w:t>万元。授予中小企业合同金额</w:t>
      </w:r>
      <w:r>
        <w:rPr>
          <w:rFonts w:ascii="方正仿宋_GBK" w:hAnsi="方正仿宋_GBK" w:eastAsia="方正仿宋_GBK" w:cs="方正仿宋_GBK"/>
          <w:b w:val="0"/>
          <w:bCs/>
          <w:color w:val="auto"/>
          <w:sz w:val="32"/>
          <w:szCs w:val="32"/>
        </w:rPr>
        <w:t>0.79万</w:t>
      </w:r>
      <w:r>
        <w:rPr>
          <w:rFonts w:ascii="方正仿宋_GBK" w:hAnsi="方正仿宋_GBK" w:eastAsia="方正仿宋_GBK" w:cs="方正仿宋_GBK"/>
          <w:b w:val="0"/>
          <w:bCs/>
          <w:color w:val="auto"/>
          <w:sz w:val="32"/>
          <w:szCs w:val="32"/>
          <w:shd w:val="clear" w:color="auto" w:fill="FFFFFF"/>
        </w:rPr>
        <w:t>元，占政府采购支出总额的</w:t>
      </w:r>
      <w:r>
        <w:rPr>
          <w:rFonts w:ascii="方正仿宋_GBK" w:hAnsi="方正仿宋_GBK" w:eastAsia="方正仿宋_GBK" w:cs="方正仿宋_GBK"/>
          <w:b w:val="0"/>
          <w:bCs/>
          <w:color w:val="auto"/>
          <w:sz w:val="32"/>
          <w:szCs w:val="32"/>
        </w:rPr>
        <w:t>73.3%</w:t>
      </w:r>
      <w:r>
        <w:rPr>
          <w:rFonts w:ascii="方正仿宋_GBK" w:hAnsi="方正仿宋_GBK" w:eastAsia="方正仿宋_GBK" w:cs="方正仿宋_GBK"/>
          <w:b w:val="0"/>
          <w:bCs/>
          <w:color w:val="auto"/>
          <w:sz w:val="32"/>
          <w:szCs w:val="32"/>
          <w:shd w:val="clear" w:color="auto" w:fill="FFFFFF"/>
        </w:rPr>
        <w:t>，其中：授予小微企业合同金额</w:t>
      </w:r>
      <w:r>
        <w:rPr>
          <w:rFonts w:ascii="方正仿宋_GBK" w:hAnsi="方正仿宋_GBK" w:eastAsia="方正仿宋_GBK" w:cs="方正仿宋_GBK"/>
          <w:b w:val="0"/>
          <w:bCs/>
          <w:color w:val="auto"/>
          <w:sz w:val="32"/>
          <w:szCs w:val="32"/>
        </w:rPr>
        <w:t>0.79</w:t>
      </w:r>
      <w:r>
        <w:rPr>
          <w:rFonts w:ascii="方正仿宋_GBK" w:hAnsi="方正仿宋_GBK" w:eastAsia="方正仿宋_GBK" w:cs="方正仿宋_GBK"/>
          <w:b w:val="0"/>
          <w:bCs/>
          <w:color w:val="auto"/>
          <w:sz w:val="32"/>
          <w:szCs w:val="32"/>
          <w:shd w:val="clear" w:color="auto" w:fill="FFFFFF"/>
        </w:rPr>
        <w:t>万元，占政府采购支出总额的</w:t>
      </w:r>
      <w:r>
        <w:rPr>
          <w:rFonts w:ascii="方正仿宋_GBK" w:hAnsi="方正仿宋_GBK" w:eastAsia="方正仿宋_GBK" w:cs="方正仿宋_GBK"/>
          <w:b w:val="0"/>
          <w:bCs/>
          <w:color w:val="auto"/>
          <w:sz w:val="32"/>
          <w:szCs w:val="32"/>
        </w:rPr>
        <w:t>73.3</w:t>
      </w:r>
      <w:r>
        <w:rPr>
          <w:rFonts w:ascii="方正仿宋_GBK" w:hAnsi="方正仿宋_GBK" w:eastAsia="方正仿宋_GBK" w:cs="方正仿宋_GBK"/>
          <w:b w:val="0"/>
          <w:bCs/>
          <w:color w:val="auto"/>
          <w:sz w:val="32"/>
          <w:szCs w:val="32"/>
          <w:shd w:val="clear" w:color="auto" w:fill="FFFFFF"/>
        </w:rPr>
        <w:t>%。主要用于采购</w:t>
      </w:r>
      <w:r>
        <w:rPr>
          <w:rFonts w:hint="eastAsia" w:ascii="方正仿宋_GBK" w:hAnsi="方正仿宋_GBK" w:eastAsia="方正仿宋_GBK" w:cs="方正仿宋_GBK"/>
          <w:b w:val="0"/>
          <w:bCs/>
          <w:color w:val="auto"/>
          <w:sz w:val="32"/>
          <w:szCs w:val="32"/>
          <w:shd w:val="clear" w:color="auto" w:fill="FFFFFF"/>
          <w:lang w:val="en-US" w:eastAsia="zh-CN"/>
        </w:rPr>
        <w:t>办公用纸及病房空调。</w:t>
      </w:r>
    </w:p>
    <w:p w14:paraId="182BFE1E">
      <w:pPr>
        <w:pStyle w:val="16"/>
        <w:keepNext w:val="0"/>
        <w:keepLines w:val="0"/>
        <w:pageBreakBefore w:val="0"/>
        <w:tabs>
          <w:tab w:val="center" w:pos="4153"/>
          <w:tab w:val="left" w:pos="7275"/>
        </w:tabs>
        <w:kinsoku/>
        <w:wordWrap/>
        <w:overflowPunct/>
        <w:topLinePunct w:val="0"/>
        <w:autoSpaceDN/>
        <w:bidi w:val="0"/>
        <w:adjustRightInd w:val="0"/>
        <w:snapToGrid w:val="0"/>
        <w:spacing w:beforeAutospacing="0" w:afterAutospacing="0" w:line="580" w:lineRule="exact"/>
        <w:ind w:leftChars="0" w:firstLine="640" w:firstLineChars="200"/>
        <w:textAlignment w:val="auto"/>
        <w:rPr>
          <w:rFonts w:hint="eastAsia" w:ascii="Times New Roman" w:hAnsi="Times New Roman" w:eastAsia="方正黑体_GBK" w:cs="宋体"/>
          <w:b w:val="0"/>
          <w:bCs/>
          <w:color w:val="auto"/>
          <w:kern w:val="0"/>
          <w:sz w:val="32"/>
          <w:szCs w:val="32"/>
          <w:highlight w:val="none"/>
        </w:rPr>
      </w:pPr>
      <w:r>
        <w:rPr>
          <w:rFonts w:hint="eastAsia" w:ascii="Times New Roman" w:hAnsi="Times New Roman" w:eastAsia="方正黑体_GBK" w:cs="宋体"/>
          <w:b w:val="0"/>
          <w:bCs/>
          <w:color w:val="auto"/>
          <w:kern w:val="0"/>
          <w:sz w:val="32"/>
          <w:szCs w:val="32"/>
          <w:highlight w:val="none"/>
          <w:lang w:val="en-US" w:eastAsia="zh-CN"/>
        </w:rPr>
        <w:t>五、</w:t>
      </w:r>
      <w:r>
        <w:rPr>
          <w:rFonts w:hint="eastAsia" w:ascii="Times New Roman" w:hAnsi="Times New Roman" w:eastAsia="方正黑体_GBK" w:cs="宋体"/>
          <w:b w:val="0"/>
          <w:bCs/>
          <w:color w:val="auto"/>
          <w:kern w:val="0"/>
          <w:sz w:val="32"/>
          <w:szCs w:val="32"/>
          <w:highlight w:val="none"/>
        </w:rPr>
        <w:t>预算绩效管理情况说明</w:t>
      </w:r>
    </w:p>
    <w:p w14:paraId="79C5DBBB">
      <w:pPr>
        <w:pStyle w:val="6"/>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80" w:lineRule="exact"/>
        <w:ind w:left="0" w:leftChars="0" w:right="0" w:firstLine="640" w:firstLineChars="200"/>
        <w:jc w:val="both"/>
        <w:textAlignment w:val="auto"/>
        <w:rPr>
          <w:rFonts w:hint="default" w:ascii="方正楷体_GBK" w:hAnsi="方正楷体_GBK" w:eastAsia="方正楷体_GBK" w:cs="方正楷体_GBK"/>
          <w:b w:val="0"/>
          <w:bCs/>
          <w:color w:val="auto"/>
          <w:kern w:val="2"/>
          <w:sz w:val="32"/>
          <w:szCs w:val="32"/>
          <w:highlight w:val="none"/>
          <w:shd w:val="clear" w:color="auto" w:fill="FFFFFF"/>
        </w:rPr>
      </w:pPr>
      <w:r>
        <w:rPr>
          <w:rFonts w:hint="default" w:ascii="方正楷体_GBK" w:hAnsi="方正楷体_GBK" w:eastAsia="方正楷体_GBK" w:cs="方正楷体_GBK"/>
          <w:b w:val="0"/>
          <w:bCs/>
          <w:color w:val="auto"/>
          <w:kern w:val="2"/>
          <w:sz w:val="32"/>
          <w:szCs w:val="32"/>
          <w:highlight w:val="none"/>
          <w:shd w:val="clear" w:color="auto" w:fill="FFFFFF"/>
          <w:lang w:val="en-US" w:eastAsia="zh-CN" w:bidi="ar"/>
        </w:rPr>
        <w:t>（一）预算绩效管理工作开展情况</w:t>
      </w:r>
    </w:p>
    <w:p w14:paraId="70C0B7A0">
      <w:pPr>
        <w:pStyle w:val="6"/>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580" w:lineRule="exact"/>
        <w:ind w:left="0" w:leftChars="0" w:right="0" w:firstLine="640" w:firstLineChars="200"/>
        <w:jc w:val="left"/>
        <w:textAlignment w:val="auto"/>
        <w:rPr>
          <w:rFonts w:hint="eastAsia" w:ascii="方正仿宋_GBK" w:hAnsi="方正仿宋_GBK" w:eastAsia="方正仿宋_GBK" w:cs="方正仿宋_GBK"/>
          <w:b w:val="0"/>
          <w:bCs/>
          <w:color w:val="auto"/>
          <w:kern w:val="0"/>
          <w:sz w:val="32"/>
          <w:szCs w:val="32"/>
          <w:highlight w:val="none"/>
          <w:lang w:val="en-US" w:eastAsia="zh-CN" w:bidi="ar"/>
        </w:rPr>
      </w:pPr>
      <w:r>
        <w:rPr>
          <w:rFonts w:hint="eastAsia" w:ascii="Times New Roman" w:hAnsi="Times New Roman" w:eastAsia="方正仿宋_GBK" w:cs="宋体"/>
          <w:b w:val="0"/>
          <w:bCs/>
          <w:color w:val="auto"/>
          <w:kern w:val="0"/>
          <w:sz w:val="32"/>
          <w:szCs w:val="32"/>
          <w:highlight w:val="none"/>
        </w:rPr>
        <w:t>根据预算绩效管理要求，我</w:t>
      </w:r>
      <w:r>
        <w:rPr>
          <w:rFonts w:hint="eastAsia" w:ascii="Times New Roman" w:hAnsi="Times New Roman" w:eastAsia="方正仿宋_GBK" w:cs="宋体"/>
          <w:b w:val="0"/>
          <w:bCs/>
          <w:color w:val="auto"/>
          <w:kern w:val="0"/>
          <w:sz w:val="32"/>
          <w:szCs w:val="32"/>
          <w:highlight w:val="none"/>
          <w:lang w:val="en-US" w:eastAsia="zh-CN"/>
        </w:rPr>
        <w:t>院</w:t>
      </w:r>
      <w:r>
        <w:rPr>
          <w:rFonts w:hint="eastAsia" w:ascii="Times New Roman" w:hAnsi="Times New Roman" w:eastAsia="方正仿宋_GBK" w:cs="宋体"/>
          <w:b w:val="0"/>
          <w:bCs/>
          <w:color w:val="auto"/>
          <w:kern w:val="0"/>
          <w:sz w:val="32"/>
          <w:szCs w:val="32"/>
          <w:highlight w:val="none"/>
        </w:rPr>
        <w:t>对</w:t>
      </w:r>
      <w:r>
        <w:rPr>
          <w:rFonts w:hint="eastAsia" w:ascii="Times New Roman" w:hAnsi="Times New Roman" w:eastAsia="方正仿宋_GBK" w:cs="宋体"/>
          <w:b w:val="0"/>
          <w:bCs/>
          <w:color w:val="auto"/>
          <w:kern w:val="0"/>
          <w:sz w:val="32"/>
          <w:szCs w:val="32"/>
          <w:highlight w:val="none"/>
          <w:lang w:val="en-US" w:eastAsia="zh-CN"/>
        </w:rPr>
        <w:t>4</w:t>
      </w:r>
      <w:r>
        <w:rPr>
          <w:rFonts w:hint="eastAsia" w:ascii="Times New Roman" w:hAnsi="Times New Roman" w:eastAsia="方正仿宋_GBK" w:cs="宋体"/>
          <w:b w:val="0"/>
          <w:bCs/>
          <w:color w:val="auto"/>
          <w:kern w:val="0"/>
          <w:sz w:val="32"/>
          <w:szCs w:val="32"/>
          <w:highlight w:val="none"/>
        </w:rPr>
        <w:t>个项目</w:t>
      </w:r>
      <w:r>
        <w:rPr>
          <w:rFonts w:hint="eastAsia" w:ascii="Times New Roman" w:hAnsi="Times New Roman" w:eastAsia="方正仿宋_GBK" w:cs="宋体"/>
          <w:b w:val="0"/>
          <w:bCs/>
          <w:color w:val="auto"/>
          <w:kern w:val="0"/>
          <w:sz w:val="32"/>
          <w:szCs w:val="32"/>
          <w:highlight w:val="none"/>
          <w:lang w:eastAsia="zh-CN"/>
        </w:rPr>
        <w:t>（</w:t>
      </w:r>
      <w:r>
        <w:rPr>
          <w:rFonts w:hint="eastAsia" w:ascii="Times New Roman" w:hAnsi="Times New Roman" w:eastAsia="方正仿宋_GBK" w:cs="宋体"/>
          <w:b w:val="0"/>
          <w:bCs/>
          <w:color w:val="auto"/>
          <w:kern w:val="0"/>
          <w:sz w:val="32"/>
          <w:szCs w:val="32"/>
          <w:highlight w:val="none"/>
          <w:lang w:val="en-US" w:eastAsia="zh-CN"/>
        </w:rPr>
        <w:t>软件正版化、基本公共卫生服务区级配套、一次性死亡</w:t>
      </w:r>
      <w:bookmarkStart w:id="0" w:name="_GoBack"/>
      <w:bookmarkEnd w:id="0"/>
      <w:r>
        <w:rPr>
          <w:rFonts w:hint="eastAsia" w:ascii="Times New Roman" w:hAnsi="Times New Roman" w:eastAsia="方正仿宋_GBK" w:cs="宋体"/>
          <w:b w:val="0"/>
          <w:bCs/>
          <w:color w:val="auto"/>
          <w:kern w:val="0"/>
          <w:sz w:val="32"/>
          <w:szCs w:val="32"/>
          <w:highlight w:val="none"/>
          <w:lang w:val="en-US" w:eastAsia="zh-CN"/>
        </w:rPr>
        <w:t>抚恤、一次性退休补贴</w:t>
      </w:r>
      <w:r>
        <w:rPr>
          <w:rFonts w:hint="eastAsia" w:ascii="Times New Roman" w:hAnsi="Times New Roman" w:eastAsia="方正仿宋_GBK" w:cs="宋体"/>
          <w:b w:val="0"/>
          <w:bCs/>
          <w:color w:val="auto"/>
          <w:kern w:val="0"/>
          <w:sz w:val="32"/>
          <w:szCs w:val="32"/>
          <w:highlight w:val="none"/>
          <w:lang w:eastAsia="zh-CN"/>
        </w:rPr>
        <w:t>）</w:t>
      </w:r>
      <w:r>
        <w:rPr>
          <w:rFonts w:hint="eastAsia" w:ascii="Times New Roman" w:hAnsi="Times New Roman" w:eastAsia="方正仿宋_GBK" w:cs="宋体"/>
          <w:b w:val="0"/>
          <w:bCs/>
          <w:color w:val="auto"/>
          <w:kern w:val="0"/>
          <w:sz w:val="32"/>
          <w:szCs w:val="32"/>
          <w:highlight w:val="none"/>
        </w:rPr>
        <w:t>开展了绩效自评</w:t>
      </w:r>
      <w:r>
        <w:rPr>
          <w:rFonts w:hint="eastAsia" w:ascii="Times New Roman" w:hAnsi="Times New Roman" w:eastAsia="方正仿宋_GBK" w:cs="宋体"/>
          <w:b w:val="0"/>
          <w:bCs/>
          <w:color w:val="auto"/>
          <w:kern w:val="0"/>
          <w:sz w:val="32"/>
          <w:szCs w:val="32"/>
          <w:highlight w:val="none"/>
          <w:lang w:eastAsia="zh-CN"/>
        </w:rPr>
        <w:t>，</w:t>
      </w:r>
      <w:r>
        <w:rPr>
          <w:rFonts w:hint="default" w:ascii="方正仿宋_GBK" w:hAnsi="方正仿宋_GBK" w:eastAsia="方正仿宋_GBK" w:cs="方正仿宋_GBK"/>
          <w:b w:val="0"/>
          <w:bCs/>
          <w:color w:val="auto"/>
          <w:kern w:val="0"/>
          <w:sz w:val="32"/>
          <w:szCs w:val="32"/>
          <w:highlight w:val="none"/>
          <w:lang w:val="en-US" w:eastAsia="zh-CN" w:bidi="ar"/>
        </w:rPr>
        <w:t>涉及项目支出资金</w:t>
      </w:r>
      <w:r>
        <w:rPr>
          <w:rFonts w:hint="eastAsia" w:ascii="方正仿宋_GBK" w:hAnsi="方正仿宋_GBK" w:eastAsia="方正仿宋_GBK" w:cs="方正仿宋_GBK"/>
          <w:b w:val="0"/>
          <w:bCs/>
          <w:color w:val="auto"/>
          <w:kern w:val="0"/>
          <w:sz w:val="32"/>
          <w:szCs w:val="32"/>
          <w:highlight w:val="none"/>
          <w:lang w:val="en-US" w:eastAsia="zh-CN" w:bidi="ar"/>
        </w:rPr>
        <w:t>150.24</w:t>
      </w:r>
      <w:r>
        <w:rPr>
          <w:rFonts w:hint="default" w:ascii="方正仿宋_GBK" w:hAnsi="方正仿宋_GBK" w:eastAsia="方正仿宋_GBK" w:cs="方正仿宋_GBK"/>
          <w:b w:val="0"/>
          <w:bCs/>
          <w:color w:val="auto"/>
          <w:kern w:val="0"/>
          <w:sz w:val="32"/>
          <w:szCs w:val="32"/>
          <w:highlight w:val="none"/>
          <w:lang w:val="en-US" w:eastAsia="zh-CN" w:bidi="ar"/>
        </w:rPr>
        <w:t>万元</w:t>
      </w:r>
      <w:r>
        <w:rPr>
          <w:rFonts w:hint="eastAsia" w:ascii="方正仿宋_GBK" w:hAnsi="方正仿宋_GBK" w:eastAsia="方正仿宋_GBK" w:cs="方正仿宋_GBK"/>
          <w:b w:val="0"/>
          <w:bCs/>
          <w:color w:val="auto"/>
          <w:kern w:val="0"/>
          <w:sz w:val="32"/>
          <w:szCs w:val="32"/>
          <w:highlight w:val="none"/>
          <w:lang w:val="en-US" w:eastAsia="zh-CN" w:bidi="ar"/>
        </w:rPr>
        <w:t>，其中</w:t>
      </w:r>
      <w:r>
        <w:rPr>
          <w:rFonts w:hint="default" w:ascii="方正仿宋_GBK" w:hAnsi="方正仿宋_GBK" w:eastAsia="方正仿宋_GBK" w:cs="方正仿宋_GBK"/>
          <w:b w:val="0"/>
          <w:bCs/>
          <w:color w:val="auto"/>
          <w:kern w:val="0"/>
          <w:sz w:val="32"/>
          <w:szCs w:val="32"/>
          <w:highlight w:val="none"/>
          <w:lang w:val="en-US" w:eastAsia="zh-CN" w:bidi="ar"/>
        </w:rPr>
        <w:t>财政拨款项目支出资金</w:t>
      </w:r>
      <w:r>
        <w:rPr>
          <w:rFonts w:hint="eastAsia" w:ascii="方正仿宋_GBK" w:hAnsi="方正仿宋_GBK" w:eastAsia="方正仿宋_GBK" w:cs="方正仿宋_GBK"/>
          <w:b w:val="0"/>
          <w:bCs/>
          <w:color w:val="auto"/>
          <w:kern w:val="0"/>
          <w:sz w:val="32"/>
          <w:szCs w:val="32"/>
          <w:highlight w:val="none"/>
          <w:lang w:val="en-US" w:eastAsia="zh-CN" w:bidi="ar"/>
        </w:rPr>
        <w:t>148.24</w:t>
      </w:r>
      <w:r>
        <w:rPr>
          <w:rFonts w:hint="default" w:ascii="方正仿宋_GBK" w:hAnsi="方正仿宋_GBK" w:eastAsia="方正仿宋_GBK" w:cs="方正仿宋_GBK"/>
          <w:b w:val="0"/>
          <w:bCs/>
          <w:color w:val="auto"/>
          <w:kern w:val="0"/>
          <w:sz w:val="32"/>
          <w:szCs w:val="32"/>
          <w:highlight w:val="none"/>
          <w:lang w:val="en-US" w:eastAsia="zh-CN" w:bidi="ar"/>
        </w:rPr>
        <w:t>万元</w:t>
      </w:r>
      <w:r>
        <w:rPr>
          <w:rFonts w:hint="eastAsia" w:ascii="方正仿宋_GBK" w:hAnsi="方正仿宋_GBK" w:eastAsia="方正仿宋_GBK" w:cs="方正仿宋_GBK"/>
          <w:b w:val="0"/>
          <w:bCs/>
          <w:color w:val="auto"/>
          <w:kern w:val="0"/>
          <w:sz w:val="32"/>
          <w:szCs w:val="32"/>
          <w:highlight w:val="none"/>
          <w:lang w:val="en-US" w:eastAsia="zh-CN" w:bidi="ar"/>
        </w:rPr>
        <w:t>。</w:t>
      </w:r>
    </w:p>
    <w:p w14:paraId="3F82AFAB">
      <w:pPr>
        <w:pStyle w:val="6"/>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580" w:lineRule="exact"/>
        <w:ind w:left="0" w:leftChars="0" w:right="0" w:firstLine="640" w:firstLineChars="200"/>
        <w:jc w:val="left"/>
        <w:textAlignment w:val="auto"/>
        <w:rPr>
          <w:rFonts w:hint="default" w:ascii="方正楷体_GBK" w:hAnsi="宋体" w:eastAsia="方正楷体_GBK" w:cs="宋体"/>
          <w:b w:val="0"/>
          <w:bCs/>
          <w:color w:val="auto"/>
          <w:kern w:val="0"/>
          <w:sz w:val="32"/>
          <w:szCs w:val="32"/>
          <w:highlight w:val="none"/>
        </w:rPr>
      </w:pPr>
      <w:r>
        <w:rPr>
          <w:rFonts w:hint="default" w:ascii="方正楷体_GBK" w:hAnsi="方正楷体_GBK" w:eastAsia="方正楷体_GBK" w:cs="方正楷体_GBK"/>
          <w:b w:val="0"/>
          <w:bCs/>
          <w:color w:val="auto"/>
          <w:kern w:val="2"/>
          <w:sz w:val="32"/>
          <w:szCs w:val="32"/>
          <w:highlight w:val="none"/>
          <w:shd w:val="clear" w:color="auto" w:fill="FFFFFF"/>
          <w:lang w:val="en-US" w:eastAsia="zh-CN" w:bidi="ar"/>
        </w:rPr>
        <w:t>（二）</w:t>
      </w:r>
      <w:r>
        <w:rPr>
          <w:rFonts w:hint="default" w:ascii="方正楷体_GBK" w:hAnsi="方正楷体_GBK" w:eastAsia="方正楷体_GBK" w:cs="方正楷体_GBK"/>
          <w:b w:val="0"/>
          <w:bCs/>
          <w:color w:val="auto"/>
          <w:kern w:val="0"/>
          <w:sz w:val="32"/>
          <w:szCs w:val="32"/>
          <w:highlight w:val="none"/>
          <w:lang w:val="en-US" w:eastAsia="zh-CN" w:bidi="ar"/>
        </w:rPr>
        <w:t>绩效自评结果</w:t>
      </w:r>
    </w:p>
    <w:p w14:paraId="72AC60C2">
      <w:pPr>
        <w:pStyle w:val="6"/>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580" w:lineRule="exact"/>
        <w:ind w:left="0" w:leftChars="0" w:right="0" w:firstLine="640" w:firstLineChars="200"/>
        <w:jc w:val="left"/>
        <w:textAlignment w:val="auto"/>
        <w:rPr>
          <w:rFonts w:hint="default" w:ascii="方正仿宋_GBK" w:hAnsi="方正仿宋_GBK" w:eastAsia="方正仿宋_GBK" w:cs="方正仿宋_GBK"/>
          <w:b w:val="0"/>
          <w:bCs/>
          <w:color w:val="auto"/>
          <w:kern w:val="2"/>
          <w:sz w:val="32"/>
          <w:szCs w:val="32"/>
          <w:highlight w:val="none"/>
          <w:shd w:val="clear" w:color="auto" w:fill="FFFFFF"/>
        </w:rPr>
      </w:pPr>
      <w:r>
        <w:rPr>
          <w:rFonts w:hint="default" w:ascii="方正仿宋_GBK" w:hAnsi="方正仿宋_GBK" w:eastAsia="方正仿宋_GBK" w:cs="方正仿宋_GBK"/>
          <w:b w:val="0"/>
          <w:bCs/>
          <w:color w:val="auto"/>
          <w:kern w:val="0"/>
          <w:sz w:val="32"/>
          <w:szCs w:val="32"/>
          <w:highlight w:val="none"/>
          <w:lang w:val="en-US" w:eastAsia="zh-CN" w:bidi="ar"/>
        </w:rPr>
        <w:t>绩效自评结果详见附件</w:t>
      </w:r>
      <w:r>
        <w:rPr>
          <w:rFonts w:hint="eastAsia" w:ascii="Times New Roman" w:hAnsi="Times New Roman" w:eastAsia="方正仿宋_GBK" w:cs="宋体"/>
          <w:b w:val="0"/>
          <w:bCs/>
          <w:color w:val="auto"/>
          <w:kern w:val="0"/>
          <w:sz w:val="32"/>
          <w:szCs w:val="32"/>
          <w:highlight w:val="none"/>
          <w:lang w:val="en-US" w:eastAsia="zh-CN" w:bidi="ar"/>
        </w:rPr>
        <w:t>2024</w:t>
      </w:r>
      <w:r>
        <w:rPr>
          <w:rFonts w:hint="default" w:ascii="方正仿宋_GBK" w:hAnsi="方正仿宋_GBK" w:eastAsia="方正仿宋_GBK" w:cs="方正仿宋_GBK"/>
          <w:b w:val="0"/>
          <w:bCs/>
          <w:color w:val="auto"/>
          <w:kern w:val="0"/>
          <w:sz w:val="32"/>
          <w:szCs w:val="32"/>
          <w:highlight w:val="none"/>
          <w:lang w:val="en-US" w:eastAsia="zh-CN" w:bidi="ar"/>
        </w:rPr>
        <w:t>年度绩效自评公开表（《部门整体绩效自评表》、《项目绩效自评结果汇总表》、《项目支出绩效自评表》）。</w:t>
      </w:r>
    </w:p>
    <w:p w14:paraId="358AEA65">
      <w:pPr>
        <w:pStyle w:val="6"/>
        <w:keepNext w:val="0"/>
        <w:keepLines w:val="0"/>
        <w:pageBreakBefore w:val="0"/>
        <w:widowControl w:val="0"/>
        <w:numPr>
          <w:ilvl w:val="0"/>
          <w:numId w:val="3"/>
        </w:numPr>
        <w:suppressLineNumbers w:val="0"/>
        <w:kinsoku/>
        <w:wordWrap/>
        <w:overflowPunct/>
        <w:topLinePunct w:val="0"/>
        <w:autoSpaceDN/>
        <w:bidi w:val="0"/>
        <w:adjustRightInd w:val="0"/>
        <w:snapToGrid w:val="0"/>
        <w:spacing w:before="0" w:beforeAutospacing="0" w:after="0" w:afterAutospacing="0" w:line="580" w:lineRule="exact"/>
        <w:ind w:left="0" w:leftChars="0" w:right="0" w:firstLine="640" w:firstLineChars="200"/>
        <w:jc w:val="both"/>
        <w:textAlignment w:val="auto"/>
        <w:rPr>
          <w:rFonts w:hint="default" w:ascii="方正楷体_GBK" w:hAnsi="方正楷体_GBK" w:eastAsia="方正楷体_GBK" w:cs="方正楷体_GBK"/>
          <w:b w:val="0"/>
          <w:bCs/>
          <w:color w:val="auto"/>
          <w:kern w:val="2"/>
          <w:sz w:val="32"/>
          <w:szCs w:val="32"/>
          <w:highlight w:val="none"/>
          <w:shd w:val="clear" w:color="auto" w:fill="FFFFFF"/>
          <w:lang w:val="en-US" w:eastAsia="zh-CN" w:bidi="ar"/>
        </w:rPr>
      </w:pPr>
      <w:r>
        <w:rPr>
          <w:rFonts w:hint="default" w:ascii="方正楷体_GBK" w:hAnsi="方正楷体_GBK" w:eastAsia="方正楷体_GBK" w:cs="方正楷体_GBK"/>
          <w:b w:val="0"/>
          <w:bCs/>
          <w:color w:val="auto"/>
          <w:kern w:val="2"/>
          <w:sz w:val="32"/>
          <w:szCs w:val="32"/>
          <w:highlight w:val="none"/>
          <w:shd w:val="clear" w:color="auto" w:fill="FFFFFF"/>
          <w:lang w:val="en-US" w:eastAsia="zh-CN" w:bidi="ar"/>
        </w:rPr>
        <w:t>财政绩效评价情况</w:t>
      </w:r>
    </w:p>
    <w:p w14:paraId="6D8BCCE1">
      <w:pPr>
        <w:pStyle w:val="6"/>
        <w:keepNext w:val="0"/>
        <w:keepLines w:val="0"/>
        <w:pageBreakBefore w:val="0"/>
        <w:widowControl w:val="0"/>
        <w:numPr>
          <w:ilvl w:val="0"/>
          <w:numId w:val="0"/>
        </w:numPr>
        <w:suppressLineNumbers w:val="0"/>
        <w:kinsoku/>
        <w:wordWrap/>
        <w:overflowPunct/>
        <w:topLinePunct w:val="0"/>
        <w:autoSpaceDN/>
        <w:bidi w:val="0"/>
        <w:adjustRightInd w:val="0"/>
        <w:snapToGrid w:val="0"/>
        <w:spacing w:before="0" w:beforeAutospacing="0" w:after="0" w:afterAutospacing="0" w:line="580" w:lineRule="exact"/>
        <w:ind w:leftChars="0" w:right="0" w:rightChars="0" w:firstLine="640" w:firstLineChars="200"/>
        <w:jc w:val="both"/>
        <w:textAlignment w:val="auto"/>
        <w:rPr>
          <w:rStyle w:val="10"/>
          <w:rFonts w:hint="eastAsia" w:ascii="方正仿宋_GBK" w:hAnsi="方正仿宋_GBK" w:eastAsia="方正仿宋_GBK" w:cs="方正仿宋_GBK"/>
          <w:b w:val="0"/>
          <w:bCs/>
          <w:color w:val="auto"/>
          <w:sz w:val="32"/>
          <w:szCs w:val="32"/>
          <w:highlight w:val="none"/>
          <w:shd w:val="clear" w:color="auto" w:fill="FFFFFF"/>
        </w:rPr>
      </w:pPr>
      <w:r>
        <w:rPr>
          <w:rStyle w:val="10"/>
          <w:rFonts w:hint="eastAsia" w:ascii="方正仿宋_GBK" w:hAnsi="方正仿宋_GBK" w:eastAsia="方正仿宋_GBK" w:cs="方正仿宋_GBK"/>
          <w:b w:val="0"/>
          <w:bCs/>
          <w:color w:val="auto"/>
          <w:sz w:val="32"/>
          <w:szCs w:val="32"/>
          <w:highlight w:val="none"/>
          <w:shd w:val="clear" w:color="auto" w:fill="FFFFFF"/>
          <w:lang w:val="en-US" w:eastAsia="zh-CN"/>
        </w:rPr>
        <w:t>区财政局未委托第三方对我单位开展绩效评价。</w:t>
      </w:r>
    </w:p>
    <w:p w14:paraId="1C7FA248">
      <w:pPr>
        <w:pStyle w:val="12"/>
        <w:keepNext w:val="0"/>
        <w:keepLines w:val="0"/>
        <w:pageBreakBefore w:val="0"/>
        <w:widowControl/>
        <w:kinsoku/>
        <w:wordWrap/>
        <w:overflowPunct/>
        <w:topLinePunct w:val="0"/>
        <w:autoSpaceDE w:val="0"/>
        <w:autoSpaceDN/>
        <w:bidi w:val="0"/>
        <w:adjustRightInd w:val="0"/>
        <w:snapToGrid w:val="0"/>
        <w:spacing w:before="0" w:beforeAutospacing="0" w:after="0" w:afterAutospacing="0" w:line="580" w:lineRule="exact"/>
        <w:ind w:leftChars="0"/>
        <w:textAlignment w:val="auto"/>
        <w:rPr>
          <w:rFonts w:hint="eastAsia" w:ascii="方正仿宋_GBK" w:hAnsi="方正仿宋_GBK" w:eastAsia="方正仿宋_GBK" w:cs="方正仿宋_GBK"/>
          <w:b w:val="0"/>
          <w:bCs/>
          <w:color w:val="auto"/>
          <w:kern w:val="0"/>
          <w:sz w:val="32"/>
          <w:szCs w:val="32"/>
        </w:rPr>
      </w:pPr>
      <w:r>
        <w:rPr>
          <w:rStyle w:val="13"/>
          <w:rFonts w:hint="eastAsia" w:ascii="方正仿宋_GBK" w:hAnsi="方正仿宋_GBK" w:eastAsia="方正仿宋_GBK" w:cs="方正仿宋_GBK"/>
          <w:b w:val="0"/>
          <w:bCs/>
          <w:color w:val="auto"/>
          <w:sz w:val="32"/>
          <w:szCs w:val="32"/>
          <w:shd w:val="clear" w:fill="FFFFFF"/>
        </w:rPr>
        <w:t xml:space="preserve"> </w:t>
      </w:r>
      <w:r>
        <w:rPr>
          <w:rStyle w:val="13"/>
          <w:rFonts w:hint="eastAsia" w:ascii="方正仿宋_GBK" w:hAnsi="方正仿宋_GBK" w:eastAsia="方正仿宋_GBK" w:cs="方正仿宋_GBK"/>
          <w:b w:val="0"/>
          <w:bCs/>
          <w:color w:val="auto"/>
          <w:sz w:val="32"/>
          <w:szCs w:val="32"/>
          <w:shd w:val="clear" w:fill="FFFFFF"/>
          <w:lang w:val="en-US" w:eastAsia="zh-CN"/>
        </w:rPr>
        <w:t xml:space="preserve">  </w:t>
      </w:r>
      <w:r>
        <w:rPr>
          <w:rStyle w:val="10"/>
          <w:rFonts w:hint="eastAsia" w:ascii="方正黑体_GBK" w:hAnsi="方正黑体_GBK" w:eastAsia="方正黑体_GBK" w:cs="方正黑体_GBK"/>
          <w:b w:val="0"/>
          <w:bCs/>
          <w:color w:val="auto"/>
          <w:sz w:val="32"/>
          <w:szCs w:val="32"/>
          <w:shd w:val="clear" w:color="auto" w:fill="FFFFFF"/>
          <w:lang w:val="en-US" w:eastAsia="zh-CN" w:bidi="ar-SA"/>
        </w:rPr>
        <w:t xml:space="preserve"> 六、专业名词解释</w:t>
      </w:r>
    </w:p>
    <w:p w14:paraId="33B8801F">
      <w:pPr>
        <w:pStyle w:val="12"/>
        <w:keepNext w:val="0"/>
        <w:keepLines w:val="0"/>
        <w:pageBreakBefore w:val="0"/>
        <w:widowControl/>
        <w:kinsoku/>
        <w:wordWrap/>
        <w:overflowPunct/>
        <w:topLinePunct w:val="0"/>
        <w:autoSpaceDN/>
        <w:bidi w:val="0"/>
        <w:adjustRightInd w:val="0"/>
        <w:snapToGrid w:val="0"/>
        <w:spacing w:before="0" w:beforeAutospacing="0" w:after="0" w:afterAutospacing="0" w:line="580" w:lineRule="exact"/>
        <w:ind w:leftChars="0" w:firstLine="640" w:firstLineChars="200"/>
        <w:textAlignment w:val="auto"/>
        <w:rPr>
          <w:rFonts w:hint="eastAsia" w:ascii="方正仿宋_GBK" w:hAnsi="方正仿宋_GBK" w:eastAsia="方正仿宋_GBK" w:cs="方正仿宋_GBK"/>
          <w:b w:val="0"/>
          <w:bCs/>
          <w:color w:val="auto"/>
          <w:kern w:val="0"/>
          <w:sz w:val="32"/>
          <w:szCs w:val="32"/>
        </w:rPr>
      </w:pPr>
      <w:r>
        <w:rPr>
          <w:rStyle w:val="10"/>
          <w:rFonts w:hint="eastAsia" w:ascii="方正楷体_GBK" w:hAnsi="方正楷体_GBK" w:eastAsia="方正楷体_GBK" w:cs="方正楷体_GBK"/>
          <w:b w:val="0"/>
          <w:bCs/>
          <w:color w:val="auto"/>
          <w:sz w:val="32"/>
          <w:szCs w:val="32"/>
          <w:shd w:val="clear" w:color="auto" w:fill="FFFFFF"/>
          <w:lang w:val="en-US" w:eastAsia="zh-CN" w:bidi="ar-SA"/>
        </w:rPr>
        <w:t>（一）财政拨款收入：</w:t>
      </w:r>
      <w:r>
        <w:rPr>
          <w:rFonts w:hint="eastAsia" w:ascii="方正仿宋_GBK" w:hAnsi="方正仿宋_GBK" w:eastAsia="方正仿宋_GBK" w:cs="方正仿宋_GBK"/>
          <w:b w:val="0"/>
          <w:bCs/>
          <w:color w:val="auto"/>
          <w:kern w:val="0"/>
          <w:sz w:val="32"/>
          <w:szCs w:val="32"/>
          <w:shd w:val="clear" w:fill="FFFFFF"/>
        </w:rPr>
        <w:t>指本年度从本级财政部门取得的财政拨款，包括一般公共预算财政拨款和政府性基金预算财政拨款。</w:t>
      </w:r>
    </w:p>
    <w:p w14:paraId="253979A4">
      <w:pPr>
        <w:pStyle w:val="12"/>
        <w:keepNext w:val="0"/>
        <w:keepLines w:val="0"/>
        <w:pageBreakBefore w:val="0"/>
        <w:widowControl/>
        <w:kinsoku/>
        <w:wordWrap/>
        <w:overflowPunct/>
        <w:topLinePunct w:val="0"/>
        <w:autoSpaceDN/>
        <w:bidi w:val="0"/>
        <w:adjustRightInd w:val="0"/>
        <w:snapToGrid w:val="0"/>
        <w:spacing w:before="0" w:beforeAutospacing="0" w:after="0" w:afterAutospacing="0" w:line="580" w:lineRule="exact"/>
        <w:ind w:leftChars="0" w:firstLine="640" w:firstLineChars="200"/>
        <w:textAlignment w:val="auto"/>
        <w:rPr>
          <w:rFonts w:hint="eastAsia" w:ascii="方正仿宋_GBK" w:hAnsi="方正仿宋_GBK" w:eastAsia="方正仿宋_GBK" w:cs="方正仿宋_GBK"/>
          <w:b w:val="0"/>
          <w:bCs/>
          <w:color w:val="auto"/>
          <w:kern w:val="0"/>
          <w:sz w:val="32"/>
          <w:szCs w:val="32"/>
        </w:rPr>
      </w:pPr>
      <w:r>
        <w:rPr>
          <w:rStyle w:val="10"/>
          <w:rFonts w:hint="eastAsia" w:ascii="方正楷体_GBK" w:hAnsi="方正楷体_GBK" w:eastAsia="方正楷体_GBK" w:cs="方正楷体_GBK"/>
          <w:b w:val="0"/>
          <w:bCs/>
          <w:color w:val="auto"/>
          <w:sz w:val="32"/>
          <w:szCs w:val="32"/>
          <w:shd w:val="clear" w:color="auto" w:fill="FFFFFF"/>
          <w:lang w:val="en-US" w:eastAsia="zh-CN" w:bidi="ar-SA"/>
        </w:rPr>
        <w:t>（二）事业收入：</w:t>
      </w:r>
      <w:r>
        <w:rPr>
          <w:rFonts w:hint="eastAsia" w:ascii="方正仿宋_GBK" w:hAnsi="方正仿宋_GBK" w:eastAsia="方正仿宋_GBK" w:cs="方正仿宋_GBK"/>
          <w:b w:val="0"/>
          <w:bCs/>
          <w:color w:val="auto"/>
          <w:kern w:val="0"/>
          <w:sz w:val="32"/>
          <w:szCs w:val="32"/>
          <w:shd w:val="clear" w:fill="FFFFFF"/>
        </w:rPr>
        <w:t>指事业单位开展专业业务活动及其辅助活动取得的现金流入；事业单位收到的财政专户实际核拨的教育收费等资金在此反映。</w:t>
      </w:r>
    </w:p>
    <w:p w14:paraId="7A3DDF7C">
      <w:pPr>
        <w:pStyle w:val="12"/>
        <w:keepNext w:val="0"/>
        <w:keepLines w:val="0"/>
        <w:pageBreakBefore w:val="0"/>
        <w:widowControl/>
        <w:kinsoku/>
        <w:wordWrap/>
        <w:overflowPunct/>
        <w:topLinePunct w:val="0"/>
        <w:autoSpaceDN/>
        <w:bidi w:val="0"/>
        <w:adjustRightInd w:val="0"/>
        <w:snapToGrid w:val="0"/>
        <w:spacing w:before="0" w:beforeAutospacing="0" w:after="0" w:afterAutospacing="0" w:line="580" w:lineRule="exact"/>
        <w:ind w:leftChars="0" w:firstLine="640" w:firstLineChars="200"/>
        <w:textAlignment w:val="auto"/>
        <w:rPr>
          <w:rFonts w:hint="eastAsia" w:ascii="方正仿宋_GBK" w:hAnsi="方正仿宋_GBK" w:eastAsia="方正仿宋_GBK" w:cs="方正仿宋_GBK"/>
          <w:b w:val="0"/>
          <w:bCs/>
          <w:color w:val="auto"/>
          <w:kern w:val="0"/>
          <w:sz w:val="32"/>
          <w:szCs w:val="32"/>
        </w:rPr>
      </w:pPr>
      <w:r>
        <w:rPr>
          <w:rStyle w:val="10"/>
          <w:rFonts w:hint="eastAsia" w:ascii="方正楷体_GBK" w:hAnsi="方正楷体_GBK" w:eastAsia="方正楷体_GBK" w:cs="方正楷体_GBK"/>
          <w:b w:val="0"/>
          <w:bCs/>
          <w:color w:val="auto"/>
          <w:sz w:val="32"/>
          <w:szCs w:val="32"/>
          <w:shd w:val="clear" w:color="auto" w:fill="FFFFFF"/>
          <w:lang w:val="en-US" w:eastAsia="zh-CN" w:bidi="ar-SA"/>
        </w:rPr>
        <w:t>（三）经营收入：</w:t>
      </w:r>
      <w:r>
        <w:rPr>
          <w:rFonts w:hint="eastAsia" w:ascii="方正仿宋_GBK" w:hAnsi="方正仿宋_GBK" w:eastAsia="方正仿宋_GBK" w:cs="方正仿宋_GBK"/>
          <w:b w:val="0"/>
          <w:bCs/>
          <w:color w:val="auto"/>
          <w:kern w:val="0"/>
          <w:sz w:val="32"/>
          <w:szCs w:val="32"/>
          <w:shd w:val="clear" w:fill="FFFFFF"/>
        </w:rPr>
        <w:t>指事业单位在专业业务活动及其辅助活动之外开展非独立核算经营活动取得的现金流入。</w:t>
      </w:r>
    </w:p>
    <w:p w14:paraId="015CBFAF">
      <w:pPr>
        <w:pStyle w:val="12"/>
        <w:keepNext w:val="0"/>
        <w:keepLines w:val="0"/>
        <w:pageBreakBefore w:val="0"/>
        <w:widowControl/>
        <w:kinsoku/>
        <w:wordWrap/>
        <w:overflowPunct/>
        <w:topLinePunct w:val="0"/>
        <w:autoSpaceDN/>
        <w:bidi w:val="0"/>
        <w:adjustRightInd w:val="0"/>
        <w:snapToGrid w:val="0"/>
        <w:spacing w:before="0" w:beforeAutospacing="0" w:after="0" w:afterAutospacing="0" w:line="580" w:lineRule="exact"/>
        <w:ind w:leftChars="0" w:firstLine="640" w:firstLineChars="200"/>
        <w:textAlignment w:val="auto"/>
        <w:rPr>
          <w:rFonts w:hint="eastAsia" w:ascii="方正仿宋_GBK" w:hAnsi="方正仿宋_GBK" w:eastAsia="方正仿宋_GBK" w:cs="方正仿宋_GBK"/>
          <w:b w:val="0"/>
          <w:bCs/>
          <w:color w:val="auto"/>
          <w:kern w:val="0"/>
          <w:sz w:val="32"/>
          <w:szCs w:val="32"/>
        </w:rPr>
      </w:pPr>
      <w:r>
        <w:rPr>
          <w:rStyle w:val="10"/>
          <w:rFonts w:hint="eastAsia" w:ascii="方正楷体_GBK" w:hAnsi="方正楷体_GBK" w:eastAsia="方正楷体_GBK" w:cs="方正楷体_GBK"/>
          <w:b w:val="0"/>
          <w:bCs/>
          <w:color w:val="auto"/>
          <w:sz w:val="32"/>
          <w:szCs w:val="32"/>
          <w:shd w:val="clear" w:color="auto" w:fill="FFFFFF"/>
          <w:lang w:val="en-US" w:eastAsia="zh-CN" w:bidi="ar-SA"/>
        </w:rPr>
        <w:t>（四）其他收入：</w:t>
      </w:r>
      <w:r>
        <w:rPr>
          <w:rFonts w:hint="eastAsia" w:ascii="方正仿宋_GBK" w:hAnsi="方正仿宋_GBK" w:eastAsia="方正仿宋_GBK" w:cs="方正仿宋_GBK"/>
          <w:b w:val="0"/>
          <w:bCs/>
          <w:color w:val="auto"/>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5B48A3C">
      <w:pPr>
        <w:pStyle w:val="12"/>
        <w:keepNext w:val="0"/>
        <w:keepLines w:val="0"/>
        <w:pageBreakBefore w:val="0"/>
        <w:widowControl/>
        <w:kinsoku/>
        <w:wordWrap/>
        <w:overflowPunct/>
        <w:topLinePunct w:val="0"/>
        <w:autoSpaceDN/>
        <w:bidi w:val="0"/>
        <w:adjustRightInd w:val="0"/>
        <w:snapToGrid w:val="0"/>
        <w:spacing w:before="0" w:beforeAutospacing="0" w:after="0" w:afterAutospacing="0" w:line="580" w:lineRule="exact"/>
        <w:ind w:leftChars="0" w:firstLine="640" w:firstLineChars="200"/>
        <w:textAlignment w:val="auto"/>
        <w:rPr>
          <w:rFonts w:hint="eastAsia" w:ascii="方正仿宋_GBK" w:hAnsi="方正仿宋_GBK" w:eastAsia="方正仿宋_GBK" w:cs="方正仿宋_GBK"/>
          <w:b w:val="0"/>
          <w:bCs/>
          <w:color w:val="auto"/>
          <w:kern w:val="0"/>
          <w:sz w:val="32"/>
          <w:szCs w:val="32"/>
        </w:rPr>
      </w:pPr>
      <w:r>
        <w:rPr>
          <w:rStyle w:val="10"/>
          <w:rFonts w:hint="eastAsia" w:ascii="方正楷体_GBK" w:hAnsi="方正楷体_GBK" w:eastAsia="方正楷体_GBK" w:cs="方正楷体_GBK"/>
          <w:b w:val="0"/>
          <w:bCs/>
          <w:color w:val="auto"/>
          <w:sz w:val="32"/>
          <w:szCs w:val="32"/>
          <w:shd w:val="clear" w:color="auto" w:fill="FFFFFF"/>
          <w:lang w:val="en-US" w:eastAsia="zh-CN" w:bidi="ar-SA"/>
        </w:rPr>
        <w:t>（五）使用非财政拨款结余：</w:t>
      </w:r>
      <w:r>
        <w:rPr>
          <w:rFonts w:hint="eastAsia" w:ascii="方正仿宋_GBK" w:hAnsi="方正仿宋_GBK" w:eastAsia="方正仿宋_GBK" w:cs="方正仿宋_GBK"/>
          <w:b w:val="0"/>
          <w:bCs/>
          <w:color w:val="auto"/>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73903CD0">
      <w:pPr>
        <w:pStyle w:val="12"/>
        <w:keepNext w:val="0"/>
        <w:keepLines w:val="0"/>
        <w:pageBreakBefore w:val="0"/>
        <w:widowControl/>
        <w:kinsoku/>
        <w:wordWrap/>
        <w:overflowPunct/>
        <w:topLinePunct w:val="0"/>
        <w:autoSpaceDN/>
        <w:bidi w:val="0"/>
        <w:adjustRightInd w:val="0"/>
        <w:snapToGrid w:val="0"/>
        <w:spacing w:before="0" w:beforeAutospacing="0" w:after="0" w:afterAutospacing="0" w:line="580" w:lineRule="exact"/>
        <w:ind w:leftChars="0" w:firstLine="640" w:firstLineChars="200"/>
        <w:textAlignment w:val="auto"/>
        <w:rPr>
          <w:rFonts w:hint="eastAsia" w:ascii="方正仿宋_GBK" w:hAnsi="方正仿宋_GBK" w:eastAsia="方正仿宋_GBK" w:cs="方正仿宋_GBK"/>
          <w:b w:val="0"/>
          <w:bCs/>
          <w:color w:val="auto"/>
          <w:kern w:val="0"/>
          <w:sz w:val="32"/>
          <w:szCs w:val="32"/>
        </w:rPr>
      </w:pPr>
      <w:r>
        <w:rPr>
          <w:rStyle w:val="10"/>
          <w:rFonts w:hint="eastAsia" w:ascii="方正楷体_GBK" w:hAnsi="方正楷体_GBK" w:eastAsia="方正楷体_GBK" w:cs="方正楷体_GBK"/>
          <w:b w:val="0"/>
          <w:bCs/>
          <w:color w:val="auto"/>
          <w:sz w:val="32"/>
          <w:szCs w:val="32"/>
          <w:shd w:val="clear" w:color="auto" w:fill="FFFFFF"/>
          <w:lang w:val="en-US" w:eastAsia="zh-CN" w:bidi="ar-SA"/>
        </w:rPr>
        <w:t>（六）年初结转和结余：</w:t>
      </w:r>
      <w:r>
        <w:rPr>
          <w:rFonts w:hint="eastAsia" w:ascii="方正仿宋_GBK" w:hAnsi="方正仿宋_GBK" w:eastAsia="方正仿宋_GBK" w:cs="方正仿宋_GBK"/>
          <w:b w:val="0"/>
          <w:bCs/>
          <w:color w:val="auto"/>
          <w:kern w:val="0"/>
          <w:sz w:val="32"/>
          <w:szCs w:val="32"/>
          <w:shd w:val="clear" w:fill="FFFFFF"/>
        </w:rPr>
        <w:t>指单位上年结转本年使用的基本支出结转、项目支出结转和结余、经营结余。</w:t>
      </w:r>
    </w:p>
    <w:p w14:paraId="720913A7">
      <w:pPr>
        <w:pStyle w:val="12"/>
        <w:keepNext w:val="0"/>
        <w:keepLines w:val="0"/>
        <w:pageBreakBefore w:val="0"/>
        <w:widowControl/>
        <w:kinsoku/>
        <w:wordWrap/>
        <w:overflowPunct/>
        <w:topLinePunct w:val="0"/>
        <w:autoSpaceDN/>
        <w:bidi w:val="0"/>
        <w:adjustRightInd w:val="0"/>
        <w:snapToGrid w:val="0"/>
        <w:spacing w:before="0" w:beforeAutospacing="0" w:after="0" w:afterAutospacing="0" w:line="580" w:lineRule="exact"/>
        <w:ind w:leftChars="0" w:firstLine="640" w:firstLineChars="200"/>
        <w:textAlignment w:val="auto"/>
        <w:rPr>
          <w:rFonts w:hint="eastAsia" w:ascii="方正仿宋_GBK" w:hAnsi="方正仿宋_GBK" w:eastAsia="方正仿宋_GBK" w:cs="方正仿宋_GBK"/>
          <w:b w:val="0"/>
          <w:bCs/>
          <w:color w:val="auto"/>
          <w:kern w:val="0"/>
          <w:sz w:val="32"/>
          <w:szCs w:val="32"/>
        </w:rPr>
      </w:pPr>
      <w:r>
        <w:rPr>
          <w:rStyle w:val="10"/>
          <w:rFonts w:hint="eastAsia" w:ascii="方正楷体_GBK" w:hAnsi="方正楷体_GBK" w:eastAsia="方正楷体_GBK" w:cs="方正楷体_GBK"/>
          <w:b w:val="0"/>
          <w:bCs/>
          <w:color w:val="auto"/>
          <w:sz w:val="32"/>
          <w:szCs w:val="32"/>
          <w:shd w:val="clear" w:color="auto" w:fill="FFFFFF"/>
          <w:lang w:val="en-US" w:eastAsia="zh-CN" w:bidi="ar-SA"/>
        </w:rPr>
        <w:t>（七）结余分配：</w:t>
      </w:r>
      <w:r>
        <w:rPr>
          <w:rFonts w:hint="eastAsia" w:ascii="方正仿宋_GBK" w:hAnsi="方正仿宋_GBK" w:eastAsia="方正仿宋_GBK" w:cs="方正仿宋_GBK"/>
          <w:b w:val="0"/>
          <w:bCs/>
          <w:color w:val="auto"/>
          <w:kern w:val="0"/>
          <w:sz w:val="32"/>
          <w:szCs w:val="32"/>
          <w:shd w:val="clear" w:fill="FFFFFF"/>
        </w:rPr>
        <w:t>指单位按照国家有关规定，缴纳所得税、提取专用基金、转入非财政拨款结余等当年结余的分配情况。</w:t>
      </w:r>
    </w:p>
    <w:p w14:paraId="22A630ED">
      <w:pPr>
        <w:pStyle w:val="12"/>
        <w:keepNext w:val="0"/>
        <w:keepLines w:val="0"/>
        <w:pageBreakBefore w:val="0"/>
        <w:widowControl/>
        <w:kinsoku/>
        <w:wordWrap/>
        <w:overflowPunct/>
        <w:topLinePunct w:val="0"/>
        <w:autoSpaceDN/>
        <w:bidi w:val="0"/>
        <w:adjustRightInd w:val="0"/>
        <w:snapToGrid w:val="0"/>
        <w:spacing w:before="0" w:beforeAutospacing="0" w:after="0" w:afterAutospacing="0" w:line="580" w:lineRule="exact"/>
        <w:ind w:leftChars="0" w:firstLine="640" w:firstLineChars="200"/>
        <w:textAlignment w:val="auto"/>
        <w:rPr>
          <w:rFonts w:hint="eastAsia" w:ascii="方正仿宋_GBK" w:hAnsi="方正仿宋_GBK" w:eastAsia="方正仿宋_GBK" w:cs="方正仿宋_GBK"/>
          <w:b w:val="0"/>
          <w:bCs/>
          <w:color w:val="auto"/>
          <w:kern w:val="0"/>
          <w:sz w:val="32"/>
          <w:szCs w:val="32"/>
        </w:rPr>
      </w:pPr>
      <w:r>
        <w:rPr>
          <w:rStyle w:val="10"/>
          <w:rFonts w:hint="eastAsia" w:ascii="方正楷体_GBK" w:hAnsi="方正楷体_GBK" w:eastAsia="方正楷体_GBK" w:cs="方正楷体_GBK"/>
          <w:b w:val="0"/>
          <w:bCs/>
          <w:color w:val="auto"/>
          <w:sz w:val="32"/>
          <w:szCs w:val="32"/>
          <w:shd w:val="clear" w:color="auto" w:fill="FFFFFF"/>
          <w:lang w:val="en-US" w:eastAsia="zh-CN" w:bidi="ar-SA"/>
        </w:rPr>
        <w:t>（八）年末结转和结余：</w:t>
      </w:r>
      <w:r>
        <w:rPr>
          <w:rFonts w:hint="eastAsia" w:ascii="方正仿宋_GBK" w:hAnsi="方正仿宋_GBK" w:eastAsia="方正仿宋_GBK" w:cs="方正仿宋_GBK"/>
          <w:b w:val="0"/>
          <w:bCs/>
          <w:color w:val="auto"/>
          <w:kern w:val="0"/>
          <w:sz w:val="32"/>
          <w:szCs w:val="32"/>
          <w:shd w:val="clear" w:fill="FFFFFF"/>
        </w:rPr>
        <w:t>指单位结转下年的基本支出结转、项目支出结转和结余、经营结余。</w:t>
      </w:r>
    </w:p>
    <w:p w14:paraId="4C86B9CC">
      <w:pPr>
        <w:pStyle w:val="12"/>
        <w:keepNext w:val="0"/>
        <w:keepLines w:val="0"/>
        <w:pageBreakBefore w:val="0"/>
        <w:widowControl/>
        <w:kinsoku/>
        <w:wordWrap/>
        <w:overflowPunct/>
        <w:topLinePunct w:val="0"/>
        <w:autoSpaceDN/>
        <w:bidi w:val="0"/>
        <w:adjustRightInd w:val="0"/>
        <w:snapToGrid w:val="0"/>
        <w:spacing w:before="0" w:beforeAutospacing="0" w:after="0" w:afterAutospacing="0" w:line="580" w:lineRule="exact"/>
        <w:ind w:leftChars="0" w:firstLine="640" w:firstLineChars="200"/>
        <w:textAlignment w:val="auto"/>
        <w:rPr>
          <w:rFonts w:hint="eastAsia" w:ascii="方正仿宋_GBK" w:hAnsi="方正仿宋_GBK" w:eastAsia="方正仿宋_GBK" w:cs="方正仿宋_GBK"/>
          <w:b w:val="0"/>
          <w:bCs/>
          <w:color w:val="auto"/>
          <w:kern w:val="0"/>
          <w:sz w:val="32"/>
          <w:szCs w:val="32"/>
        </w:rPr>
      </w:pPr>
      <w:r>
        <w:rPr>
          <w:rStyle w:val="10"/>
          <w:rFonts w:hint="eastAsia" w:ascii="方正楷体_GBK" w:hAnsi="方正楷体_GBK" w:eastAsia="方正楷体_GBK" w:cs="方正楷体_GBK"/>
          <w:b w:val="0"/>
          <w:bCs/>
          <w:color w:val="auto"/>
          <w:sz w:val="32"/>
          <w:szCs w:val="32"/>
          <w:shd w:val="clear" w:color="auto" w:fill="FFFFFF"/>
          <w:lang w:val="en-US" w:eastAsia="zh-CN" w:bidi="ar-SA"/>
        </w:rPr>
        <w:t>（九）基本支出：</w:t>
      </w:r>
      <w:r>
        <w:rPr>
          <w:rFonts w:hint="eastAsia" w:ascii="方正仿宋_GBK" w:hAnsi="方正仿宋_GBK" w:eastAsia="方正仿宋_GBK" w:cs="方正仿宋_GBK"/>
          <w:b w:val="0"/>
          <w:bCs/>
          <w:color w:val="auto"/>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574EA9B">
      <w:pPr>
        <w:pStyle w:val="12"/>
        <w:keepNext w:val="0"/>
        <w:keepLines w:val="0"/>
        <w:pageBreakBefore w:val="0"/>
        <w:widowControl/>
        <w:kinsoku/>
        <w:wordWrap/>
        <w:overflowPunct/>
        <w:topLinePunct w:val="0"/>
        <w:autoSpaceDN/>
        <w:bidi w:val="0"/>
        <w:adjustRightInd w:val="0"/>
        <w:snapToGrid w:val="0"/>
        <w:spacing w:before="0" w:beforeAutospacing="0" w:after="0" w:afterAutospacing="0" w:line="580" w:lineRule="exact"/>
        <w:ind w:leftChars="0" w:firstLine="640" w:firstLineChars="200"/>
        <w:textAlignment w:val="auto"/>
        <w:rPr>
          <w:rFonts w:hint="eastAsia" w:ascii="方正仿宋_GBK" w:hAnsi="方正仿宋_GBK" w:eastAsia="方正仿宋_GBK" w:cs="方正仿宋_GBK"/>
          <w:b w:val="0"/>
          <w:bCs/>
          <w:color w:val="auto"/>
          <w:kern w:val="0"/>
          <w:sz w:val="32"/>
          <w:szCs w:val="32"/>
        </w:rPr>
      </w:pPr>
      <w:r>
        <w:rPr>
          <w:rStyle w:val="10"/>
          <w:rFonts w:hint="eastAsia" w:ascii="方正楷体_GBK" w:hAnsi="方正楷体_GBK" w:eastAsia="方正楷体_GBK" w:cs="方正楷体_GBK"/>
          <w:b w:val="0"/>
          <w:bCs/>
          <w:color w:val="auto"/>
          <w:sz w:val="32"/>
          <w:szCs w:val="32"/>
          <w:shd w:val="clear" w:color="auto" w:fill="FFFFFF"/>
          <w:lang w:val="en-US" w:eastAsia="zh-CN" w:bidi="ar-SA"/>
        </w:rPr>
        <w:t>（十）项目支出：</w:t>
      </w:r>
      <w:r>
        <w:rPr>
          <w:rFonts w:hint="eastAsia" w:ascii="方正仿宋_GBK" w:hAnsi="方正仿宋_GBK" w:eastAsia="方正仿宋_GBK" w:cs="方正仿宋_GBK"/>
          <w:b w:val="0"/>
          <w:bCs/>
          <w:color w:val="auto"/>
          <w:kern w:val="0"/>
          <w:sz w:val="32"/>
          <w:szCs w:val="32"/>
          <w:shd w:val="clear" w:fill="FFFFFF"/>
        </w:rPr>
        <w:t>指在基本支出之外为完成特定行政任务和事业发展目标所发生的支出。</w:t>
      </w:r>
    </w:p>
    <w:p w14:paraId="6206284B">
      <w:pPr>
        <w:pStyle w:val="12"/>
        <w:keepNext w:val="0"/>
        <w:keepLines w:val="0"/>
        <w:pageBreakBefore w:val="0"/>
        <w:widowControl/>
        <w:kinsoku/>
        <w:wordWrap/>
        <w:overflowPunct/>
        <w:topLinePunct w:val="0"/>
        <w:autoSpaceDN/>
        <w:bidi w:val="0"/>
        <w:adjustRightInd w:val="0"/>
        <w:snapToGrid w:val="0"/>
        <w:spacing w:before="0" w:beforeAutospacing="0" w:after="0" w:afterAutospacing="0" w:line="580" w:lineRule="exact"/>
        <w:ind w:leftChars="0" w:firstLine="640" w:firstLineChars="200"/>
        <w:textAlignment w:val="auto"/>
        <w:rPr>
          <w:rFonts w:hint="eastAsia" w:ascii="方正仿宋_GBK" w:hAnsi="方正仿宋_GBK" w:eastAsia="方正仿宋_GBK" w:cs="方正仿宋_GBK"/>
          <w:b w:val="0"/>
          <w:bCs/>
          <w:color w:val="auto"/>
          <w:kern w:val="0"/>
          <w:sz w:val="32"/>
          <w:szCs w:val="32"/>
        </w:rPr>
      </w:pPr>
      <w:r>
        <w:rPr>
          <w:rStyle w:val="10"/>
          <w:rFonts w:hint="eastAsia" w:ascii="方正楷体_GBK" w:hAnsi="方正楷体_GBK" w:eastAsia="方正楷体_GBK" w:cs="方正楷体_GBK"/>
          <w:b w:val="0"/>
          <w:bCs/>
          <w:color w:val="auto"/>
          <w:sz w:val="32"/>
          <w:szCs w:val="32"/>
          <w:shd w:val="clear" w:color="auto" w:fill="FFFFFF"/>
          <w:lang w:val="en-US" w:eastAsia="zh-CN" w:bidi="ar-SA"/>
        </w:rPr>
        <w:t>（十一）经营支出：</w:t>
      </w:r>
      <w:r>
        <w:rPr>
          <w:rFonts w:hint="eastAsia" w:ascii="方正仿宋_GBK" w:hAnsi="方正仿宋_GBK" w:eastAsia="方正仿宋_GBK" w:cs="方正仿宋_GBK"/>
          <w:b w:val="0"/>
          <w:bCs/>
          <w:color w:val="auto"/>
          <w:kern w:val="0"/>
          <w:sz w:val="32"/>
          <w:szCs w:val="32"/>
          <w:shd w:val="clear" w:fill="FFFFFF"/>
        </w:rPr>
        <w:t>指事业单位在专业业务活动及其辅助活动之外开展非独立核算经营活动发生的支出。</w:t>
      </w:r>
    </w:p>
    <w:p w14:paraId="37F4A992">
      <w:pPr>
        <w:pStyle w:val="12"/>
        <w:keepNext w:val="0"/>
        <w:keepLines w:val="0"/>
        <w:pageBreakBefore w:val="0"/>
        <w:widowControl/>
        <w:kinsoku/>
        <w:wordWrap/>
        <w:overflowPunct/>
        <w:topLinePunct w:val="0"/>
        <w:autoSpaceDN/>
        <w:bidi w:val="0"/>
        <w:adjustRightInd w:val="0"/>
        <w:snapToGrid w:val="0"/>
        <w:spacing w:before="0" w:beforeAutospacing="0" w:after="0" w:afterAutospacing="0" w:line="580" w:lineRule="exact"/>
        <w:ind w:leftChars="0" w:firstLine="640" w:firstLineChars="200"/>
        <w:textAlignment w:val="auto"/>
        <w:rPr>
          <w:rFonts w:hint="eastAsia" w:ascii="方正仿宋_GBK" w:hAnsi="方正仿宋_GBK" w:eastAsia="方正仿宋_GBK" w:cs="方正仿宋_GBK"/>
          <w:b w:val="0"/>
          <w:bCs/>
          <w:color w:val="auto"/>
          <w:kern w:val="0"/>
          <w:sz w:val="32"/>
          <w:szCs w:val="32"/>
        </w:rPr>
      </w:pPr>
      <w:r>
        <w:rPr>
          <w:rStyle w:val="10"/>
          <w:rFonts w:hint="eastAsia" w:ascii="方正楷体_GBK" w:hAnsi="方正楷体_GBK" w:eastAsia="方正楷体_GBK" w:cs="方正楷体_GBK"/>
          <w:b w:val="0"/>
          <w:bCs/>
          <w:color w:val="auto"/>
          <w:sz w:val="32"/>
          <w:szCs w:val="32"/>
          <w:shd w:val="clear" w:color="auto" w:fill="FFFFFF"/>
          <w:lang w:val="en-US" w:eastAsia="zh-CN" w:bidi="ar-SA"/>
        </w:rPr>
        <w:t>（十二）“三公”经费：</w:t>
      </w:r>
      <w:r>
        <w:rPr>
          <w:rFonts w:hint="eastAsia" w:ascii="方正仿宋_GBK" w:hAnsi="方正仿宋_GBK" w:eastAsia="方正仿宋_GBK" w:cs="方正仿宋_GBK"/>
          <w:b w:val="0"/>
          <w:bCs/>
          <w:color w:val="auto"/>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48BB989">
      <w:pPr>
        <w:pStyle w:val="12"/>
        <w:keepNext w:val="0"/>
        <w:keepLines w:val="0"/>
        <w:pageBreakBefore w:val="0"/>
        <w:widowControl/>
        <w:kinsoku/>
        <w:wordWrap/>
        <w:overflowPunct/>
        <w:topLinePunct w:val="0"/>
        <w:autoSpaceDN/>
        <w:bidi w:val="0"/>
        <w:adjustRightInd w:val="0"/>
        <w:snapToGrid w:val="0"/>
        <w:spacing w:before="0" w:beforeAutospacing="0" w:after="0" w:afterAutospacing="0" w:line="580" w:lineRule="exact"/>
        <w:ind w:leftChars="0" w:firstLine="640" w:firstLineChars="200"/>
        <w:textAlignment w:val="auto"/>
        <w:rPr>
          <w:rFonts w:hint="eastAsia" w:ascii="方正仿宋_GBK" w:hAnsi="方正仿宋_GBK" w:eastAsia="方正仿宋_GBK" w:cs="方正仿宋_GBK"/>
          <w:b w:val="0"/>
          <w:bCs/>
          <w:color w:val="auto"/>
          <w:kern w:val="0"/>
          <w:sz w:val="32"/>
          <w:szCs w:val="32"/>
        </w:rPr>
      </w:pPr>
      <w:r>
        <w:rPr>
          <w:rStyle w:val="10"/>
          <w:rFonts w:hint="eastAsia" w:ascii="方正楷体_GBK" w:hAnsi="方正楷体_GBK" w:eastAsia="方正楷体_GBK" w:cs="方正楷体_GBK"/>
          <w:b w:val="0"/>
          <w:bCs/>
          <w:color w:val="auto"/>
          <w:sz w:val="32"/>
          <w:szCs w:val="32"/>
          <w:shd w:val="clear" w:color="auto" w:fill="FFFFFF"/>
          <w:lang w:val="en-US" w:eastAsia="zh-CN" w:bidi="ar-SA"/>
        </w:rPr>
        <w:t>（十三）机关运行经费：</w:t>
      </w:r>
      <w:r>
        <w:rPr>
          <w:rFonts w:hint="eastAsia" w:ascii="方正仿宋_GBK" w:hAnsi="方正仿宋_GBK" w:eastAsia="方正仿宋_GBK" w:cs="方正仿宋_GBK"/>
          <w:b w:val="0"/>
          <w:bCs/>
          <w:color w:val="auto"/>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2FB3679">
      <w:pPr>
        <w:pStyle w:val="12"/>
        <w:keepNext w:val="0"/>
        <w:keepLines w:val="0"/>
        <w:pageBreakBefore w:val="0"/>
        <w:widowControl/>
        <w:kinsoku/>
        <w:wordWrap/>
        <w:overflowPunct/>
        <w:topLinePunct w:val="0"/>
        <w:autoSpaceDN/>
        <w:bidi w:val="0"/>
        <w:adjustRightInd w:val="0"/>
        <w:snapToGrid w:val="0"/>
        <w:spacing w:before="0" w:beforeAutospacing="0" w:after="0" w:afterAutospacing="0" w:line="580" w:lineRule="exact"/>
        <w:ind w:leftChars="0" w:firstLine="640" w:firstLineChars="200"/>
        <w:textAlignment w:val="auto"/>
        <w:rPr>
          <w:rFonts w:hint="eastAsia" w:ascii="方正仿宋_GBK" w:hAnsi="方正仿宋_GBK" w:eastAsia="方正仿宋_GBK" w:cs="方正仿宋_GBK"/>
          <w:b w:val="0"/>
          <w:bCs/>
          <w:color w:val="auto"/>
          <w:kern w:val="0"/>
          <w:sz w:val="32"/>
          <w:szCs w:val="32"/>
        </w:rPr>
      </w:pPr>
      <w:r>
        <w:rPr>
          <w:rStyle w:val="10"/>
          <w:rFonts w:hint="eastAsia" w:ascii="方正楷体_GBK" w:hAnsi="方正楷体_GBK" w:eastAsia="方正楷体_GBK" w:cs="方正楷体_GBK"/>
          <w:b w:val="0"/>
          <w:bCs/>
          <w:color w:val="auto"/>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b w:val="0"/>
          <w:bCs/>
          <w:color w:val="auto"/>
          <w:kern w:val="0"/>
          <w:sz w:val="32"/>
          <w:szCs w:val="32"/>
          <w:shd w:val="clear" w:fill="FFFFFF"/>
        </w:rPr>
        <w:t>反映单位开支的在职职工和编制外长期聘用人员的各类劳动报酬，以及为上述人员缴纳的各项社会保险费等。</w:t>
      </w:r>
    </w:p>
    <w:p w14:paraId="47A8EDB6">
      <w:pPr>
        <w:pStyle w:val="12"/>
        <w:keepNext w:val="0"/>
        <w:keepLines w:val="0"/>
        <w:pageBreakBefore w:val="0"/>
        <w:widowControl/>
        <w:kinsoku/>
        <w:wordWrap/>
        <w:overflowPunct/>
        <w:topLinePunct w:val="0"/>
        <w:autoSpaceDN/>
        <w:bidi w:val="0"/>
        <w:adjustRightInd w:val="0"/>
        <w:snapToGrid w:val="0"/>
        <w:spacing w:before="0" w:beforeAutospacing="0" w:after="0" w:afterAutospacing="0" w:line="580" w:lineRule="exact"/>
        <w:ind w:leftChars="0" w:firstLine="640" w:firstLineChars="200"/>
        <w:textAlignment w:val="auto"/>
        <w:rPr>
          <w:rFonts w:hint="eastAsia" w:ascii="方正仿宋_GBK" w:hAnsi="方正仿宋_GBK" w:eastAsia="方正仿宋_GBK" w:cs="方正仿宋_GBK"/>
          <w:b w:val="0"/>
          <w:bCs/>
          <w:color w:val="auto"/>
          <w:kern w:val="0"/>
          <w:sz w:val="32"/>
          <w:szCs w:val="32"/>
        </w:rPr>
      </w:pPr>
      <w:r>
        <w:rPr>
          <w:rStyle w:val="10"/>
          <w:rFonts w:hint="eastAsia" w:ascii="方正楷体_GBK" w:hAnsi="方正楷体_GBK" w:eastAsia="方正楷体_GBK" w:cs="方正楷体_GBK"/>
          <w:b w:val="0"/>
          <w:bCs/>
          <w:color w:val="auto"/>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b w:val="0"/>
          <w:bCs/>
          <w:color w:val="auto"/>
          <w:kern w:val="0"/>
          <w:sz w:val="32"/>
          <w:szCs w:val="32"/>
          <w:shd w:val="clear" w:fill="FFFFFF"/>
        </w:rPr>
        <w:t>反映单位购买商品和服务的支出（不包括用于购置固定资产的支出、战略性和应急储备支出）。</w:t>
      </w:r>
    </w:p>
    <w:p w14:paraId="3C7F42D6">
      <w:pPr>
        <w:pStyle w:val="12"/>
        <w:keepNext w:val="0"/>
        <w:keepLines w:val="0"/>
        <w:pageBreakBefore w:val="0"/>
        <w:widowControl/>
        <w:kinsoku/>
        <w:wordWrap/>
        <w:overflowPunct/>
        <w:topLinePunct w:val="0"/>
        <w:autoSpaceDN/>
        <w:bidi w:val="0"/>
        <w:adjustRightInd w:val="0"/>
        <w:snapToGrid w:val="0"/>
        <w:spacing w:before="0" w:beforeAutospacing="0" w:after="0" w:afterAutospacing="0" w:line="580" w:lineRule="exact"/>
        <w:ind w:leftChars="0" w:firstLine="640" w:firstLineChars="200"/>
        <w:textAlignment w:val="auto"/>
        <w:rPr>
          <w:rFonts w:hint="eastAsia" w:ascii="方正仿宋_GBK" w:hAnsi="方正仿宋_GBK" w:eastAsia="方正仿宋_GBK" w:cs="方正仿宋_GBK"/>
          <w:b w:val="0"/>
          <w:bCs/>
          <w:color w:val="auto"/>
          <w:kern w:val="0"/>
          <w:sz w:val="32"/>
          <w:szCs w:val="32"/>
        </w:rPr>
      </w:pPr>
      <w:r>
        <w:rPr>
          <w:rStyle w:val="10"/>
          <w:rFonts w:hint="eastAsia" w:ascii="方正楷体_GBK" w:hAnsi="方正楷体_GBK" w:eastAsia="方正楷体_GBK" w:cs="方正楷体_GBK"/>
          <w:b w:val="0"/>
          <w:bCs/>
          <w:color w:val="auto"/>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b w:val="0"/>
          <w:bCs/>
          <w:color w:val="auto"/>
          <w:kern w:val="0"/>
          <w:sz w:val="32"/>
          <w:szCs w:val="32"/>
          <w:shd w:val="clear" w:fill="FFFFFF"/>
        </w:rPr>
        <w:t>反映用于对个人和家庭的补助支出。</w:t>
      </w:r>
    </w:p>
    <w:p w14:paraId="128A3706">
      <w:pPr>
        <w:pStyle w:val="12"/>
        <w:keepNext w:val="0"/>
        <w:keepLines w:val="0"/>
        <w:pageBreakBefore w:val="0"/>
        <w:widowControl/>
        <w:kinsoku/>
        <w:wordWrap/>
        <w:overflowPunct/>
        <w:topLinePunct w:val="0"/>
        <w:autoSpaceDN/>
        <w:bidi w:val="0"/>
        <w:adjustRightInd w:val="0"/>
        <w:snapToGrid w:val="0"/>
        <w:spacing w:before="0" w:beforeAutospacing="0" w:after="0" w:afterAutospacing="0" w:line="580" w:lineRule="exact"/>
        <w:ind w:leftChars="0" w:firstLine="640" w:firstLineChars="200"/>
        <w:textAlignment w:val="auto"/>
        <w:rPr>
          <w:rFonts w:hint="eastAsia" w:ascii="方正仿宋_GBK" w:hAnsi="方正仿宋_GBK" w:eastAsia="方正仿宋_GBK" w:cs="方正仿宋_GBK"/>
          <w:b w:val="0"/>
          <w:bCs/>
          <w:color w:val="auto"/>
          <w:kern w:val="0"/>
          <w:sz w:val="32"/>
          <w:szCs w:val="32"/>
        </w:rPr>
      </w:pPr>
      <w:r>
        <w:rPr>
          <w:rStyle w:val="10"/>
          <w:rFonts w:hint="eastAsia" w:ascii="方正楷体_GBK" w:hAnsi="方正楷体_GBK" w:eastAsia="方正楷体_GBK" w:cs="方正楷体_GBK"/>
          <w:b w:val="0"/>
          <w:bCs/>
          <w:color w:val="auto"/>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b w:val="0"/>
          <w:bCs/>
          <w:color w:val="auto"/>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128F5AC8">
      <w:pPr>
        <w:pStyle w:val="12"/>
        <w:keepNext w:val="0"/>
        <w:keepLines w:val="0"/>
        <w:pageBreakBefore w:val="0"/>
        <w:widowControl/>
        <w:kinsoku/>
        <w:wordWrap/>
        <w:overflowPunct/>
        <w:topLinePunct w:val="0"/>
        <w:autoSpaceDN/>
        <w:bidi w:val="0"/>
        <w:adjustRightInd w:val="0"/>
        <w:snapToGrid w:val="0"/>
        <w:spacing w:before="0" w:beforeAutospacing="0" w:after="0" w:afterAutospacing="0" w:line="580" w:lineRule="exact"/>
        <w:ind w:leftChars="0" w:firstLine="640" w:firstLineChars="200"/>
        <w:textAlignment w:val="auto"/>
        <w:rPr>
          <w:rFonts w:hint="eastAsia" w:ascii="方正黑体_GBK" w:hAnsi="方正黑体_GBK" w:eastAsia="方正黑体_GBK" w:cs="方正黑体_GBK"/>
          <w:b w:val="0"/>
          <w:bCs/>
          <w:color w:val="auto"/>
          <w:kern w:val="0"/>
          <w:sz w:val="32"/>
          <w:szCs w:val="32"/>
        </w:rPr>
      </w:pPr>
      <w:r>
        <w:rPr>
          <w:rStyle w:val="10"/>
          <w:rFonts w:hint="eastAsia" w:ascii="方正黑体_GBK" w:hAnsi="方正黑体_GBK" w:eastAsia="方正黑体_GBK" w:cs="方正黑体_GBK"/>
          <w:b w:val="0"/>
          <w:bCs/>
          <w:color w:val="auto"/>
          <w:sz w:val="32"/>
          <w:szCs w:val="32"/>
          <w:shd w:val="clear" w:color="auto" w:fill="FFFFFF"/>
          <w:lang w:val="en-US" w:eastAsia="zh-CN" w:bidi="ar-SA"/>
        </w:rPr>
        <w:t>七、决算公开联系方式及信息反馈渠道</w:t>
      </w:r>
    </w:p>
    <w:p w14:paraId="11C52427">
      <w:pPr>
        <w:pStyle w:val="12"/>
        <w:keepNext w:val="0"/>
        <w:keepLines w:val="0"/>
        <w:pageBreakBefore w:val="0"/>
        <w:widowControl/>
        <w:kinsoku/>
        <w:wordWrap/>
        <w:overflowPunct/>
        <w:topLinePunct w:val="0"/>
        <w:autoSpaceDN/>
        <w:bidi w:val="0"/>
        <w:adjustRightInd w:val="0"/>
        <w:snapToGrid w:val="0"/>
        <w:spacing w:before="0" w:beforeAutospacing="0" w:after="0" w:afterAutospacing="0" w:line="580" w:lineRule="exact"/>
        <w:ind w:leftChars="0" w:firstLine="640" w:firstLineChars="200"/>
        <w:textAlignment w:val="auto"/>
        <w:rPr>
          <w:rFonts w:hint="eastAsia" w:ascii="方正仿宋_GBK" w:hAnsi="方正仿宋_GBK" w:eastAsia="方正仿宋_GBK" w:cs="方正仿宋_GBK"/>
          <w:b w:val="0"/>
          <w:bCs/>
          <w:color w:val="auto"/>
          <w:kern w:val="0"/>
          <w:sz w:val="32"/>
          <w:szCs w:val="32"/>
        </w:rPr>
      </w:pPr>
      <w:r>
        <w:rPr>
          <w:rFonts w:hint="eastAsia" w:ascii="方正仿宋_GBK" w:hAnsi="方正仿宋_GBK" w:eastAsia="方正仿宋_GBK" w:cs="方正仿宋_GBK"/>
          <w:b w:val="0"/>
          <w:bCs/>
          <w:color w:val="auto"/>
          <w:kern w:val="0"/>
          <w:sz w:val="32"/>
          <w:szCs w:val="32"/>
          <w:shd w:val="clear" w:fill="FFFFFF"/>
        </w:rPr>
        <w:t>本单位决算公开信息反馈和联系方式：</w:t>
      </w:r>
    </w:p>
    <w:p w14:paraId="53976AC3">
      <w:pPr>
        <w:pStyle w:val="12"/>
        <w:keepNext w:val="0"/>
        <w:keepLines w:val="0"/>
        <w:pageBreakBefore w:val="0"/>
        <w:widowControl/>
        <w:kinsoku/>
        <w:wordWrap/>
        <w:overflowPunct/>
        <w:topLinePunct w:val="0"/>
        <w:autoSpaceDN/>
        <w:bidi w:val="0"/>
        <w:adjustRightInd w:val="0"/>
        <w:snapToGrid w:val="0"/>
        <w:spacing w:before="0" w:beforeAutospacing="0" w:after="0" w:afterAutospacing="0" w:line="580" w:lineRule="exact"/>
        <w:ind w:leftChars="0" w:firstLine="960" w:firstLineChars="300"/>
        <w:textAlignment w:val="auto"/>
        <w:rPr>
          <w:rFonts w:hint="default" w:cs="宋体"/>
          <w:sz w:val="21"/>
          <w:szCs w:val="21"/>
          <w:highlight w:val="none"/>
        </w:rPr>
      </w:pPr>
      <w:r>
        <w:rPr>
          <w:rFonts w:hint="eastAsia" w:ascii="方正仿宋_GBK" w:hAnsi="方正仿宋_GBK" w:eastAsia="方正仿宋_GBK" w:cs="方正仿宋_GBK"/>
          <w:b w:val="0"/>
          <w:bCs/>
          <w:color w:val="auto"/>
          <w:kern w:val="0"/>
          <w:sz w:val="32"/>
          <w:szCs w:val="32"/>
          <w:shd w:val="clear" w:fill="FFFFFF"/>
          <w:lang w:val="en-US" w:eastAsia="zh-CN"/>
        </w:rPr>
        <w:t>邓文秀</w:t>
      </w:r>
      <w:r>
        <w:rPr>
          <w:rFonts w:hint="eastAsia" w:ascii="方正仿宋_GBK" w:hAnsi="方正仿宋_GBK" w:eastAsia="方正仿宋_GBK" w:cs="方正仿宋_GBK"/>
          <w:b w:val="0"/>
          <w:bCs/>
          <w:color w:val="auto"/>
          <w:kern w:val="0"/>
          <w:sz w:val="32"/>
          <w:szCs w:val="32"/>
          <w:shd w:val="clear" w:fill="FFFFFF"/>
        </w:rPr>
        <w:t xml:space="preserve">   023-</w:t>
      </w:r>
      <w:r>
        <w:rPr>
          <w:rFonts w:hint="eastAsia" w:ascii="方正仿宋_GBK" w:hAnsi="方正仿宋_GBK" w:eastAsia="方正仿宋_GBK" w:cs="方正仿宋_GBK"/>
          <w:b w:val="0"/>
          <w:bCs/>
          <w:color w:val="auto"/>
          <w:kern w:val="0"/>
          <w:sz w:val="32"/>
          <w:szCs w:val="32"/>
          <w:shd w:val="clear" w:fill="FFFFFF"/>
          <w:lang w:val="en-US" w:eastAsia="zh-CN"/>
        </w:rPr>
        <w:t>40731017</w:t>
      </w:r>
    </w:p>
    <w:sectPr>
      <w:headerReference r:id="rId3" w:type="default"/>
      <w:footerReference r:id="rId4" w:type="default"/>
      <w:pgSz w:w="11850" w:h="16783"/>
      <w:pgMar w:top="2098" w:right="1474" w:bottom="1984" w:left="158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B5E7D">
    <w:pPr>
      <w:pStyle w:val="3"/>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2A04ACF1">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3C6A5EB1">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CFB3B">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B2A8F"/>
    <w:multiLevelType w:val="singleLevel"/>
    <w:tmpl w:val="AECB2A8F"/>
    <w:lvl w:ilvl="0" w:tentative="0">
      <w:start w:val="3"/>
      <w:numFmt w:val="chineseCounting"/>
      <w:suff w:val="nothing"/>
      <w:lvlText w:val="%1、"/>
      <w:lvlJc w:val="left"/>
      <w:rPr>
        <w:rFonts w:hint="eastAsia"/>
      </w:rPr>
    </w:lvl>
  </w:abstractNum>
  <w:abstractNum w:abstractNumId="1">
    <w:nsid w:val="B7CBC49E"/>
    <w:multiLevelType w:val="singleLevel"/>
    <w:tmpl w:val="B7CBC49E"/>
    <w:lvl w:ilvl="0" w:tentative="0">
      <w:start w:val="5"/>
      <w:numFmt w:val="chineseCounting"/>
      <w:suff w:val="nothing"/>
      <w:lvlText w:val="（%1）"/>
      <w:lvlJc w:val="left"/>
      <w:rPr>
        <w:rFonts w:hint="eastAsia"/>
      </w:rPr>
    </w:lvl>
  </w:abstractNum>
  <w:abstractNum w:abstractNumId="2">
    <w:nsid w:val="470AF879"/>
    <w:multiLevelType w:val="singleLevel"/>
    <w:tmpl w:val="470AF879"/>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0MmY4ZjI1OWIzYmEzMzg5MWE2ZDNiNmU3YWUzMWI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47104E"/>
    <w:rsid w:val="086C12F4"/>
    <w:rsid w:val="08705944"/>
    <w:rsid w:val="08BA052C"/>
    <w:rsid w:val="08DB07BA"/>
    <w:rsid w:val="0969353F"/>
    <w:rsid w:val="098305D0"/>
    <w:rsid w:val="09B1218B"/>
    <w:rsid w:val="0A3317EA"/>
    <w:rsid w:val="0A5C4B69"/>
    <w:rsid w:val="0A86124A"/>
    <w:rsid w:val="0AB54CC0"/>
    <w:rsid w:val="0B9335CE"/>
    <w:rsid w:val="0BF2311A"/>
    <w:rsid w:val="0C5A32DA"/>
    <w:rsid w:val="0C7927C4"/>
    <w:rsid w:val="0C9B098C"/>
    <w:rsid w:val="0D673E11"/>
    <w:rsid w:val="0DDA54E4"/>
    <w:rsid w:val="0E3A5F83"/>
    <w:rsid w:val="0F836721"/>
    <w:rsid w:val="0FA25D96"/>
    <w:rsid w:val="107B59E5"/>
    <w:rsid w:val="10AC0B6D"/>
    <w:rsid w:val="10CC3887"/>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3C28E8"/>
    <w:rsid w:val="20642787"/>
    <w:rsid w:val="21556F04"/>
    <w:rsid w:val="22403BD3"/>
    <w:rsid w:val="22AD3177"/>
    <w:rsid w:val="235417B6"/>
    <w:rsid w:val="235977ED"/>
    <w:rsid w:val="24B92327"/>
    <w:rsid w:val="24C14514"/>
    <w:rsid w:val="24E37FCC"/>
    <w:rsid w:val="252D4D73"/>
    <w:rsid w:val="2533755C"/>
    <w:rsid w:val="25791755"/>
    <w:rsid w:val="26396DF4"/>
    <w:rsid w:val="27167136"/>
    <w:rsid w:val="271B442C"/>
    <w:rsid w:val="27B23302"/>
    <w:rsid w:val="29310A5F"/>
    <w:rsid w:val="299F611B"/>
    <w:rsid w:val="29C37A35"/>
    <w:rsid w:val="2A076083"/>
    <w:rsid w:val="2A73162E"/>
    <w:rsid w:val="2A76270D"/>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C9A0328"/>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4D54A0A"/>
    <w:rsid w:val="55084A4C"/>
    <w:rsid w:val="552256E1"/>
    <w:rsid w:val="554E5773"/>
    <w:rsid w:val="555829E0"/>
    <w:rsid w:val="555A3CBC"/>
    <w:rsid w:val="5582012B"/>
    <w:rsid w:val="558E4E05"/>
    <w:rsid w:val="55BE2E85"/>
    <w:rsid w:val="56530F5D"/>
    <w:rsid w:val="567700D3"/>
    <w:rsid w:val="56FF7E9E"/>
    <w:rsid w:val="578867FC"/>
    <w:rsid w:val="582632A6"/>
    <w:rsid w:val="5842572D"/>
    <w:rsid w:val="5A3B59D6"/>
    <w:rsid w:val="5AD134D8"/>
    <w:rsid w:val="5BF41F67"/>
    <w:rsid w:val="5C263CE4"/>
    <w:rsid w:val="5C525B41"/>
    <w:rsid w:val="5C5D2777"/>
    <w:rsid w:val="5CF66BF3"/>
    <w:rsid w:val="5D290C69"/>
    <w:rsid w:val="5DA80C2C"/>
    <w:rsid w:val="5ECA5162"/>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7A2106A"/>
    <w:rsid w:val="68407834"/>
    <w:rsid w:val="6883293E"/>
    <w:rsid w:val="688412AD"/>
    <w:rsid w:val="68EB1B71"/>
    <w:rsid w:val="696C0310"/>
    <w:rsid w:val="69BE0DE5"/>
    <w:rsid w:val="6A6C7940"/>
    <w:rsid w:val="6A8919DC"/>
    <w:rsid w:val="6A9F1565"/>
    <w:rsid w:val="6AAD2300"/>
    <w:rsid w:val="6B474EF5"/>
    <w:rsid w:val="6BC938E5"/>
    <w:rsid w:val="6C0A5AC5"/>
    <w:rsid w:val="6C560CAE"/>
    <w:rsid w:val="6C576495"/>
    <w:rsid w:val="6D903FF5"/>
    <w:rsid w:val="6DA955B8"/>
    <w:rsid w:val="6DC80B39"/>
    <w:rsid w:val="6DE346AB"/>
    <w:rsid w:val="6DE5391A"/>
    <w:rsid w:val="6EFD1324"/>
    <w:rsid w:val="6F5A53AC"/>
    <w:rsid w:val="6FAC003D"/>
    <w:rsid w:val="6FD926BF"/>
    <w:rsid w:val="6FE55E12"/>
    <w:rsid w:val="6FE73160"/>
    <w:rsid w:val="6FFB2E76"/>
    <w:rsid w:val="703E270A"/>
    <w:rsid w:val="708F6F7F"/>
    <w:rsid w:val="70D94BD3"/>
    <w:rsid w:val="71574775"/>
    <w:rsid w:val="71C34D91"/>
    <w:rsid w:val="72DB435C"/>
    <w:rsid w:val="72E2613A"/>
    <w:rsid w:val="72F771F4"/>
    <w:rsid w:val="73934AD2"/>
    <w:rsid w:val="750837F0"/>
    <w:rsid w:val="754758CF"/>
    <w:rsid w:val="7557748E"/>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4096</Words>
  <Characters>4607</Characters>
  <Lines>186</Lines>
  <Paragraphs>52</Paragraphs>
  <TotalTime>58</TotalTime>
  <ScaleCrop>false</ScaleCrop>
  <LinksUpToDate>false</LinksUpToDate>
  <CharactersWithSpaces>4621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文文</cp:lastModifiedBy>
  <dcterms:modified xsi:type="dcterms:W3CDTF">2025-10-11T08:01:58Z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eyJoZGlkIjoiMzU4YmM2NzA5ODFmZTU5NDRkYjRkOWExZTIzY2M1N2MiLCJ1c2VySWQiOiI2MzgxOTg1MDAifQ==</vt:lpwstr>
  </property>
</Properties>
</file>