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F68E0">
      <w:pPr>
        <w:pStyle w:val="2"/>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color w:val="auto"/>
          <w:sz w:val="44"/>
          <w:szCs w:val="44"/>
          <w:highlight w:val="none"/>
        </w:rPr>
      </w:pPr>
      <w:r>
        <w:rPr>
          <w:rFonts w:ascii="方正小标宋_GBK" w:hAnsi="方正小标宋_GBK" w:eastAsia="方正小标宋_GBK" w:cs="方正小标宋_GBK"/>
          <w:color w:val="auto"/>
          <w:sz w:val="44"/>
          <w:szCs w:val="44"/>
          <w:highlight w:val="none"/>
        </w:rPr>
        <w:t>重庆市长寿区邻封镇卫生院</w:t>
      </w:r>
    </w:p>
    <w:p w14:paraId="132A442B">
      <w:pPr>
        <w:pStyle w:val="2"/>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color w:val="auto"/>
          <w:sz w:val="44"/>
          <w:szCs w:val="44"/>
          <w:highlight w:val="none"/>
          <w:shd w:val="clear" w:color="auto" w:fill="FFFFFF"/>
        </w:rPr>
      </w:pPr>
      <w:r>
        <w:rPr>
          <w:rFonts w:hint="default" w:ascii="Times New Roman" w:hAnsi="Times New Roman" w:eastAsia="方正小标宋_GBK" w:cs="Times New Roman"/>
          <w:color w:val="auto"/>
          <w:sz w:val="44"/>
          <w:szCs w:val="44"/>
          <w:highlight w:val="none"/>
          <w:shd w:val="clear" w:color="auto" w:fill="FFFFFF"/>
        </w:rPr>
        <w:t>2024</w:t>
      </w:r>
      <w:r>
        <w:rPr>
          <w:rFonts w:ascii="方正小标宋_GBK" w:hAnsi="方正小标宋_GBK" w:eastAsia="方正小标宋_GBK" w:cs="方正小标宋_GBK"/>
          <w:color w:val="auto"/>
          <w:sz w:val="44"/>
          <w:szCs w:val="44"/>
          <w:highlight w:val="none"/>
          <w:shd w:val="clear" w:color="auto" w:fill="FFFFFF"/>
        </w:rPr>
        <w:t>年度决算公开说明</w:t>
      </w:r>
    </w:p>
    <w:p w14:paraId="0A12A373">
      <w:pPr>
        <w:pStyle w:val="2"/>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color w:val="auto"/>
          <w:sz w:val="44"/>
          <w:szCs w:val="44"/>
          <w:highlight w:val="none"/>
          <w:shd w:val="clear" w:color="auto" w:fill="FFFFFF"/>
        </w:rPr>
      </w:pPr>
    </w:p>
    <w:p w14:paraId="458B0DFD">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5"/>
          <w:rFonts w:hint="default" w:ascii="黑体" w:hAnsi="黑体" w:eastAsia="黑体" w:cs="黑体"/>
          <w:color w:val="auto"/>
          <w:sz w:val="32"/>
          <w:szCs w:val="32"/>
          <w:highlight w:val="none"/>
          <w:shd w:val="clear" w:color="auto" w:fill="FFFFFF"/>
        </w:rPr>
      </w:pPr>
      <w:r>
        <w:rPr>
          <w:rStyle w:val="5"/>
          <w:rFonts w:ascii="黑体" w:hAnsi="黑体" w:eastAsia="黑体" w:cs="黑体"/>
          <w:color w:val="auto"/>
          <w:sz w:val="32"/>
          <w:szCs w:val="32"/>
          <w:highlight w:val="none"/>
          <w:shd w:val="clear" w:color="auto" w:fill="FFFFFF"/>
        </w:rPr>
        <w:t>一、</w:t>
      </w:r>
      <w:r>
        <w:rPr>
          <w:rStyle w:val="5"/>
          <w:rFonts w:hint="eastAsia" w:ascii="黑体" w:hAnsi="黑体" w:eastAsia="黑体" w:cs="黑体"/>
          <w:color w:val="auto"/>
          <w:sz w:val="32"/>
          <w:szCs w:val="32"/>
          <w:highlight w:val="none"/>
          <w:shd w:val="clear" w:color="auto" w:fill="FFFFFF"/>
          <w:lang w:eastAsia="zh-CN"/>
        </w:rPr>
        <w:t>单位</w:t>
      </w:r>
      <w:r>
        <w:rPr>
          <w:rStyle w:val="5"/>
          <w:rFonts w:ascii="黑体" w:hAnsi="黑体" w:eastAsia="黑体" w:cs="黑体"/>
          <w:color w:val="auto"/>
          <w:sz w:val="32"/>
          <w:szCs w:val="32"/>
          <w:highlight w:val="none"/>
          <w:shd w:val="clear" w:color="auto" w:fill="FFFFFF"/>
        </w:rPr>
        <w:t>基本情况</w:t>
      </w:r>
    </w:p>
    <w:p w14:paraId="197F1393">
      <w:pPr>
        <w:pStyle w:val="2"/>
        <w:shd w:val="clear" w:color="auto" w:fill="FFFFFF"/>
        <w:ind w:firstLine="420"/>
        <w:rPr>
          <w:rFonts w:hint="default" w:ascii="方正仿宋_GBK" w:hAnsi="方正仿宋_GBK" w:eastAsia="方正仿宋_GBK" w:cs="方正仿宋_GBK"/>
          <w:color w:val="auto"/>
          <w:sz w:val="32"/>
          <w:szCs w:val="32"/>
          <w:highlight w:val="none"/>
        </w:rPr>
      </w:pPr>
      <w:r>
        <w:rPr>
          <w:rStyle w:val="5"/>
          <w:rFonts w:ascii="楷体" w:hAnsi="楷体" w:eastAsia="楷体" w:cs="楷体"/>
          <w:color w:val="auto"/>
          <w:sz w:val="32"/>
          <w:szCs w:val="32"/>
          <w:highlight w:val="none"/>
          <w:shd w:val="clear" w:color="auto" w:fill="FFFFFF"/>
        </w:rPr>
        <w:t>（一）职能职责</w:t>
      </w:r>
    </w:p>
    <w:p w14:paraId="5EE83A6D">
      <w:pPr>
        <w:pStyle w:val="2"/>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highlight w:val="none"/>
          <w:shd w:val="clear" w:color="auto" w:fill="FFFFFF"/>
        </w:rPr>
      </w:pPr>
      <w:r>
        <w:rPr>
          <w:rFonts w:hint="eastAsia" w:ascii="方正仿宋_GBK" w:hAnsi="方正仿宋_GBK" w:eastAsia="方正仿宋_GBK" w:cs="方正仿宋_GBK"/>
          <w:color w:val="auto"/>
          <w:sz w:val="32"/>
          <w:szCs w:val="32"/>
          <w:highlight w:val="none"/>
          <w:shd w:val="clear" w:color="auto" w:fill="FFFFFF"/>
        </w:rPr>
        <w:t>承担公共卫生服务。主要包括:疾病控制、妇幼保健、卫生监督协管、健康教育等公共卫生相关服务,独立完成公共卫生服务项目任务。</w:t>
      </w:r>
    </w:p>
    <w:p w14:paraId="679C472C">
      <w:pPr>
        <w:pStyle w:val="2"/>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highlight w:val="none"/>
          <w:shd w:val="clear" w:color="auto" w:fill="FFFFFF"/>
        </w:rPr>
      </w:pPr>
      <w:r>
        <w:rPr>
          <w:rFonts w:hint="eastAsia" w:ascii="方正仿宋_GBK" w:hAnsi="方正仿宋_GBK" w:eastAsia="方正仿宋_GBK" w:cs="方正仿宋_GBK"/>
          <w:color w:val="auto"/>
          <w:sz w:val="32"/>
          <w:szCs w:val="32"/>
          <w:highlight w:val="none"/>
          <w:shd w:val="clear" w:color="auto" w:fill="FFFFFF"/>
        </w:rPr>
        <w:t>承担基本医疗服务。主要包括:一般常见病、多发病的门诊和住院诊治,医疗康复,推广中医药适宜技术,发挥中医药在常见病、多发病和慢性病防治中的作用。</w:t>
      </w:r>
    </w:p>
    <w:p w14:paraId="20DBC219">
      <w:pPr>
        <w:pStyle w:val="2"/>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highlight w:val="none"/>
          <w:shd w:val="clear" w:color="auto" w:fill="FFFFFF"/>
        </w:rPr>
      </w:pPr>
      <w:r>
        <w:rPr>
          <w:rFonts w:hint="eastAsia" w:ascii="方正仿宋_GBK" w:hAnsi="方正仿宋_GBK" w:eastAsia="方正仿宋_GBK" w:cs="方正仿宋_GBK"/>
          <w:color w:val="auto"/>
          <w:sz w:val="32"/>
          <w:szCs w:val="32"/>
          <w:highlight w:val="none"/>
          <w:shd w:val="clear" w:color="auto" w:fill="FFFFFF"/>
        </w:rPr>
        <w:t>承担计划生育技术服务。主要包括:避孕节育、生殖健康、优生服务和家庭保健等相关服务。</w:t>
      </w:r>
    </w:p>
    <w:p w14:paraId="1615271F">
      <w:pPr>
        <w:pStyle w:val="2"/>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highlight w:val="none"/>
          <w:shd w:val="clear" w:color="auto" w:fill="FFFFFF"/>
        </w:rPr>
      </w:pPr>
      <w:r>
        <w:rPr>
          <w:rFonts w:hint="eastAsia" w:ascii="方正仿宋_GBK" w:hAnsi="方正仿宋_GBK" w:eastAsia="方正仿宋_GBK" w:cs="方正仿宋_GBK"/>
          <w:color w:val="auto"/>
          <w:sz w:val="32"/>
          <w:szCs w:val="32"/>
          <w:highlight w:val="none"/>
          <w:shd w:val="clear" w:color="auto" w:fill="FFFFFF"/>
        </w:rPr>
        <w:t>承担卫生应急任务。主要包括:区域内“120” 急救、突发事件紧急医疗救援、突发公共卫生事件防控等相关任务。</w:t>
      </w:r>
    </w:p>
    <w:p w14:paraId="7ED23B87">
      <w:pPr>
        <w:pStyle w:val="2"/>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shd w:val="clear" w:color="auto" w:fill="FFFFFF"/>
        </w:rPr>
        <w:t>承担卫生管理任务。主要包括:协助区卫生健康委负责辖区内卫生管理工作,协助当地党委政府指导爱国卫生工作等相关任务。</w:t>
      </w:r>
    </w:p>
    <w:p w14:paraId="33B2CBE2">
      <w:pPr>
        <w:pStyle w:val="2"/>
        <w:shd w:val="clear" w:color="auto" w:fill="FFFFFF"/>
        <w:ind w:firstLine="420"/>
        <w:rPr>
          <w:rFonts w:hint="default" w:ascii="楷体" w:hAnsi="楷体" w:eastAsia="楷体" w:cs="楷体"/>
          <w:color w:val="auto"/>
          <w:sz w:val="32"/>
          <w:szCs w:val="32"/>
          <w:highlight w:val="none"/>
        </w:rPr>
      </w:pPr>
      <w:r>
        <w:rPr>
          <w:rStyle w:val="5"/>
          <w:rFonts w:ascii="楷体" w:hAnsi="楷体" w:eastAsia="楷体" w:cs="楷体"/>
          <w:color w:val="auto"/>
          <w:sz w:val="32"/>
          <w:szCs w:val="32"/>
          <w:highlight w:val="none"/>
          <w:shd w:val="clear" w:color="auto" w:fill="FFFFFF"/>
        </w:rPr>
        <w:t>（二）机构设置</w:t>
      </w:r>
    </w:p>
    <w:p w14:paraId="4A09921B">
      <w:pPr>
        <w:pStyle w:val="2"/>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shd w:val="clear" w:color="auto" w:fill="FFFFFF"/>
        </w:rPr>
        <w:t>邻封镇卫生院是重庆市长寿区卫生健康委下属正科级公益一类差额拨款事业单位。下设焦家分院，医院设置内科、外科、妇产科、急诊组、全科医疗科、康复科、口腔科、检验科、放射科、B超心电室、药剂科、公共卫生科、护理部、院感科等科室。</w:t>
      </w:r>
    </w:p>
    <w:p w14:paraId="18C4E0FB">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5"/>
          <w:rFonts w:hint="default" w:ascii="黑体" w:hAnsi="黑体" w:eastAsia="黑体" w:cs="黑体"/>
          <w:color w:val="auto"/>
          <w:sz w:val="32"/>
          <w:szCs w:val="32"/>
          <w:highlight w:val="none"/>
          <w:shd w:val="clear" w:color="auto" w:fill="FFFFFF"/>
        </w:rPr>
      </w:pPr>
      <w:r>
        <w:rPr>
          <w:rStyle w:val="5"/>
          <w:rFonts w:ascii="黑体" w:hAnsi="黑体" w:eastAsia="黑体" w:cs="黑体"/>
          <w:color w:val="auto"/>
          <w:sz w:val="32"/>
          <w:szCs w:val="32"/>
          <w:highlight w:val="none"/>
          <w:shd w:val="clear" w:color="auto" w:fill="FFFFFF"/>
        </w:rPr>
        <w:t>二、</w:t>
      </w:r>
      <w:r>
        <w:rPr>
          <w:rStyle w:val="5"/>
          <w:rFonts w:hint="eastAsia" w:ascii="黑体" w:hAnsi="黑体" w:eastAsia="黑体" w:cs="黑体"/>
          <w:color w:val="auto"/>
          <w:sz w:val="32"/>
          <w:szCs w:val="32"/>
          <w:highlight w:val="none"/>
          <w:shd w:val="clear" w:color="auto" w:fill="FFFFFF"/>
          <w:lang w:eastAsia="zh-CN"/>
        </w:rPr>
        <w:t>单位</w:t>
      </w:r>
      <w:r>
        <w:rPr>
          <w:rStyle w:val="5"/>
          <w:rFonts w:ascii="黑体" w:hAnsi="黑体" w:eastAsia="黑体" w:cs="黑体"/>
          <w:color w:val="auto"/>
          <w:sz w:val="32"/>
          <w:szCs w:val="32"/>
          <w:highlight w:val="none"/>
          <w:shd w:val="clear" w:color="auto" w:fill="FFFFFF"/>
        </w:rPr>
        <w:t>决算</w:t>
      </w:r>
      <w:r>
        <w:rPr>
          <w:rStyle w:val="5"/>
          <w:rFonts w:hint="eastAsia" w:ascii="黑体" w:hAnsi="黑体" w:eastAsia="黑体" w:cs="黑体"/>
          <w:color w:val="auto"/>
          <w:sz w:val="32"/>
          <w:szCs w:val="32"/>
          <w:highlight w:val="none"/>
          <w:shd w:val="clear" w:color="auto" w:fill="FFFFFF"/>
          <w:lang w:eastAsia="zh-CN"/>
        </w:rPr>
        <w:t>收支</w:t>
      </w:r>
      <w:r>
        <w:rPr>
          <w:rStyle w:val="5"/>
          <w:rFonts w:ascii="黑体" w:hAnsi="黑体" w:eastAsia="黑体" w:cs="黑体"/>
          <w:color w:val="auto"/>
          <w:sz w:val="32"/>
          <w:szCs w:val="32"/>
          <w:highlight w:val="none"/>
          <w:shd w:val="clear" w:color="auto" w:fill="FFFFFF"/>
        </w:rPr>
        <w:t>情况说明</w:t>
      </w:r>
    </w:p>
    <w:p w14:paraId="2A9008F1">
      <w:pPr>
        <w:pStyle w:val="6"/>
        <w:autoSpaceDE w:val="0"/>
        <w:ind w:firstLine="643"/>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（一）收入支出决算总体情况说明</w:t>
      </w:r>
    </w:p>
    <w:p w14:paraId="51472010">
      <w:pPr>
        <w:pStyle w:val="2"/>
        <w:keepNext w:val="0"/>
        <w:keepLines w:val="0"/>
        <w:pageBreakBefore w:val="0"/>
        <w:widowControl/>
        <w:shd w:val="clear" w:color="auto" w:fill="FFFFFF"/>
        <w:kinsoku/>
        <w:wordWrap/>
        <w:overflowPunct/>
        <w:topLinePunct w:val="0"/>
        <w:autoSpaceDE/>
        <w:autoSpaceDN/>
        <w:bidi w:val="0"/>
        <w:adjustRightInd/>
        <w:spacing w:line="600" w:lineRule="exact"/>
        <w:ind w:firstLine="643" w:firstLineChars="200"/>
        <w:textAlignment w:val="auto"/>
        <w:rPr>
          <w:rFonts w:ascii="方正仿宋_GBK" w:hAnsi="方正仿宋_GBK" w:eastAsia="方正仿宋_GBK" w:cs="方正仿宋_GBK"/>
          <w:color w:val="auto"/>
          <w:sz w:val="32"/>
          <w:szCs w:val="32"/>
          <w:highlight w:val="none"/>
          <w:shd w:val="clear" w:color="auto" w:fill="FFFFFF"/>
        </w:rPr>
      </w:pPr>
      <w:r>
        <w:rPr>
          <w:rStyle w:val="5"/>
          <w:rFonts w:ascii="方正仿宋_GBK" w:hAnsi="方正仿宋_GBK" w:eastAsia="方正仿宋_GBK" w:cs="方正仿宋_GBK"/>
          <w:color w:val="auto"/>
          <w:sz w:val="32"/>
          <w:szCs w:val="32"/>
          <w:highlight w:val="none"/>
          <w:shd w:val="clear" w:color="auto" w:fill="FFFFFF"/>
        </w:rPr>
        <w:t>1.总体情况。</w:t>
      </w:r>
      <w:r>
        <w:rPr>
          <w:rFonts w:hint="eastAsia" w:ascii="方正仿宋_GBK" w:hAnsi="方正仿宋_GBK" w:eastAsia="方正仿宋_GBK" w:cs="方正仿宋_GBK"/>
          <w:color w:val="auto"/>
          <w:sz w:val="32"/>
          <w:szCs w:val="32"/>
          <w:highlight w:val="none"/>
          <w:shd w:val="clear" w:color="auto" w:fill="FFFFFF"/>
          <w:lang w:eastAsia="zh-CN"/>
        </w:rPr>
        <w:t>2024年</w:t>
      </w:r>
      <w:r>
        <w:rPr>
          <w:rFonts w:ascii="方正仿宋_GBK" w:hAnsi="方正仿宋_GBK" w:eastAsia="方正仿宋_GBK" w:cs="方正仿宋_GBK"/>
          <w:color w:val="auto"/>
          <w:sz w:val="32"/>
          <w:szCs w:val="32"/>
          <w:highlight w:val="none"/>
          <w:shd w:val="clear" w:color="auto" w:fill="FFFFFF"/>
        </w:rPr>
        <w:t>度收入总计1522.78万元，支出总计</w:t>
      </w:r>
      <w:r>
        <w:rPr>
          <w:rFonts w:ascii="方正仿宋_GBK" w:hAnsi="方正仿宋_GBK" w:eastAsia="方正仿宋_GBK" w:cs="方正仿宋_GBK"/>
          <w:color w:val="auto"/>
          <w:sz w:val="32"/>
          <w:szCs w:val="32"/>
          <w:highlight w:val="none"/>
        </w:rPr>
        <w:t>1522.78</w:t>
      </w:r>
      <w:r>
        <w:rPr>
          <w:rFonts w:ascii="方正仿宋_GBK" w:hAnsi="方正仿宋_GBK" w:eastAsia="方正仿宋_GBK" w:cs="方正仿宋_GBK"/>
          <w:color w:val="auto"/>
          <w:sz w:val="32"/>
          <w:szCs w:val="32"/>
          <w:highlight w:val="none"/>
          <w:shd w:val="clear" w:color="auto" w:fill="FFFFFF"/>
        </w:rPr>
        <w:t>万元。收、支与2023年度相比，减少22.24万元，下降1.4%，主要原因是</w:t>
      </w:r>
      <w:r>
        <w:rPr>
          <w:rFonts w:hint="eastAsia" w:ascii="方正仿宋_GBK" w:hAnsi="方正仿宋_GBK" w:eastAsia="方正仿宋_GBK" w:cs="方正仿宋_GBK"/>
          <w:color w:val="auto"/>
          <w:sz w:val="32"/>
          <w:szCs w:val="32"/>
          <w:highlight w:val="none"/>
          <w:shd w:val="clear" w:color="auto" w:fill="FFFFFF"/>
        </w:rPr>
        <w:t>2024年无年初结转和结余，而2023有年初结转和结余38.02万元</w:t>
      </w:r>
      <w:r>
        <w:rPr>
          <w:rFonts w:ascii="方正仿宋_GBK" w:hAnsi="方正仿宋_GBK" w:eastAsia="方正仿宋_GBK" w:cs="方正仿宋_GBK"/>
          <w:color w:val="auto"/>
          <w:sz w:val="32"/>
          <w:szCs w:val="32"/>
          <w:highlight w:val="none"/>
          <w:shd w:val="clear" w:color="auto" w:fill="FFFFFF"/>
        </w:rPr>
        <w:t>。</w:t>
      </w:r>
    </w:p>
    <w:p w14:paraId="05B99672">
      <w:pPr>
        <w:pStyle w:val="2"/>
        <w:keepNext w:val="0"/>
        <w:keepLines w:val="0"/>
        <w:pageBreakBefore w:val="0"/>
        <w:widowControl/>
        <w:shd w:val="clear" w:color="auto" w:fill="FFFFFF"/>
        <w:kinsoku/>
        <w:wordWrap/>
        <w:overflowPunct/>
        <w:topLinePunct w:val="0"/>
        <w:autoSpaceDE/>
        <w:autoSpaceDN/>
        <w:bidi w:val="0"/>
        <w:adjustRightInd/>
        <w:spacing w:line="600" w:lineRule="exact"/>
        <w:ind w:firstLine="643" w:firstLineChars="200"/>
        <w:textAlignment w:val="auto"/>
        <w:rPr>
          <w:rFonts w:hint="default" w:ascii="方正仿宋_GBK" w:hAnsi="方正仿宋_GBK" w:eastAsia="方正仿宋_GBK" w:cs="方正仿宋_GBK"/>
          <w:color w:val="auto"/>
          <w:sz w:val="32"/>
          <w:szCs w:val="32"/>
          <w:highlight w:val="none"/>
          <w:shd w:val="clear" w:color="auto" w:fill="FFFFFF"/>
        </w:rPr>
      </w:pPr>
      <w:r>
        <w:rPr>
          <w:rStyle w:val="5"/>
          <w:rFonts w:ascii="方正仿宋_GBK" w:hAnsi="方正仿宋_GBK" w:eastAsia="方正仿宋_GBK" w:cs="方正仿宋_GBK"/>
          <w:color w:val="auto"/>
          <w:sz w:val="32"/>
          <w:szCs w:val="32"/>
          <w:highlight w:val="none"/>
          <w:shd w:val="clear" w:color="auto" w:fill="FFFFFF"/>
        </w:rPr>
        <w:t>2.收入情况。</w:t>
      </w:r>
      <w:r>
        <w:rPr>
          <w:rFonts w:hint="eastAsia" w:ascii="方正仿宋_GBK" w:hAnsi="方正仿宋_GBK" w:eastAsia="方正仿宋_GBK" w:cs="方正仿宋_GBK"/>
          <w:color w:val="auto"/>
          <w:sz w:val="32"/>
          <w:szCs w:val="32"/>
          <w:highlight w:val="none"/>
          <w:shd w:val="clear" w:color="auto" w:fill="FFFFFF"/>
          <w:lang w:eastAsia="zh-CN"/>
        </w:rPr>
        <w:t>2024年</w:t>
      </w:r>
      <w:r>
        <w:rPr>
          <w:rFonts w:ascii="方正仿宋_GBK" w:hAnsi="方正仿宋_GBK" w:eastAsia="方正仿宋_GBK" w:cs="方正仿宋_GBK"/>
          <w:color w:val="auto"/>
          <w:sz w:val="32"/>
          <w:szCs w:val="32"/>
          <w:highlight w:val="none"/>
          <w:shd w:val="clear" w:color="auto" w:fill="FFFFFF"/>
        </w:rPr>
        <w:t>度收入合计1522.78万元，与2023年度相比，增加15.79万元，增长1.1%，主要原因是</w:t>
      </w:r>
      <w:r>
        <w:rPr>
          <w:rFonts w:hint="eastAsia" w:ascii="方正仿宋_GBK" w:hAnsi="方正仿宋_GBK" w:eastAsia="方正仿宋_GBK" w:cs="方正仿宋_GBK"/>
          <w:color w:val="auto"/>
          <w:sz w:val="32"/>
          <w:szCs w:val="32"/>
          <w:highlight w:val="none"/>
          <w:shd w:val="clear" w:color="auto" w:fill="FFFFFF"/>
        </w:rPr>
        <w:t>社保</w:t>
      </w:r>
      <w:r>
        <w:rPr>
          <w:rFonts w:hint="eastAsia" w:ascii="方正仿宋_GBK" w:hAnsi="方正仿宋_GBK" w:eastAsia="方正仿宋_GBK" w:cs="方正仿宋_GBK"/>
          <w:color w:val="auto"/>
          <w:sz w:val="32"/>
          <w:szCs w:val="32"/>
          <w:highlight w:val="none"/>
          <w:shd w:val="clear" w:color="auto" w:fill="FFFFFF"/>
          <w:lang w:val="en-US" w:eastAsia="zh-CN"/>
        </w:rPr>
        <w:t>缴费</w:t>
      </w:r>
      <w:r>
        <w:rPr>
          <w:rFonts w:hint="eastAsia" w:ascii="方正仿宋_GBK" w:hAnsi="方正仿宋_GBK" w:eastAsia="方正仿宋_GBK" w:cs="方正仿宋_GBK"/>
          <w:color w:val="auto"/>
          <w:sz w:val="32"/>
          <w:szCs w:val="32"/>
          <w:highlight w:val="none"/>
          <w:shd w:val="clear" w:color="auto" w:fill="FFFFFF"/>
        </w:rPr>
        <w:t>基数增加</w:t>
      </w:r>
      <w:r>
        <w:rPr>
          <w:rFonts w:ascii="方正仿宋_GBK" w:hAnsi="方正仿宋_GBK" w:eastAsia="方正仿宋_GBK" w:cs="方正仿宋_GBK"/>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其中：财政拨款收入</w:t>
      </w:r>
      <w:r>
        <w:rPr>
          <w:rFonts w:ascii="方正仿宋_GBK" w:hAnsi="方正仿宋_GBK" w:eastAsia="方正仿宋_GBK" w:cs="方正仿宋_GBK"/>
          <w:color w:val="auto"/>
          <w:sz w:val="32"/>
          <w:szCs w:val="32"/>
          <w:highlight w:val="none"/>
        </w:rPr>
        <w:t>1070.13</w:t>
      </w:r>
      <w:r>
        <w:rPr>
          <w:rFonts w:ascii="方正仿宋_GBK" w:hAnsi="方正仿宋_GBK" w:eastAsia="方正仿宋_GBK" w:cs="方正仿宋_GBK"/>
          <w:color w:val="auto"/>
          <w:sz w:val="32"/>
          <w:szCs w:val="32"/>
          <w:highlight w:val="none"/>
          <w:shd w:val="clear" w:color="auto" w:fill="FFFFFF"/>
        </w:rPr>
        <w:t>万元，占</w:t>
      </w:r>
      <w:r>
        <w:rPr>
          <w:rFonts w:ascii="方正仿宋_GBK" w:hAnsi="方正仿宋_GBK" w:eastAsia="方正仿宋_GBK" w:cs="方正仿宋_GBK"/>
          <w:color w:val="auto"/>
          <w:sz w:val="32"/>
          <w:szCs w:val="32"/>
          <w:highlight w:val="none"/>
        </w:rPr>
        <w:t>70.3%</w:t>
      </w:r>
      <w:r>
        <w:rPr>
          <w:rFonts w:ascii="方正仿宋_GBK" w:hAnsi="方正仿宋_GBK" w:eastAsia="方正仿宋_GBK" w:cs="方正仿宋_GBK"/>
          <w:color w:val="auto"/>
          <w:sz w:val="32"/>
          <w:szCs w:val="32"/>
          <w:highlight w:val="none"/>
          <w:shd w:val="clear" w:color="auto" w:fill="FFFFFF"/>
        </w:rPr>
        <w:t>；事业收入</w:t>
      </w:r>
      <w:r>
        <w:rPr>
          <w:rFonts w:ascii="方正仿宋_GBK" w:hAnsi="方正仿宋_GBK" w:eastAsia="方正仿宋_GBK" w:cs="方正仿宋_GBK"/>
          <w:color w:val="auto"/>
          <w:sz w:val="32"/>
          <w:szCs w:val="32"/>
          <w:highlight w:val="none"/>
        </w:rPr>
        <w:t>384.19</w:t>
      </w:r>
      <w:r>
        <w:rPr>
          <w:rFonts w:ascii="方正仿宋_GBK" w:hAnsi="方正仿宋_GBK" w:eastAsia="方正仿宋_GBK" w:cs="方正仿宋_GBK"/>
          <w:color w:val="auto"/>
          <w:sz w:val="32"/>
          <w:szCs w:val="32"/>
          <w:highlight w:val="none"/>
          <w:shd w:val="clear" w:color="auto" w:fill="FFFFFF"/>
        </w:rPr>
        <w:t>万元，占25.2%；经营收入</w:t>
      </w:r>
      <w:r>
        <w:rPr>
          <w:rFonts w:hint="eastAsia" w:ascii="方正仿宋_GBK" w:hAnsi="方正仿宋_GBK" w:eastAsia="方正仿宋_GBK" w:cs="方正仿宋_GBK"/>
          <w:color w:val="auto"/>
          <w:sz w:val="32"/>
          <w:szCs w:val="32"/>
          <w:highlight w:val="none"/>
          <w:lang w:val="en-US" w:eastAsia="zh-CN"/>
        </w:rPr>
        <w:t>0</w:t>
      </w:r>
      <w:r>
        <w:rPr>
          <w:rFonts w:ascii="方正仿宋_GBK" w:hAnsi="方正仿宋_GBK" w:eastAsia="方正仿宋_GBK" w:cs="方正仿宋_GBK"/>
          <w:color w:val="auto"/>
          <w:sz w:val="32"/>
          <w:szCs w:val="32"/>
          <w:highlight w:val="none"/>
          <w:shd w:val="clear" w:color="auto" w:fill="FFFFFF"/>
        </w:rPr>
        <w:t>万元，占0.0%；其他收入</w:t>
      </w:r>
      <w:r>
        <w:rPr>
          <w:rFonts w:ascii="方正仿宋_GBK" w:hAnsi="方正仿宋_GBK" w:eastAsia="方正仿宋_GBK" w:cs="方正仿宋_GBK"/>
          <w:color w:val="auto"/>
          <w:sz w:val="32"/>
          <w:szCs w:val="32"/>
          <w:highlight w:val="none"/>
        </w:rPr>
        <w:t>68.46</w:t>
      </w:r>
      <w:r>
        <w:rPr>
          <w:rFonts w:ascii="方正仿宋_GBK" w:hAnsi="方正仿宋_GBK" w:eastAsia="方正仿宋_GBK" w:cs="方正仿宋_GBK"/>
          <w:color w:val="auto"/>
          <w:sz w:val="32"/>
          <w:szCs w:val="32"/>
          <w:highlight w:val="none"/>
          <w:shd w:val="clear" w:color="auto" w:fill="FFFFFF"/>
        </w:rPr>
        <w:t>万元，占4.5%。此外，使用非财政拨款结余（含专用结余）</w:t>
      </w:r>
      <w:r>
        <w:rPr>
          <w:rFonts w:hint="eastAsia" w:ascii="方正仿宋_GBK" w:hAnsi="方正仿宋_GBK" w:eastAsia="方正仿宋_GBK" w:cs="方正仿宋_GBK"/>
          <w:color w:val="auto"/>
          <w:sz w:val="32"/>
          <w:szCs w:val="32"/>
          <w:highlight w:val="none"/>
          <w:lang w:val="en-US" w:eastAsia="zh-CN"/>
        </w:rPr>
        <w:t>0</w:t>
      </w:r>
      <w:r>
        <w:rPr>
          <w:rFonts w:ascii="方正仿宋_GBK" w:hAnsi="方正仿宋_GBK" w:eastAsia="方正仿宋_GBK" w:cs="方正仿宋_GBK"/>
          <w:color w:val="auto"/>
          <w:sz w:val="32"/>
          <w:szCs w:val="32"/>
          <w:highlight w:val="none"/>
          <w:shd w:val="clear" w:color="auto" w:fill="FFFFFF"/>
        </w:rPr>
        <w:t>万元，年初结转和结余</w:t>
      </w:r>
      <w:r>
        <w:rPr>
          <w:rFonts w:hint="eastAsia" w:ascii="方正仿宋_GBK" w:hAnsi="方正仿宋_GBK" w:eastAsia="方正仿宋_GBK" w:cs="方正仿宋_GBK"/>
          <w:color w:val="auto"/>
          <w:sz w:val="32"/>
          <w:szCs w:val="32"/>
          <w:highlight w:val="none"/>
          <w:lang w:val="en-US" w:eastAsia="zh-CN"/>
        </w:rPr>
        <w:t>0</w:t>
      </w:r>
      <w:r>
        <w:rPr>
          <w:rFonts w:ascii="方正仿宋_GBK" w:hAnsi="方正仿宋_GBK" w:eastAsia="方正仿宋_GBK" w:cs="方正仿宋_GBK"/>
          <w:color w:val="auto"/>
          <w:sz w:val="32"/>
          <w:szCs w:val="32"/>
          <w:highlight w:val="none"/>
          <w:shd w:val="clear" w:color="auto" w:fill="FFFFFF"/>
        </w:rPr>
        <w:t>万元。</w:t>
      </w:r>
    </w:p>
    <w:p w14:paraId="1D7F8560">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color w:val="auto"/>
          <w:sz w:val="32"/>
          <w:szCs w:val="32"/>
          <w:highlight w:val="none"/>
          <w:shd w:val="clear" w:color="auto" w:fill="FFFFFF"/>
        </w:rPr>
      </w:pPr>
      <w:r>
        <w:rPr>
          <w:rStyle w:val="5"/>
          <w:rFonts w:ascii="方正仿宋_GBK" w:hAnsi="方正仿宋_GBK" w:eastAsia="方正仿宋_GBK" w:cs="方正仿宋_GBK"/>
          <w:color w:val="auto"/>
          <w:sz w:val="32"/>
          <w:szCs w:val="32"/>
          <w:highlight w:val="none"/>
          <w:shd w:val="clear" w:color="auto" w:fill="FFFFFF"/>
        </w:rPr>
        <w:t>3.支出情况。</w:t>
      </w:r>
      <w:r>
        <w:rPr>
          <w:rFonts w:hint="eastAsia" w:ascii="方正仿宋_GBK" w:hAnsi="方正仿宋_GBK" w:eastAsia="方正仿宋_GBK" w:cs="方正仿宋_GBK"/>
          <w:color w:val="auto"/>
          <w:sz w:val="32"/>
          <w:szCs w:val="32"/>
          <w:highlight w:val="none"/>
          <w:shd w:val="clear" w:color="auto" w:fill="FFFFFF"/>
          <w:lang w:eastAsia="zh-CN"/>
        </w:rPr>
        <w:t>2024年</w:t>
      </w:r>
      <w:r>
        <w:rPr>
          <w:rFonts w:ascii="方正仿宋_GBK" w:hAnsi="方正仿宋_GBK" w:eastAsia="方正仿宋_GBK" w:cs="方正仿宋_GBK"/>
          <w:color w:val="auto"/>
          <w:sz w:val="32"/>
          <w:szCs w:val="32"/>
          <w:highlight w:val="none"/>
          <w:shd w:val="clear" w:color="auto" w:fill="FFFFFF"/>
        </w:rPr>
        <w:t>度支出合计</w:t>
      </w:r>
      <w:r>
        <w:rPr>
          <w:rFonts w:ascii="方正仿宋_GBK" w:hAnsi="方正仿宋_GBK" w:eastAsia="方正仿宋_GBK" w:cs="方正仿宋_GBK"/>
          <w:color w:val="auto"/>
          <w:sz w:val="32"/>
          <w:szCs w:val="32"/>
          <w:highlight w:val="none"/>
        </w:rPr>
        <w:t>1522.78</w:t>
      </w:r>
      <w:r>
        <w:rPr>
          <w:rFonts w:ascii="方正仿宋_GBK" w:hAnsi="方正仿宋_GBK" w:eastAsia="方正仿宋_GBK" w:cs="方正仿宋_GBK"/>
          <w:color w:val="auto"/>
          <w:sz w:val="32"/>
          <w:szCs w:val="32"/>
          <w:highlight w:val="none"/>
          <w:shd w:val="clear" w:color="auto" w:fill="FFFFFF"/>
        </w:rPr>
        <w:t>万元，与2023年度相比，减少22.24万元，下降1.4%，主要原因是</w:t>
      </w:r>
      <w:r>
        <w:rPr>
          <w:rFonts w:hint="eastAsia" w:ascii="方正仿宋_GBK" w:hAnsi="方正仿宋_GBK" w:eastAsia="方正仿宋_GBK" w:cs="方正仿宋_GBK"/>
          <w:color w:val="auto"/>
          <w:sz w:val="32"/>
          <w:szCs w:val="32"/>
          <w:highlight w:val="none"/>
          <w:shd w:val="clear" w:color="auto" w:fill="FFFFFF"/>
        </w:rPr>
        <w:t>2024年无年初结转和结余</w:t>
      </w:r>
      <w:r>
        <w:rPr>
          <w:rFonts w:ascii="方正仿宋_GBK" w:hAnsi="方正仿宋_GBK" w:eastAsia="方正仿宋_GBK" w:cs="方正仿宋_GBK"/>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其中：基本支出</w:t>
      </w:r>
      <w:r>
        <w:rPr>
          <w:rFonts w:ascii="方正仿宋_GBK" w:hAnsi="方正仿宋_GBK" w:eastAsia="方正仿宋_GBK" w:cs="方正仿宋_GBK"/>
          <w:color w:val="auto"/>
          <w:sz w:val="32"/>
          <w:szCs w:val="32"/>
          <w:highlight w:val="none"/>
        </w:rPr>
        <w:t>1342.78</w:t>
      </w:r>
      <w:r>
        <w:rPr>
          <w:rFonts w:ascii="方正仿宋_GBK" w:hAnsi="方正仿宋_GBK" w:eastAsia="方正仿宋_GBK" w:cs="方正仿宋_GBK"/>
          <w:color w:val="auto"/>
          <w:sz w:val="32"/>
          <w:szCs w:val="32"/>
          <w:highlight w:val="none"/>
          <w:shd w:val="clear" w:color="auto" w:fill="FFFFFF"/>
        </w:rPr>
        <w:t>万元，占88.2%；项目支出</w:t>
      </w:r>
      <w:r>
        <w:rPr>
          <w:rFonts w:hint="eastAsia" w:ascii="方正仿宋_GBK" w:hAnsi="方正仿宋_GBK" w:eastAsia="方正仿宋_GBK" w:cs="方正仿宋_GBK"/>
          <w:color w:val="auto"/>
          <w:sz w:val="32"/>
          <w:szCs w:val="32"/>
          <w:highlight w:val="none"/>
          <w:lang w:val="en-US" w:eastAsia="zh-CN"/>
        </w:rPr>
        <w:t>180</w:t>
      </w:r>
      <w:r>
        <w:rPr>
          <w:rFonts w:ascii="方正仿宋_GBK" w:hAnsi="方正仿宋_GBK" w:eastAsia="方正仿宋_GBK" w:cs="方正仿宋_GBK"/>
          <w:color w:val="auto"/>
          <w:sz w:val="32"/>
          <w:szCs w:val="32"/>
          <w:highlight w:val="none"/>
          <w:shd w:val="clear" w:color="auto" w:fill="FFFFFF"/>
        </w:rPr>
        <w:t>万元，占11.8%；经营支出</w:t>
      </w:r>
      <w:r>
        <w:rPr>
          <w:rFonts w:hint="eastAsia" w:ascii="方正仿宋_GBK" w:hAnsi="方正仿宋_GBK" w:eastAsia="方正仿宋_GBK" w:cs="方正仿宋_GBK"/>
          <w:color w:val="auto"/>
          <w:sz w:val="32"/>
          <w:szCs w:val="32"/>
          <w:highlight w:val="none"/>
          <w:lang w:val="en-US" w:eastAsia="zh-CN"/>
        </w:rPr>
        <w:t>0</w:t>
      </w:r>
      <w:r>
        <w:rPr>
          <w:rFonts w:ascii="方正仿宋_GBK" w:hAnsi="方正仿宋_GBK" w:eastAsia="方正仿宋_GBK" w:cs="方正仿宋_GBK"/>
          <w:color w:val="auto"/>
          <w:sz w:val="32"/>
          <w:szCs w:val="32"/>
          <w:highlight w:val="none"/>
          <w:shd w:val="clear" w:color="auto" w:fill="FFFFFF"/>
        </w:rPr>
        <w:t>万元，占0.0%。此外，结余分配</w:t>
      </w:r>
      <w:r>
        <w:rPr>
          <w:rFonts w:hint="eastAsia" w:ascii="方正仿宋_GBK" w:hAnsi="方正仿宋_GBK" w:eastAsia="方正仿宋_GBK" w:cs="方正仿宋_GBK"/>
          <w:color w:val="auto"/>
          <w:sz w:val="32"/>
          <w:szCs w:val="32"/>
          <w:highlight w:val="none"/>
          <w:lang w:val="en-US" w:eastAsia="zh-CN"/>
        </w:rPr>
        <w:t>0</w:t>
      </w:r>
      <w:r>
        <w:rPr>
          <w:rFonts w:ascii="方正仿宋_GBK" w:hAnsi="方正仿宋_GBK" w:eastAsia="方正仿宋_GBK" w:cs="方正仿宋_GBK"/>
          <w:color w:val="auto"/>
          <w:sz w:val="32"/>
          <w:szCs w:val="32"/>
          <w:highlight w:val="none"/>
          <w:shd w:val="clear" w:color="auto" w:fill="FFFFFF"/>
        </w:rPr>
        <w:t>万元。</w:t>
      </w:r>
    </w:p>
    <w:p w14:paraId="4C8B90FF">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color w:val="auto"/>
          <w:sz w:val="32"/>
          <w:szCs w:val="32"/>
          <w:highlight w:val="none"/>
        </w:rPr>
      </w:pPr>
      <w:r>
        <w:rPr>
          <w:rStyle w:val="5"/>
          <w:rFonts w:ascii="方正仿宋_GBK" w:hAnsi="方正仿宋_GBK" w:eastAsia="方正仿宋_GBK" w:cs="方正仿宋_GBK"/>
          <w:color w:val="auto"/>
          <w:sz w:val="32"/>
          <w:szCs w:val="32"/>
          <w:highlight w:val="none"/>
          <w:shd w:val="clear" w:color="auto" w:fill="FFFFFF"/>
        </w:rPr>
        <w:t>4.结转结余情况。</w:t>
      </w:r>
      <w:r>
        <w:rPr>
          <w:rFonts w:hint="eastAsia" w:ascii="方正仿宋_GBK" w:hAnsi="方正仿宋_GBK" w:eastAsia="方正仿宋_GBK" w:cs="方正仿宋_GBK"/>
          <w:color w:val="auto"/>
          <w:sz w:val="32"/>
          <w:szCs w:val="32"/>
          <w:highlight w:val="none"/>
          <w:shd w:val="clear" w:color="auto" w:fill="FFFFFF"/>
          <w:lang w:eastAsia="zh-CN"/>
        </w:rPr>
        <w:t>2024年</w:t>
      </w:r>
      <w:r>
        <w:rPr>
          <w:rFonts w:ascii="方正仿宋_GBK" w:hAnsi="方正仿宋_GBK" w:eastAsia="方正仿宋_GBK" w:cs="方正仿宋_GBK"/>
          <w:color w:val="auto"/>
          <w:sz w:val="32"/>
          <w:szCs w:val="32"/>
          <w:highlight w:val="none"/>
          <w:shd w:val="clear" w:color="auto" w:fill="FFFFFF"/>
        </w:rPr>
        <w:t>度年末结转和结余</w:t>
      </w:r>
      <w:r>
        <w:rPr>
          <w:rFonts w:hint="eastAsia" w:ascii="方正仿宋_GBK" w:hAnsi="方正仿宋_GBK" w:eastAsia="方正仿宋_GBK" w:cs="方正仿宋_GBK"/>
          <w:color w:val="auto"/>
          <w:sz w:val="32"/>
          <w:szCs w:val="32"/>
          <w:highlight w:val="none"/>
          <w:lang w:val="en-US" w:eastAsia="zh-CN"/>
        </w:rPr>
        <w:t>0</w:t>
      </w:r>
      <w:r>
        <w:rPr>
          <w:rFonts w:ascii="方正仿宋_GBK" w:hAnsi="方正仿宋_GBK" w:eastAsia="方正仿宋_GBK" w:cs="方正仿宋_GBK"/>
          <w:color w:val="auto"/>
          <w:sz w:val="32"/>
          <w:szCs w:val="32"/>
          <w:highlight w:val="none"/>
          <w:shd w:val="clear" w:color="auto" w:fill="FFFFFF"/>
        </w:rPr>
        <w:t>万元，与2023年度相比，无增减</w:t>
      </w:r>
      <w:r>
        <w:rPr>
          <w:rFonts w:ascii="方正仿宋_GBK" w:hAnsi="方正仿宋_GBK" w:eastAsia="方正仿宋_GBK" w:cs="方正仿宋_GBK"/>
          <w:color w:val="auto"/>
          <w:sz w:val="32"/>
          <w:szCs w:val="32"/>
          <w:highlight w:val="none"/>
          <w:shd w:val="clear" w:color="auto" w:fill="FFFFFF"/>
        </w:rPr>
        <w:t>。</w:t>
      </w:r>
    </w:p>
    <w:p w14:paraId="107F4566">
      <w:pPr>
        <w:pStyle w:val="6"/>
        <w:autoSpaceDE w:val="0"/>
        <w:ind w:firstLine="643"/>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（二）财政拨款收入支出决算总体情况说明</w:t>
      </w:r>
    </w:p>
    <w:p w14:paraId="21F3B5D3">
      <w:pPr>
        <w:pStyle w:val="2"/>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shd w:val="clear" w:color="auto" w:fill="FFFFFF"/>
          <w:lang w:eastAsia="zh-CN"/>
        </w:rPr>
        <w:t>2024年</w:t>
      </w:r>
      <w:r>
        <w:rPr>
          <w:rFonts w:ascii="方正仿宋_GBK" w:hAnsi="方正仿宋_GBK" w:eastAsia="方正仿宋_GBK" w:cs="方正仿宋_GBK"/>
          <w:color w:val="auto"/>
          <w:sz w:val="32"/>
          <w:szCs w:val="32"/>
          <w:highlight w:val="none"/>
          <w:shd w:val="clear" w:color="auto" w:fill="FFFFFF"/>
        </w:rPr>
        <w:t>度财政拨款收、支总计1070.13万元。与202</w:t>
      </w:r>
      <w:r>
        <w:rPr>
          <w:rFonts w:hint="eastAsia" w:ascii="方正仿宋_GBK" w:hAnsi="方正仿宋_GBK" w:eastAsia="方正仿宋_GBK" w:cs="方正仿宋_GBK"/>
          <w:color w:val="auto"/>
          <w:sz w:val="32"/>
          <w:szCs w:val="32"/>
          <w:highlight w:val="none"/>
          <w:shd w:val="clear" w:color="auto" w:fill="FFFFFF"/>
          <w:lang w:val="en-US" w:eastAsia="zh-CN"/>
        </w:rPr>
        <w:t>3</w:t>
      </w:r>
      <w:r>
        <w:rPr>
          <w:rFonts w:ascii="方正仿宋_GBK" w:hAnsi="方正仿宋_GBK" w:eastAsia="方正仿宋_GBK" w:cs="方正仿宋_GBK"/>
          <w:color w:val="auto"/>
          <w:sz w:val="32"/>
          <w:szCs w:val="32"/>
          <w:highlight w:val="none"/>
          <w:shd w:val="clear" w:color="auto" w:fill="FFFFFF"/>
        </w:rPr>
        <w:t>年相比，财政拨款收、支总计各增加220.05万元，增长25.9%。主要原因是</w:t>
      </w:r>
      <w:r>
        <w:rPr>
          <w:rFonts w:hint="eastAsia" w:ascii="方正仿宋_GBK" w:hAnsi="方正仿宋_GBK" w:eastAsia="方正仿宋_GBK" w:cs="方正仿宋_GBK"/>
          <w:color w:val="auto"/>
          <w:sz w:val="32"/>
          <w:szCs w:val="32"/>
          <w:highlight w:val="none"/>
          <w:shd w:val="clear" w:color="auto" w:fill="FFFFFF"/>
        </w:rPr>
        <w:t>人员经费及项目支出的增加</w:t>
      </w:r>
      <w:r>
        <w:rPr>
          <w:rFonts w:ascii="方正仿宋_GBK" w:hAnsi="方正仿宋_GBK" w:eastAsia="方正仿宋_GBK" w:cs="方正仿宋_GBK"/>
          <w:color w:val="auto"/>
          <w:sz w:val="32"/>
          <w:szCs w:val="32"/>
          <w:highlight w:val="none"/>
          <w:shd w:val="clear" w:color="auto" w:fill="FFFFFF"/>
        </w:rPr>
        <w:t>。</w:t>
      </w:r>
    </w:p>
    <w:p w14:paraId="6791DB0C">
      <w:pPr>
        <w:pStyle w:val="6"/>
        <w:autoSpaceDE w:val="0"/>
        <w:ind w:firstLine="643"/>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（三）一般公共预算财政拨款收入支出决算情况说明</w:t>
      </w:r>
    </w:p>
    <w:p w14:paraId="53453820">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color w:val="auto"/>
          <w:sz w:val="32"/>
          <w:szCs w:val="32"/>
          <w:highlight w:val="none"/>
        </w:rPr>
      </w:pPr>
      <w:r>
        <w:rPr>
          <w:rStyle w:val="5"/>
          <w:rFonts w:ascii="方正仿宋_GBK" w:hAnsi="方正仿宋_GBK" w:eastAsia="方正仿宋_GBK" w:cs="方正仿宋_GBK"/>
          <w:color w:val="auto"/>
          <w:sz w:val="32"/>
          <w:szCs w:val="32"/>
          <w:highlight w:val="none"/>
          <w:shd w:val="clear" w:color="auto" w:fill="FFFFFF"/>
        </w:rPr>
        <w:t>1.收入情况。</w:t>
      </w:r>
      <w:r>
        <w:rPr>
          <w:rFonts w:hint="eastAsia" w:ascii="方正仿宋_GBK" w:hAnsi="方正仿宋_GBK" w:eastAsia="方正仿宋_GBK" w:cs="方正仿宋_GBK"/>
          <w:color w:val="auto"/>
          <w:sz w:val="32"/>
          <w:szCs w:val="32"/>
          <w:highlight w:val="none"/>
          <w:shd w:val="clear" w:color="auto" w:fill="FFFFFF"/>
          <w:lang w:eastAsia="zh-CN"/>
        </w:rPr>
        <w:t>2024年</w:t>
      </w:r>
      <w:r>
        <w:rPr>
          <w:rFonts w:ascii="方正仿宋_GBK" w:hAnsi="方正仿宋_GBK" w:eastAsia="方正仿宋_GBK" w:cs="方正仿宋_GBK"/>
          <w:color w:val="auto"/>
          <w:sz w:val="32"/>
          <w:szCs w:val="32"/>
          <w:highlight w:val="none"/>
          <w:shd w:val="clear" w:color="auto" w:fill="FFFFFF"/>
        </w:rPr>
        <w:t>度一般公共预算财政拨款收入</w:t>
      </w:r>
      <w:r>
        <w:rPr>
          <w:rFonts w:ascii="方正仿宋_GBK" w:hAnsi="方正仿宋_GBK" w:eastAsia="方正仿宋_GBK" w:cs="方正仿宋_GBK"/>
          <w:color w:val="auto"/>
          <w:sz w:val="32"/>
          <w:szCs w:val="32"/>
          <w:highlight w:val="none"/>
        </w:rPr>
        <w:t>1070.13</w:t>
      </w:r>
      <w:r>
        <w:rPr>
          <w:rFonts w:ascii="方正仿宋_GBK" w:hAnsi="方正仿宋_GBK" w:eastAsia="方正仿宋_GBK" w:cs="方正仿宋_GBK"/>
          <w:color w:val="auto"/>
          <w:sz w:val="32"/>
          <w:szCs w:val="32"/>
          <w:highlight w:val="none"/>
          <w:shd w:val="clear" w:color="auto" w:fill="FFFFFF"/>
        </w:rPr>
        <w:t>万元，与2023年度相比，增加258.07万元，增长31.8%。主要原因是</w:t>
      </w:r>
      <w:r>
        <w:rPr>
          <w:rFonts w:hint="eastAsia" w:ascii="方正仿宋_GBK" w:hAnsi="方正仿宋_GBK" w:eastAsia="方正仿宋_GBK" w:cs="方正仿宋_GBK"/>
          <w:color w:val="auto"/>
          <w:sz w:val="32"/>
          <w:szCs w:val="32"/>
          <w:highlight w:val="none"/>
          <w:shd w:val="clear" w:color="auto" w:fill="FFFFFF"/>
        </w:rPr>
        <w:t>人员经费及项目支出的增加</w:t>
      </w:r>
      <w:r>
        <w:rPr>
          <w:rFonts w:ascii="方正仿宋_GBK" w:hAnsi="方正仿宋_GBK" w:eastAsia="方正仿宋_GBK" w:cs="方正仿宋_GBK"/>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较年初预算数增加193.47万元，增长22.1%。主要原因是</w:t>
      </w:r>
      <w:r>
        <w:rPr>
          <w:rFonts w:hint="eastAsia" w:ascii="方正仿宋_GBK" w:hAnsi="方正仿宋_GBK" w:eastAsia="方正仿宋_GBK" w:cs="方正仿宋_GBK"/>
          <w:color w:val="auto"/>
          <w:sz w:val="32"/>
          <w:szCs w:val="32"/>
          <w:highlight w:val="none"/>
          <w:shd w:val="clear" w:color="auto" w:fill="FFFFFF"/>
        </w:rPr>
        <w:t>项目经费的增加</w:t>
      </w:r>
      <w:r>
        <w:rPr>
          <w:rFonts w:ascii="方正仿宋_GBK" w:hAnsi="方正仿宋_GBK" w:eastAsia="方正仿宋_GBK" w:cs="方正仿宋_GBK"/>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此外，年初财政拨款结转和结余</w:t>
      </w:r>
      <w:r>
        <w:rPr>
          <w:rFonts w:hint="eastAsia" w:ascii="方正仿宋_GBK" w:hAnsi="方正仿宋_GBK" w:eastAsia="方正仿宋_GBK" w:cs="方正仿宋_GBK"/>
          <w:color w:val="auto"/>
          <w:sz w:val="32"/>
          <w:szCs w:val="32"/>
          <w:highlight w:val="none"/>
          <w:lang w:val="en-US" w:eastAsia="zh-CN"/>
        </w:rPr>
        <w:t>0</w:t>
      </w:r>
      <w:r>
        <w:rPr>
          <w:rFonts w:ascii="方正仿宋_GBK" w:hAnsi="方正仿宋_GBK" w:eastAsia="方正仿宋_GBK" w:cs="方正仿宋_GBK"/>
          <w:color w:val="auto"/>
          <w:sz w:val="32"/>
          <w:szCs w:val="32"/>
          <w:highlight w:val="none"/>
          <w:shd w:val="clear" w:color="auto" w:fill="FFFFFF"/>
        </w:rPr>
        <w:t>万元。</w:t>
      </w:r>
    </w:p>
    <w:p w14:paraId="42880936">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color w:val="auto"/>
          <w:sz w:val="32"/>
          <w:szCs w:val="32"/>
          <w:highlight w:val="none"/>
        </w:rPr>
      </w:pPr>
      <w:r>
        <w:rPr>
          <w:rStyle w:val="5"/>
          <w:rFonts w:ascii="方正仿宋_GBK" w:hAnsi="方正仿宋_GBK" w:eastAsia="方正仿宋_GBK" w:cs="方正仿宋_GBK"/>
          <w:color w:val="auto"/>
          <w:sz w:val="32"/>
          <w:szCs w:val="32"/>
          <w:highlight w:val="none"/>
          <w:shd w:val="clear" w:color="auto" w:fill="FFFFFF"/>
        </w:rPr>
        <w:t>2.支出情况。</w:t>
      </w:r>
      <w:r>
        <w:rPr>
          <w:rFonts w:hint="eastAsia" w:ascii="方正仿宋_GBK" w:hAnsi="方正仿宋_GBK" w:eastAsia="方正仿宋_GBK" w:cs="方正仿宋_GBK"/>
          <w:color w:val="auto"/>
          <w:sz w:val="32"/>
          <w:szCs w:val="32"/>
          <w:highlight w:val="none"/>
          <w:shd w:val="clear" w:color="auto" w:fill="FFFFFF"/>
          <w:lang w:eastAsia="zh-CN"/>
        </w:rPr>
        <w:t>2024年</w:t>
      </w:r>
      <w:r>
        <w:rPr>
          <w:rFonts w:ascii="方正仿宋_GBK" w:hAnsi="方正仿宋_GBK" w:eastAsia="方正仿宋_GBK" w:cs="方正仿宋_GBK"/>
          <w:color w:val="auto"/>
          <w:sz w:val="32"/>
          <w:szCs w:val="32"/>
          <w:highlight w:val="none"/>
          <w:shd w:val="clear" w:color="auto" w:fill="FFFFFF"/>
        </w:rPr>
        <w:t>度一般公共预算财政拨款支出</w:t>
      </w:r>
      <w:r>
        <w:rPr>
          <w:rFonts w:ascii="方正仿宋_GBK" w:hAnsi="方正仿宋_GBK" w:eastAsia="方正仿宋_GBK" w:cs="方正仿宋_GBK"/>
          <w:color w:val="auto"/>
          <w:sz w:val="32"/>
          <w:szCs w:val="32"/>
          <w:highlight w:val="none"/>
        </w:rPr>
        <w:t>1070.13</w:t>
      </w:r>
      <w:r>
        <w:rPr>
          <w:rFonts w:ascii="方正仿宋_GBK" w:hAnsi="方正仿宋_GBK" w:eastAsia="方正仿宋_GBK" w:cs="方正仿宋_GBK"/>
          <w:color w:val="auto"/>
          <w:sz w:val="32"/>
          <w:szCs w:val="32"/>
          <w:highlight w:val="none"/>
          <w:shd w:val="clear" w:color="auto" w:fill="FFFFFF"/>
        </w:rPr>
        <w:t>万元，与2023年度相比，增加250.05万元，增长30.5%。主要原因是</w:t>
      </w:r>
      <w:r>
        <w:rPr>
          <w:rFonts w:hint="eastAsia" w:ascii="方正仿宋_GBK" w:hAnsi="方正仿宋_GBK" w:eastAsia="方正仿宋_GBK" w:cs="方正仿宋_GBK"/>
          <w:color w:val="auto"/>
          <w:sz w:val="32"/>
          <w:szCs w:val="32"/>
          <w:highlight w:val="none"/>
          <w:shd w:val="clear" w:color="auto" w:fill="FFFFFF"/>
        </w:rPr>
        <w:t>人员经费及项目支出的增加</w:t>
      </w:r>
      <w:r>
        <w:rPr>
          <w:rFonts w:ascii="方正仿宋_GBK" w:hAnsi="方正仿宋_GBK" w:eastAsia="方正仿宋_GBK" w:cs="方正仿宋_GBK"/>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较年初预算数增加193.47万元，增长22.1%。主要原因是</w:t>
      </w:r>
      <w:r>
        <w:rPr>
          <w:rFonts w:hint="eastAsia" w:ascii="方正仿宋_GBK" w:hAnsi="方正仿宋_GBK" w:eastAsia="方正仿宋_GBK" w:cs="方正仿宋_GBK"/>
          <w:color w:val="auto"/>
          <w:sz w:val="32"/>
          <w:szCs w:val="32"/>
          <w:highlight w:val="none"/>
          <w:shd w:val="clear" w:color="auto" w:fill="FFFFFF"/>
        </w:rPr>
        <w:t>项目经费的增加</w:t>
      </w:r>
      <w:r>
        <w:rPr>
          <w:rFonts w:ascii="方正仿宋_GBK" w:hAnsi="方正仿宋_GBK" w:eastAsia="方正仿宋_GBK" w:cs="方正仿宋_GBK"/>
          <w:color w:val="auto"/>
          <w:sz w:val="32"/>
          <w:szCs w:val="32"/>
          <w:highlight w:val="none"/>
          <w:shd w:val="clear" w:color="auto" w:fill="FFFFFF"/>
        </w:rPr>
        <w:t>。</w:t>
      </w:r>
    </w:p>
    <w:p w14:paraId="22C5C042">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color w:val="auto"/>
          <w:sz w:val="32"/>
          <w:szCs w:val="32"/>
          <w:highlight w:val="none"/>
        </w:rPr>
      </w:pPr>
      <w:r>
        <w:rPr>
          <w:rStyle w:val="5"/>
          <w:rFonts w:ascii="方正仿宋_GBK" w:hAnsi="方正仿宋_GBK" w:eastAsia="方正仿宋_GBK" w:cs="方正仿宋_GBK"/>
          <w:color w:val="auto"/>
          <w:sz w:val="32"/>
          <w:szCs w:val="32"/>
          <w:highlight w:val="none"/>
          <w:shd w:val="clear" w:color="auto" w:fill="FFFFFF"/>
        </w:rPr>
        <w:t>3.结转结余情况。</w:t>
      </w:r>
      <w:r>
        <w:rPr>
          <w:rFonts w:hint="eastAsia" w:ascii="方正仿宋_GBK" w:hAnsi="方正仿宋_GBK" w:eastAsia="方正仿宋_GBK" w:cs="方正仿宋_GBK"/>
          <w:color w:val="auto"/>
          <w:sz w:val="32"/>
          <w:szCs w:val="32"/>
          <w:highlight w:val="none"/>
          <w:shd w:val="clear" w:color="auto" w:fill="FFFFFF"/>
          <w:lang w:eastAsia="zh-CN"/>
        </w:rPr>
        <w:t>2024年</w:t>
      </w:r>
      <w:r>
        <w:rPr>
          <w:rFonts w:ascii="方正仿宋_GBK" w:hAnsi="方正仿宋_GBK" w:eastAsia="方正仿宋_GBK" w:cs="方正仿宋_GBK"/>
          <w:color w:val="auto"/>
          <w:sz w:val="32"/>
          <w:szCs w:val="32"/>
          <w:highlight w:val="none"/>
          <w:shd w:val="clear" w:color="auto" w:fill="FFFFFF"/>
        </w:rPr>
        <w:t>度年末一般公共预算财政拨款结转和结余</w:t>
      </w:r>
      <w:r>
        <w:rPr>
          <w:rFonts w:hint="eastAsia" w:ascii="方正仿宋_GBK" w:hAnsi="方正仿宋_GBK" w:eastAsia="方正仿宋_GBK" w:cs="方正仿宋_GBK"/>
          <w:color w:val="auto"/>
          <w:sz w:val="32"/>
          <w:szCs w:val="32"/>
          <w:highlight w:val="none"/>
          <w:shd w:val="clear" w:color="auto" w:fill="FFFFFF"/>
          <w:lang w:val="en-US" w:eastAsia="zh-CN"/>
        </w:rPr>
        <w:t>0</w:t>
      </w:r>
      <w:r>
        <w:rPr>
          <w:rFonts w:ascii="方正仿宋_GBK" w:hAnsi="方正仿宋_GBK" w:eastAsia="方正仿宋_GBK" w:cs="方正仿宋_GBK"/>
          <w:color w:val="auto"/>
          <w:sz w:val="32"/>
          <w:szCs w:val="32"/>
          <w:highlight w:val="none"/>
          <w:shd w:val="clear" w:color="auto" w:fill="FFFFFF"/>
        </w:rPr>
        <w:t>万元，与2023年度相比，无增减</w:t>
      </w:r>
      <w:r>
        <w:rPr>
          <w:rFonts w:ascii="方正仿宋_GBK" w:hAnsi="方正仿宋_GBK" w:eastAsia="方正仿宋_GBK" w:cs="方正仿宋_GBK"/>
          <w:color w:val="auto"/>
          <w:sz w:val="32"/>
          <w:szCs w:val="32"/>
          <w:highlight w:val="none"/>
          <w:shd w:val="clear" w:color="auto" w:fill="FFFFFF"/>
        </w:rPr>
        <w:t>。</w:t>
      </w:r>
    </w:p>
    <w:p w14:paraId="6536755A">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color w:val="auto"/>
          <w:sz w:val="32"/>
          <w:szCs w:val="32"/>
          <w:highlight w:val="none"/>
          <w:shd w:val="clear" w:color="auto" w:fill="FFFFFF"/>
        </w:rPr>
      </w:pPr>
      <w:r>
        <w:rPr>
          <w:rStyle w:val="5"/>
          <w:rFonts w:ascii="方正仿宋_GBK" w:hAnsi="方正仿宋_GBK" w:eastAsia="方正仿宋_GBK" w:cs="方正仿宋_GBK"/>
          <w:color w:val="auto"/>
          <w:sz w:val="32"/>
          <w:szCs w:val="32"/>
          <w:highlight w:val="none"/>
          <w:shd w:val="clear" w:color="auto" w:fill="FFFFFF"/>
        </w:rPr>
        <w:t>4.比较情况。</w:t>
      </w:r>
      <w:r>
        <w:rPr>
          <w:rFonts w:ascii="方正仿宋_GBK" w:hAnsi="方正仿宋_GBK" w:eastAsia="方正仿宋_GBK" w:cs="方正仿宋_GBK"/>
          <w:color w:val="auto"/>
          <w:sz w:val="32"/>
          <w:szCs w:val="32"/>
          <w:highlight w:val="none"/>
          <w:shd w:val="clear" w:color="auto" w:fill="FFFFFF"/>
        </w:rPr>
        <w:t>本单位</w:t>
      </w:r>
      <w:r>
        <w:rPr>
          <w:rFonts w:hint="eastAsia" w:ascii="方正仿宋_GBK" w:hAnsi="方正仿宋_GBK" w:eastAsia="方正仿宋_GBK" w:cs="方正仿宋_GBK"/>
          <w:color w:val="auto"/>
          <w:sz w:val="32"/>
          <w:szCs w:val="32"/>
          <w:highlight w:val="none"/>
          <w:shd w:val="clear" w:color="auto" w:fill="FFFFFF"/>
          <w:lang w:eastAsia="zh-CN"/>
        </w:rPr>
        <w:t>2024年</w:t>
      </w:r>
      <w:r>
        <w:rPr>
          <w:rFonts w:ascii="方正仿宋_GBK" w:hAnsi="方正仿宋_GBK" w:eastAsia="方正仿宋_GBK" w:cs="方正仿宋_GBK"/>
          <w:color w:val="auto"/>
          <w:sz w:val="32"/>
          <w:szCs w:val="32"/>
          <w:highlight w:val="none"/>
          <w:shd w:val="clear" w:color="auto" w:fill="FFFFFF"/>
        </w:rPr>
        <w:t>度一般公共预算财政拨款支出主要用于以下几个方面：</w:t>
      </w:r>
    </w:p>
    <w:p w14:paraId="48EC6ACB">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w:t>
      </w:r>
      <w:r>
        <w:rPr>
          <w:rFonts w:hint="eastAsia" w:ascii="方正仿宋_GBK" w:hAnsi="方正仿宋_GBK" w:eastAsia="方正仿宋_GBK" w:cs="方正仿宋_GBK"/>
          <w:color w:val="auto"/>
          <w:sz w:val="32"/>
          <w:szCs w:val="32"/>
          <w:highlight w:val="none"/>
          <w:shd w:val="clear" w:color="auto" w:fill="FFFFFF"/>
          <w:lang w:val="en-US" w:eastAsia="zh-CN"/>
        </w:rPr>
        <w:t>1</w:t>
      </w:r>
      <w:r>
        <w:rPr>
          <w:rFonts w:ascii="方正仿宋_GBK" w:hAnsi="方正仿宋_GBK" w:eastAsia="方正仿宋_GBK" w:cs="方正仿宋_GBK"/>
          <w:color w:val="auto"/>
          <w:sz w:val="32"/>
          <w:szCs w:val="32"/>
          <w:highlight w:val="none"/>
          <w:shd w:val="clear" w:color="auto" w:fill="FFFFFF"/>
        </w:rPr>
        <w:t>）社会保障</w:t>
      </w:r>
      <w:r>
        <w:rPr>
          <w:rFonts w:hint="eastAsia" w:ascii="方正仿宋_GBK" w:hAnsi="方正仿宋_GBK" w:eastAsia="方正仿宋_GBK" w:cs="方正仿宋_GBK"/>
          <w:color w:val="auto"/>
          <w:sz w:val="32"/>
          <w:szCs w:val="32"/>
          <w:highlight w:val="none"/>
          <w:shd w:val="clear" w:color="auto" w:fill="FFFFFF"/>
          <w:lang w:eastAsia="zh-CN"/>
        </w:rPr>
        <w:t>和</w:t>
      </w:r>
      <w:r>
        <w:rPr>
          <w:rFonts w:ascii="方正仿宋_GBK" w:hAnsi="方正仿宋_GBK" w:eastAsia="方正仿宋_GBK" w:cs="方正仿宋_GBK"/>
          <w:color w:val="auto"/>
          <w:sz w:val="32"/>
          <w:szCs w:val="32"/>
          <w:highlight w:val="none"/>
          <w:shd w:val="clear" w:color="auto" w:fill="FFFFFF"/>
        </w:rPr>
        <w:t>就业支出</w:t>
      </w:r>
      <w:r>
        <w:rPr>
          <w:rFonts w:ascii="方正仿宋_GBK" w:hAnsi="方正仿宋_GBK" w:eastAsia="方正仿宋_GBK" w:cs="方正仿宋_GBK"/>
          <w:color w:val="auto"/>
          <w:sz w:val="32"/>
          <w:szCs w:val="32"/>
          <w:highlight w:val="none"/>
        </w:rPr>
        <w:t>233.77</w:t>
      </w:r>
      <w:r>
        <w:rPr>
          <w:rFonts w:ascii="方正仿宋_GBK" w:hAnsi="方正仿宋_GBK" w:eastAsia="方正仿宋_GBK" w:cs="方正仿宋_GBK"/>
          <w:color w:val="auto"/>
          <w:sz w:val="32"/>
          <w:szCs w:val="32"/>
          <w:highlight w:val="none"/>
          <w:shd w:val="clear" w:color="auto" w:fill="FFFFFF"/>
        </w:rPr>
        <w:t>万元，占</w:t>
      </w:r>
      <w:r>
        <w:rPr>
          <w:rFonts w:ascii="方正仿宋_GBK" w:hAnsi="方正仿宋_GBK" w:eastAsia="方正仿宋_GBK" w:cs="方正仿宋_GBK"/>
          <w:color w:val="auto"/>
          <w:sz w:val="32"/>
          <w:szCs w:val="32"/>
          <w:highlight w:val="none"/>
        </w:rPr>
        <w:t>21.8%</w:t>
      </w:r>
      <w:r>
        <w:rPr>
          <w:rFonts w:ascii="方正仿宋_GBK" w:hAnsi="方正仿宋_GBK" w:eastAsia="方正仿宋_GBK" w:cs="方正仿宋_GBK"/>
          <w:color w:val="auto"/>
          <w:sz w:val="32"/>
          <w:szCs w:val="32"/>
          <w:highlight w:val="none"/>
          <w:shd w:val="clear" w:color="auto" w:fill="FFFFFF"/>
        </w:rPr>
        <w:t>，较年初预算数增加29.67万元，增长14.5%，主要原因是</w:t>
      </w:r>
      <w:r>
        <w:rPr>
          <w:rFonts w:hint="eastAsia" w:ascii="方正仿宋_GBK" w:hAnsi="方正仿宋_GBK" w:eastAsia="方正仿宋_GBK" w:cs="方正仿宋_GBK"/>
          <w:color w:val="auto"/>
          <w:sz w:val="32"/>
          <w:szCs w:val="32"/>
          <w:highlight w:val="none"/>
          <w:shd w:val="clear" w:color="auto" w:fill="FFFFFF"/>
        </w:rPr>
        <w:t>社保</w:t>
      </w:r>
      <w:r>
        <w:rPr>
          <w:rFonts w:hint="eastAsia" w:ascii="方正仿宋_GBK" w:hAnsi="方正仿宋_GBK" w:eastAsia="方正仿宋_GBK" w:cs="方正仿宋_GBK"/>
          <w:color w:val="auto"/>
          <w:sz w:val="32"/>
          <w:szCs w:val="32"/>
          <w:highlight w:val="none"/>
          <w:shd w:val="clear" w:color="auto" w:fill="FFFFFF"/>
          <w:lang w:val="en-US" w:eastAsia="zh-CN"/>
        </w:rPr>
        <w:t>缴费</w:t>
      </w:r>
      <w:r>
        <w:rPr>
          <w:rFonts w:hint="eastAsia" w:ascii="方正仿宋_GBK" w:hAnsi="方正仿宋_GBK" w:eastAsia="方正仿宋_GBK" w:cs="方正仿宋_GBK"/>
          <w:color w:val="auto"/>
          <w:sz w:val="32"/>
          <w:szCs w:val="32"/>
          <w:highlight w:val="none"/>
          <w:shd w:val="clear" w:color="auto" w:fill="FFFFFF"/>
        </w:rPr>
        <w:t>基数增加</w:t>
      </w:r>
      <w:r>
        <w:rPr>
          <w:rFonts w:ascii="方正仿宋_GBK" w:hAnsi="方正仿宋_GBK" w:eastAsia="方正仿宋_GBK" w:cs="方正仿宋_GBK"/>
          <w:color w:val="auto"/>
          <w:sz w:val="32"/>
          <w:szCs w:val="32"/>
          <w:highlight w:val="none"/>
          <w:shd w:val="clear" w:color="auto" w:fill="FFFFFF"/>
        </w:rPr>
        <w:t>。</w:t>
      </w:r>
    </w:p>
    <w:p w14:paraId="5CD3F962">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w:t>
      </w:r>
      <w:r>
        <w:rPr>
          <w:rFonts w:hint="eastAsia" w:ascii="方正仿宋_GBK" w:hAnsi="方正仿宋_GBK" w:eastAsia="方正仿宋_GBK" w:cs="方正仿宋_GBK"/>
          <w:color w:val="auto"/>
          <w:sz w:val="32"/>
          <w:szCs w:val="32"/>
          <w:highlight w:val="none"/>
          <w:shd w:val="clear" w:color="auto" w:fill="FFFFFF"/>
          <w:lang w:val="en-US" w:eastAsia="zh-CN"/>
        </w:rPr>
        <w:t>2</w:t>
      </w:r>
      <w:r>
        <w:rPr>
          <w:rFonts w:ascii="方正仿宋_GBK" w:hAnsi="方正仿宋_GBK" w:eastAsia="方正仿宋_GBK" w:cs="方正仿宋_GBK"/>
          <w:color w:val="auto"/>
          <w:sz w:val="32"/>
          <w:szCs w:val="32"/>
          <w:highlight w:val="none"/>
          <w:shd w:val="clear" w:color="auto" w:fill="FFFFFF"/>
        </w:rPr>
        <w:t>）卫生健康支出</w:t>
      </w:r>
      <w:r>
        <w:rPr>
          <w:rFonts w:ascii="方正仿宋_GBK" w:hAnsi="方正仿宋_GBK" w:eastAsia="方正仿宋_GBK" w:cs="方正仿宋_GBK"/>
          <w:color w:val="auto"/>
          <w:sz w:val="32"/>
          <w:szCs w:val="32"/>
          <w:highlight w:val="none"/>
        </w:rPr>
        <w:t>808.83</w:t>
      </w:r>
      <w:r>
        <w:rPr>
          <w:rFonts w:ascii="方正仿宋_GBK" w:hAnsi="方正仿宋_GBK" w:eastAsia="方正仿宋_GBK" w:cs="方正仿宋_GBK"/>
          <w:color w:val="auto"/>
          <w:sz w:val="32"/>
          <w:szCs w:val="32"/>
          <w:highlight w:val="none"/>
          <w:shd w:val="clear" w:color="auto" w:fill="FFFFFF"/>
        </w:rPr>
        <w:t>万元，占</w:t>
      </w:r>
      <w:r>
        <w:rPr>
          <w:rFonts w:ascii="方正仿宋_GBK" w:hAnsi="方正仿宋_GBK" w:eastAsia="方正仿宋_GBK" w:cs="方正仿宋_GBK"/>
          <w:color w:val="auto"/>
          <w:sz w:val="32"/>
          <w:szCs w:val="32"/>
          <w:highlight w:val="none"/>
        </w:rPr>
        <w:t>75.6%</w:t>
      </w:r>
      <w:r>
        <w:rPr>
          <w:rFonts w:ascii="方正仿宋_GBK" w:hAnsi="方正仿宋_GBK" w:eastAsia="方正仿宋_GBK" w:cs="方正仿宋_GBK"/>
          <w:color w:val="auto"/>
          <w:sz w:val="32"/>
          <w:szCs w:val="32"/>
          <w:highlight w:val="none"/>
          <w:shd w:val="clear" w:color="auto" w:fill="FFFFFF"/>
        </w:rPr>
        <w:t>，较年初预算数增加162.39万元，增长25.1%，主要原因是</w:t>
      </w:r>
      <w:r>
        <w:rPr>
          <w:rFonts w:hint="eastAsia" w:ascii="方正仿宋_GBK" w:hAnsi="方正仿宋_GBK" w:eastAsia="方正仿宋_GBK" w:cs="方正仿宋_GBK"/>
          <w:color w:val="auto"/>
          <w:sz w:val="32"/>
          <w:szCs w:val="32"/>
          <w:highlight w:val="none"/>
          <w:shd w:val="clear" w:color="auto" w:fill="FFFFFF"/>
        </w:rPr>
        <w:t>项目经费的增加</w:t>
      </w:r>
      <w:r>
        <w:rPr>
          <w:rFonts w:ascii="方正仿宋_GBK" w:hAnsi="方正仿宋_GBK" w:eastAsia="方正仿宋_GBK" w:cs="方正仿宋_GBK"/>
          <w:color w:val="auto"/>
          <w:sz w:val="32"/>
          <w:szCs w:val="32"/>
          <w:highlight w:val="none"/>
          <w:shd w:val="clear" w:color="auto" w:fill="FFFFFF"/>
        </w:rPr>
        <w:t>。</w:t>
      </w:r>
    </w:p>
    <w:p w14:paraId="4A24FB68">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方正仿宋_GBK" w:hAnsi="方正仿宋_GBK" w:eastAsia="方正仿宋_GBK" w:cs="方正仿宋_GBK"/>
          <w:color w:val="auto"/>
          <w:sz w:val="32"/>
          <w:szCs w:val="32"/>
          <w:highlight w:val="none"/>
          <w:shd w:val="clear" w:color="auto" w:fill="FFFFFF"/>
        </w:rPr>
      </w:pPr>
      <w:r>
        <w:rPr>
          <w:rFonts w:ascii="方正仿宋_GBK" w:hAnsi="方正仿宋_GBK" w:eastAsia="方正仿宋_GBK" w:cs="方正仿宋_GBK"/>
          <w:color w:val="auto"/>
          <w:sz w:val="32"/>
          <w:szCs w:val="32"/>
          <w:highlight w:val="none"/>
          <w:shd w:val="clear" w:color="auto" w:fill="FFFFFF"/>
        </w:rPr>
        <w:t>（</w:t>
      </w:r>
      <w:r>
        <w:rPr>
          <w:rFonts w:hint="eastAsia" w:ascii="方正仿宋_GBK" w:hAnsi="方正仿宋_GBK" w:eastAsia="方正仿宋_GBK" w:cs="方正仿宋_GBK"/>
          <w:color w:val="auto"/>
          <w:sz w:val="32"/>
          <w:szCs w:val="32"/>
          <w:highlight w:val="none"/>
          <w:shd w:val="clear" w:color="auto" w:fill="FFFFFF"/>
          <w:lang w:val="en-US" w:eastAsia="zh-CN"/>
        </w:rPr>
        <w:t>3</w:t>
      </w:r>
      <w:r>
        <w:rPr>
          <w:rFonts w:ascii="方正仿宋_GBK" w:hAnsi="方正仿宋_GBK" w:eastAsia="方正仿宋_GBK" w:cs="方正仿宋_GBK"/>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rPr>
        <w:t>住房保障支出27.54</w:t>
      </w:r>
      <w:r>
        <w:rPr>
          <w:rFonts w:ascii="方正仿宋_GBK" w:hAnsi="方正仿宋_GBK" w:eastAsia="方正仿宋_GBK" w:cs="方正仿宋_GBK"/>
          <w:color w:val="auto"/>
          <w:sz w:val="32"/>
          <w:szCs w:val="32"/>
          <w:highlight w:val="none"/>
          <w:shd w:val="clear" w:color="auto" w:fill="FFFFFF"/>
        </w:rPr>
        <w:t>万元，占</w:t>
      </w:r>
      <w:r>
        <w:rPr>
          <w:rFonts w:ascii="方正仿宋_GBK" w:hAnsi="方正仿宋_GBK" w:eastAsia="方正仿宋_GBK" w:cs="方正仿宋_GBK"/>
          <w:color w:val="auto"/>
          <w:sz w:val="32"/>
          <w:szCs w:val="32"/>
          <w:highlight w:val="none"/>
        </w:rPr>
        <w:t>2.6%</w:t>
      </w:r>
      <w:r>
        <w:rPr>
          <w:rFonts w:ascii="方正仿宋_GBK" w:hAnsi="方正仿宋_GBK" w:eastAsia="方正仿宋_GBK" w:cs="方正仿宋_GBK"/>
          <w:color w:val="auto"/>
          <w:sz w:val="32"/>
          <w:szCs w:val="32"/>
          <w:highlight w:val="none"/>
          <w:shd w:val="clear" w:color="auto" w:fill="FFFFFF"/>
        </w:rPr>
        <w:t>，较年初预算数增加1.42万元，增长5.4%，主要原因是</w:t>
      </w:r>
      <w:r>
        <w:rPr>
          <w:rFonts w:hint="eastAsia" w:ascii="方正仿宋_GBK" w:hAnsi="方正仿宋_GBK" w:eastAsia="方正仿宋_GBK" w:cs="方正仿宋_GBK"/>
          <w:color w:val="auto"/>
          <w:sz w:val="32"/>
          <w:szCs w:val="32"/>
          <w:highlight w:val="none"/>
          <w:shd w:val="clear" w:color="auto" w:fill="FFFFFF"/>
          <w:lang w:val="en-US" w:eastAsia="zh-CN"/>
        </w:rPr>
        <w:t>公积金基数的调整</w:t>
      </w:r>
      <w:r>
        <w:rPr>
          <w:rFonts w:ascii="方正仿宋_GBK" w:hAnsi="方正仿宋_GBK" w:eastAsia="方正仿宋_GBK" w:cs="方正仿宋_GBK"/>
          <w:color w:val="auto"/>
          <w:sz w:val="32"/>
          <w:szCs w:val="32"/>
          <w:highlight w:val="none"/>
          <w:shd w:val="clear" w:color="auto" w:fill="FFFFFF"/>
        </w:rPr>
        <w:t>。</w:t>
      </w:r>
    </w:p>
    <w:p w14:paraId="0C759AAE">
      <w:pPr>
        <w:pStyle w:val="6"/>
        <w:autoSpaceDE w:val="0"/>
        <w:ind w:firstLine="643"/>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（四）一般公共预算财政拨款基本支出决算情况说明</w:t>
      </w:r>
    </w:p>
    <w:p w14:paraId="34A963BD">
      <w:pPr>
        <w:pStyle w:val="2"/>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 </w:t>
      </w:r>
      <w:r>
        <w:rPr>
          <w:rFonts w:hint="eastAsia" w:ascii="方正仿宋_GBK" w:hAnsi="方正仿宋_GBK" w:eastAsia="方正仿宋_GBK" w:cs="方正仿宋_GBK"/>
          <w:color w:val="auto"/>
          <w:sz w:val="32"/>
          <w:szCs w:val="32"/>
          <w:highlight w:val="none"/>
          <w:shd w:val="clear" w:color="auto" w:fill="FFFFFF"/>
          <w:lang w:eastAsia="zh-CN"/>
        </w:rPr>
        <w:t>2024年</w:t>
      </w:r>
      <w:r>
        <w:rPr>
          <w:rFonts w:ascii="方正仿宋_GBK" w:hAnsi="方正仿宋_GBK" w:eastAsia="方正仿宋_GBK" w:cs="方正仿宋_GBK"/>
          <w:color w:val="auto"/>
          <w:sz w:val="32"/>
          <w:szCs w:val="32"/>
          <w:highlight w:val="none"/>
          <w:shd w:val="clear" w:color="auto" w:fill="FFFFFF"/>
        </w:rPr>
        <w:t>度一般公共财政拨款基本支出</w:t>
      </w:r>
      <w:r>
        <w:rPr>
          <w:rFonts w:ascii="方正仿宋_GBK" w:hAnsi="方正仿宋_GBK" w:eastAsia="方正仿宋_GBK" w:cs="方正仿宋_GBK"/>
          <w:color w:val="auto"/>
          <w:sz w:val="32"/>
          <w:szCs w:val="32"/>
          <w:highlight w:val="none"/>
        </w:rPr>
        <w:t>890.13</w:t>
      </w:r>
      <w:r>
        <w:rPr>
          <w:rFonts w:ascii="方正仿宋_GBK" w:hAnsi="方正仿宋_GBK" w:eastAsia="方正仿宋_GBK" w:cs="方正仿宋_GBK"/>
          <w:color w:val="auto"/>
          <w:sz w:val="32"/>
          <w:szCs w:val="32"/>
          <w:highlight w:val="none"/>
          <w:shd w:val="clear" w:color="auto" w:fill="FFFFFF"/>
        </w:rPr>
        <w:t>万元。其中：人员经费</w:t>
      </w:r>
      <w:r>
        <w:rPr>
          <w:rFonts w:ascii="方正仿宋_GBK" w:hAnsi="方正仿宋_GBK" w:eastAsia="方正仿宋_GBK" w:cs="方正仿宋_GBK"/>
          <w:color w:val="auto"/>
          <w:sz w:val="32"/>
          <w:szCs w:val="32"/>
          <w:highlight w:val="none"/>
        </w:rPr>
        <w:t>887.93</w:t>
      </w:r>
      <w:r>
        <w:rPr>
          <w:rFonts w:ascii="方正仿宋_GBK" w:hAnsi="方正仿宋_GBK" w:eastAsia="方正仿宋_GBK" w:cs="方正仿宋_GBK"/>
          <w:color w:val="auto"/>
          <w:sz w:val="32"/>
          <w:szCs w:val="32"/>
          <w:highlight w:val="none"/>
          <w:shd w:val="clear" w:color="auto" w:fill="FFFFFF"/>
        </w:rPr>
        <w:t>万元，与2023年度相比，增加213.70万元，增长31.7%，主要原因是</w:t>
      </w:r>
      <w:r>
        <w:rPr>
          <w:rFonts w:hint="eastAsia" w:ascii="方正仿宋_GBK" w:hAnsi="方正仿宋_GBK" w:eastAsia="方正仿宋_GBK" w:cs="方正仿宋_GBK"/>
          <w:color w:val="auto"/>
          <w:sz w:val="32"/>
          <w:szCs w:val="32"/>
          <w:highlight w:val="none"/>
          <w:shd w:val="clear" w:color="auto" w:fill="FFFFFF"/>
        </w:rPr>
        <w:t>人员薪酬标准提高、社保缴费基数调整</w:t>
      </w:r>
      <w:r>
        <w:rPr>
          <w:rFonts w:ascii="方正仿宋_GBK" w:hAnsi="方正仿宋_GBK" w:eastAsia="方正仿宋_GBK" w:cs="方正仿宋_GBK"/>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人员经费用途主要包括</w:t>
      </w:r>
      <w:r>
        <w:rPr>
          <w:rFonts w:hint="eastAsia" w:ascii="方正仿宋_GBK" w:hAnsi="方正仿宋_GBK" w:eastAsia="方正仿宋_GBK" w:cs="方正仿宋_GBK"/>
          <w:color w:val="auto"/>
          <w:sz w:val="32"/>
          <w:szCs w:val="32"/>
          <w:highlight w:val="none"/>
          <w:shd w:val="clear" w:color="auto" w:fill="FFFFFF"/>
        </w:rPr>
        <w:t>工资福利支出、对个人和家庭的补助等</w:t>
      </w:r>
      <w:r>
        <w:rPr>
          <w:rFonts w:ascii="方正仿宋_GBK" w:hAnsi="方正仿宋_GBK" w:eastAsia="方正仿宋_GBK" w:cs="方正仿宋_GBK"/>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公用经费</w:t>
      </w:r>
      <w:r>
        <w:rPr>
          <w:rFonts w:ascii="方正仿宋_GBK" w:hAnsi="方正仿宋_GBK" w:eastAsia="方正仿宋_GBK" w:cs="方正仿宋_GBK"/>
          <w:color w:val="auto"/>
          <w:sz w:val="32"/>
          <w:szCs w:val="32"/>
          <w:highlight w:val="none"/>
        </w:rPr>
        <w:t>2.20</w:t>
      </w:r>
      <w:r>
        <w:rPr>
          <w:rFonts w:ascii="方正仿宋_GBK" w:hAnsi="方正仿宋_GBK" w:eastAsia="方正仿宋_GBK" w:cs="方正仿宋_GBK"/>
          <w:color w:val="auto"/>
          <w:sz w:val="32"/>
          <w:szCs w:val="32"/>
          <w:highlight w:val="none"/>
          <w:shd w:val="clear" w:color="auto" w:fill="FFFFFF"/>
        </w:rPr>
        <w:t>万元，与2023年度相比，增加0.25万元，增长12.8%，主要原因是</w:t>
      </w:r>
      <w:r>
        <w:rPr>
          <w:rFonts w:hint="eastAsia" w:ascii="方正仿宋_GBK" w:hAnsi="方正仿宋_GBK" w:eastAsia="方正仿宋_GBK" w:cs="方正仿宋_GBK"/>
          <w:color w:val="auto"/>
          <w:sz w:val="32"/>
          <w:szCs w:val="32"/>
          <w:highlight w:val="none"/>
          <w:shd w:val="clear" w:color="auto" w:fill="FFFFFF"/>
        </w:rPr>
        <w:t>劳务费的增加</w:t>
      </w:r>
      <w:r>
        <w:rPr>
          <w:rFonts w:ascii="方正仿宋_GBK" w:hAnsi="方正仿宋_GBK" w:eastAsia="方正仿宋_GBK" w:cs="方正仿宋_GBK"/>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shd w:val="clear" w:color="auto" w:fill="FFFFFF"/>
        </w:rPr>
        <w:t>公用经费用途主要包括</w:t>
      </w:r>
      <w:r>
        <w:rPr>
          <w:rFonts w:hint="eastAsia" w:ascii="方正仿宋_GBK" w:hAnsi="方正仿宋_GBK" w:eastAsia="方正仿宋_GBK" w:cs="方正仿宋_GBK"/>
          <w:color w:val="auto"/>
          <w:sz w:val="32"/>
          <w:szCs w:val="32"/>
          <w:highlight w:val="none"/>
          <w:shd w:val="clear" w:color="auto" w:fill="FFFFFF"/>
          <w:lang w:val="en-US" w:eastAsia="zh-CN"/>
        </w:rPr>
        <w:t>劳务费</w:t>
      </w:r>
      <w:r>
        <w:rPr>
          <w:rFonts w:ascii="方正仿宋_GBK" w:hAnsi="方正仿宋_GBK" w:eastAsia="方正仿宋_GBK" w:cs="方正仿宋_GBK"/>
          <w:color w:val="auto"/>
          <w:sz w:val="32"/>
          <w:szCs w:val="32"/>
          <w:highlight w:val="none"/>
          <w:shd w:val="clear" w:color="auto" w:fill="FFFFFF"/>
        </w:rPr>
        <w:t>。</w:t>
      </w:r>
    </w:p>
    <w:p w14:paraId="1529AF5C">
      <w:pPr>
        <w:pStyle w:val="6"/>
        <w:autoSpaceDE w:val="0"/>
        <w:ind w:firstLine="643"/>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（五）政府性基金预算收支决算情况说明</w:t>
      </w:r>
    </w:p>
    <w:p w14:paraId="4B4EC9E8">
      <w:pPr>
        <w:pStyle w:val="2"/>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shd w:val="clear" w:color="auto" w:fill="FFFFFF"/>
        </w:rPr>
        <w:t>本单位2024年度无政府性基金预算财政拨款收支</w:t>
      </w:r>
      <w:r>
        <w:rPr>
          <w:rFonts w:hint="eastAsia" w:ascii="方正仿宋_GBK" w:hAnsi="方正仿宋_GBK" w:eastAsia="方正仿宋_GBK" w:cs="方正仿宋_GBK"/>
          <w:color w:val="auto"/>
          <w:sz w:val="32"/>
          <w:szCs w:val="32"/>
          <w:highlight w:val="none"/>
          <w:shd w:val="clear" w:color="auto" w:fill="FFFFFF"/>
          <w:lang w:eastAsia="zh-CN"/>
        </w:rPr>
        <w:t>。</w:t>
      </w:r>
    </w:p>
    <w:p w14:paraId="184FB383">
      <w:pPr>
        <w:pStyle w:val="6"/>
        <w:autoSpaceDE w:val="0"/>
        <w:ind w:firstLine="643"/>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（六）国有资本经营预算财政拨款支出决算情况说明</w:t>
      </w:r>
    </w:p>
    <w:p w14:paraId="00A3E7C1">
      <w:pPr>
        <w:pStyle w:val="2"/>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none"/>
          <w:shd w:val="clear" w:color="auto" w:fill="FFFFFF"/>
        </w:rPr>
      </w:pPr>
      <w:r>
        <w:rPr>
          <w:rFonts w:ascii="方正仿宋_GBK" w:hAnsi="方正仿宋_GBK" w:eastAsia="方正仿宋_GBK" w:cs="方正仿宋_GBK"/>
          <w:color w:val="auto"/>
          <w:sz w:val="32"/>
          <w:szCs w:val="32"/>
          <w:highlight w:val="none"/>
          <w:shd w:val="clear" w:color="auto" w:fill="FFFFFF"/>
        </w:rPr>
        <w:t> </w:t>
      </w:r>
      <w:r>
        <w:rPr>
          <w:rFonts w:hint="eastAsia" w:ascii="方正仿宋_GBK" w:hAnsi="方正仿宋_GBK" w:eastAsia="方正仿宋_GBK" w:cs="方正仿宋_GBK"/>
          <w:color w:val="auto"/>
          <w:sz w:val="32"/>
          <w:szCs w:val="32"/>
          <w:highlight w:val="none"/>
          <w:shd w:val="clear" w:color="auto" w:fill="FFFFFF"/>
        </w:rPr>
        <w:t>本单位2024年度无国有资本经营预算财政拨款支出。</w:t>
      </w:r>
    </w:p>
    <w:p w14:paraId="06C747BA">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color w:val="auto"/>
          <w:sz w:val="32"/>
          <w:szCs w:val="32"/>
          <w:highlight w:val="none"/>
        </w:rPr>
      </w:pPr>
      <w:r>
        <w:rPr>
          <w:rStyle w:val="5"/>
          <w:rFonts w:ascii="黑体" w:hAnsi="黑体" w:eastAsia="黑体" w:cs="黑体"/>
          <w:color w:val="auto"/>
          <w:sz w:val="32"/>
          <w:szCs w:val="32"/>
          <w:highlight w:val="none"/>
          <w:shd w:val="clear" w:color="auto" w:fill="FFFFFF"/>
        </w:rPr>
        <w:t>三、</w:t>
      </w:r>
      <w:r>
        <w:rPr>
          <w:rStyle w:val="5"/>
          <w:rFonts w:hint="eastAsia" w:ascii="黑体" w:hAnsi="黑体" w:eastAsia="黑体" w:cs="黑体"/>
          <w:color w:val="auto"/>
          <w:sz w:val="32"/>
          <w:szCs w:val="32"/>
          <w:highlight w:val="none"/>
          <w:shd w:val="clear" w:color="auto" w:fill="FFFFFF"/>
          <w:lang w:eastAsia="zh-CN"/>
        </w:rPr>
        <w:t>财政拨款</w:t>
      </w:r>
      <w:r>
        <w:rPr>
          <w:rStyle w:val="5"/>
          <w:rFonts w:ascii="黑体" w:hAnsi="黑体" w:eastAsia="黑体" w:cs="黑体"/>
          <w:color w:val="auto"/>
          <w:sz w:val="32"/>
          <w:szCs w:val="32"/>
          <w:highlight w:val="none"/>
          <w:shd w:val="clear" w:color="auto" w:fill="FFFFFF"/>
        </w:rPr>
        <w:t>“三公”经费情况说明</w:t>
      </w:r>
    </w:p>
    <w:p w14:paraId="412269CB">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shd w:val="clear" w:color="auto" w:fill="FFFFFF"/>
        </w:rPr>
        <w:t>我单位属于差额拨款单位，财政未保障我单位“三公”经费</w:t>
      </w:r>
      <w:r>
        <w:rPr>
          <w:rFonts w:ascii="方正仿宋_GBK" w:hAnsi="方正仿宋_GBK" w:eastAsia="方正仿宋_GBK" w:cs="方正仿宋_GBK"/>
          <w:color w:val="auto"/>
          <w:sz w:val="32"/>
          <w:szCs w:val="32"/>
          <w:highlight w:val="none"/>
          <w:shd w:val="clear" w:color="auto" w:fill="FFFFFF"/>
        </w:rPr>
        <w:t>。</w:t>
      </w:r>
    </w:p>
    <w:p w14:paraId="305DFED5">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5"/>
          <w:rFonts w:hint="default" w:ascii="黑体" w:hAnsi="黑体" w:eastAsia="黑体" w:cs="黑体"/>
          <w:color w:val="auto"/>
          <w:sz w:val="32"/>
          <w:szCs w:val="32"/>
          <w:highlight w:val="none"/>
          <w:shd w:val="clear" w:color="auto" w:fill="FFFFFF"/>
        </w:rPr>
      </w:pPr>
      <w:r>
        <w:rPr>
          <w:rStyle w:val="5"/>
          <w:rFonts w:ascii="黑体" w:hAnsi="黑体" w:eastAsia="黑体" w:cs="黑体"/>
          <w:color w:val="auto"/>
          <w:sz w:val="32"/>
          <w:szCs w:val="32"/>
          <w:highlight w:val="none"/>
          <w:shd w:val="clear" w:color="auto" w:fill="FFFFFF"/>
        </w:rPr>
        <w:t>四、其他需要说明的事项</w:t>
      </w:r>
    </w:p>
    <w:p w14:paraId="28382905">
      <w:pPr>
        <w:pStyle w:val="6"/>
        <w:autoSpaceDE w:val="0"/>
        <w:ind w:firstLine="643"/>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 xml:space="preserve"> （一）财政拨款会议费和培训费情况说明</w:t>
      </w:r>
    </w:p>
    <w:p w14:paraId="769E7436">
      <w:pPr>
        <w:pStyle w:val="2"/>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none"/>
          <w:shd w:val="clear" w:color="auto" w:fill="FFFFFF"/>
        </w:rPr>
      </w:pPr>
      <w:r>
        <w:rPr>
          <w:rFonts w:hint="eastAsia" w:ascii="方正仿宋_GBK" w:hAnsi="方正仿宋_GBK" w:eastAsia="方正仿宋_GBK" w:cs="方正仿宋_GBK"/>
          <w:color w:val="auto"/>
          <w:sz w:val="32"/>
          <w:szCs w:val="32"/>
          <w:highlight w:val="none"/>
          <w:shd w:val="clear" w:color="auto" w:fill="FFFFFF"/>
        </w:rPr>
        <w:t>因我单位属于差额拨款单位，财政未保障我单位会议费和培训费。</w:t>
      </w:r>
    </w:p>
    <w:p w14:paraId="136387E9">
      <w:pPr>
        <w:pStyle w:val="6"/>
        <w:autoSpaceDE w:val="0"/>
        <w:ind w:firstLine="643"/>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（二）机关运行经费情况说明</w:t>
      </w:r>
    </w:p>
    <w:p w14:paraId="672A9FDB">
      <w:pPr>
        <w:pStyle w:val="2"/>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none"/>
          <w:shd w:val="clear" w:color="auto" w:fill="FFFFFF"/>
        </w:rPr>
      </w:pPr>
      <w:r>
        <w:rPr>
          <w:rFonts w:hint="eastAsia" w:ascii="方正仿宋_GBK" w:hAnsi="方正仿宋_GBK" w:eastAsia="方正仿宋_GBK" w:cs="方正仿宋_GBK"/>
          <w:color w:val="auto"/>
          <w:sz w:val="32"/>
          <w:szCs w:val="32"/>
          <w:highlight w:val="none"/>
          <w:shd w:val="clear" w:color="auto" w:fill="FFFFFF"/>
          <w:lang w:eastAsia="zh-CN"/>
        </w:rPr>
        <w:t>因我单位属于差额拨款单位，财政未保障我单位机关运行经费</w:t>
      </w:r>
      <w:r>
        <w:rPr>
          <w:rFonts w:hint="default" w:ascii="方正仿宋_GBK" w:hAnsi="方正仿宋_GBK" w:eastAsia="方正仿宋_GBK" w:cs="方正仿宋_GBK"/>
          <w:color w:val="auto"/>
          <w:sz w:val="32"/>
          <w:szCs w:val="32"/>
          <w:highlight w:val="none"/>
          <w:shd w:val="clear" w:color="auto" w:fill="FFFFFF"/>
        </w:rPr>
        <w:t>。</w:t>
      </w:r>
    </w:p>
    <w:p w14:paraId="0AD613B3">
      <w:pPr>
        <w:pStyle w:val="6"/>
        <w:autoSpaceDE w:val="0"/>
        <w:ind w:firstLine="643"/>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（三）国有资产占用情况说明</w:t>
      </w:r>
    </w:p>
    <w:p w14:paraId="5A35A4EA">
      <w:pPr>
        <w:pStyle w:val="2"/>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shd w:val="clear" w:color="auto" w:fill="FFFFFF"/>
        </w:rPr>
        <w:t>截至</w:t>
      </w:r>
      <w:r>
        <w:rPr>
          <w:rFonts w:hint="eastAsia" w:ascii="方正仿宋_GBK" w:hAnsi="方正仿宋_GBK" w:eastAsia="方正仿宋_GBK" w:cs="方正仿宋_GBK"/>
          <w:color w:val="auto"/>
          <w:sz w:val="32"/>
          <w:szCs w:val="32"/>
          <w:highlight w:val="none"/>
          <w:shd w:val="clear" w:color="auto" w:fill="FFFFFF"/>
          <w:lang w:eastAsia="zh-CN"/>
        </w:rPr>
        <w:t>2024年12月31日，本单位共有车辆1辆，其中：特种专业技术用车1辆。单价50万元（含）以上通用设备0台（套），单价100万元（含）以上专用设备1台（套）。</w:t>
      </w:r>
    </w:p>
    <w:p w14:paraId="350D9AC3">
      <w:pPr>
        <w:pStyle w:val="6"/>
        <w:autoSpaceDE w:val="0"/>
        <w:ind w:firstLine="643"/>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（四）政府采购支出情况说明</w:t>
      </w:r>
    </w:p>
    <w:p w14:paraId="1349C73B">
      <w:pPr>
        <w:pStyle w:val="2"/>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highlight w:val="none"/>
          <w:shd w:val="clear" w:color="auto" w:fill="FFFFFF"/>
          <w:lang w:eastAsia="zh-CN"/>
        </w:rPr>
      </w:pPr>
      <w:r>
        <w:rPr>
          <w:rFonts w:hint="eastAsia" w:ascii="方正仿宋_GBK" w:hAnsi="方正仿宋_GBK" w:eastAsia="方正仿宋_GBK" w:cs="方正仿宋_GBK"/>
          <w:color w:val="auto"/>
          <w:sz w:val="32"/>
          <w:szCs w:val="32"/>
          <w:highlight w:val="none"/>
          <w:shd w:val="clear" w:color="auto" w:fill="FFFFFF"/>
          <w:lang w:eastAsia="zh-CN"/>
        </w:rPr>
        <w:t>2024年度本单位政府采购支出总额0.33万元，其中：政府采购货物支出0.33万元、政府采购工程支出0万元、政府采购服务支出0万元。授予中小企业合同金额0.33万元，占政府采购支出总额的100.0%，其中：授予小微企业合同金额0.33万元，占政府采购支出总额</w:t>
      </w:r>
      <w:bookmarkStart w:id="0" w:name="_GoBack"/>
      <w:bookmarkEnd w:id="0"/>
      <w:r>
        <w:rPr>
          <w:rFonts w:hint="eastAsia" w:ascii="方正仿宋_GBK" w:hAnsi="方正仿宋_GBK" w:eastAsia="方正仿宋_GBK" w:cs="方正仿宋_GBK"/>
          <w:color w:val="auto"/>
          <w:sz w:val="32"/>
          <w:szCs w:val="32"/>
          <w:highlight w:val="none"/>
          <w:shd w:val="clear" w:color="auto" w:fill="FFFFFF"/>
          <w:lang w:eastAsia="zh-CN"/>
        </w:rPr>
        <w:t>的100.0 %。</w:t>
      </w:r>
    </w:p>
    <w:p w14:paraId="692D2679">
      <w:pPr>
        <w:pStyle w:val="7"/>
        <w:keepNext w:val="0"/>
        <w:keepLines w:val="0"/>
        <w:pageBreakBefore w:val="0"/>
        <w:tabs>
          <w:tab w:val="center" w:pos="4153"/>
          <w:tab w:val="left" w:pos="7275"/>
        </w:tabs>
        <w:kinsoku/>
        <w:wordWrap/>
        <w:overflowPunct/>
        <w:topLinePunct w:val="0"/>
        <w:autoSpaceDN/>
        <w:bidi w:val="0"/>
        <w:adjustRightInd/>
        <w:spacing w:line="594" w:lineRule="exact"/>
        <w:ind w:firstLine="640" w:firstLineChars="200"/>
        <w:textAlignment w:val="auto"/>
        <w:rPr>
          <w:rFonts w:hint="eastAsia" w:ascii="Times New Roman" w:hAnsi="Times New Roman" w:eastAsia="方正黑体_GBK" w:cs="宋体"/>
          <w:color w:val="auto"/>
          <w:kern w:val="0"/>
          <w:sz w:val="32"/>
          <w:szCs w:val="32"/>
          <w:highlight w:val="none"/>
        </w:rPr>
      </w:pPr>
      <w:r>
        <w:rPr>
          <w:rFonts w:hint="eastAsia" w:ascii="Times New Roman" w:hAnsi="Times New Roman" w:eastAsia="方正黑体_GBK" w:cs="宋体"/>
          <w:color w:val="auto"/>
          <w:kern w:val="0"/>
          <w:sz w:val="32"/>
          <w:szCs w:val="32"/>
          <w:highlight w:val="none"/>
        </w:rPr>
        <w:t>五、预算绩效管理情况说明</w:t>
      </w:r>
    </w:p>
    <w:p w14:paraId="0C20CBFC">
      <w:pPr>
        <w:pStyle w:val="2"/>
        <w:keepNext w:val="0"/>
        <w:keepLines w:val="0"/>
        <w:pageBreakBefore w:val="0"/>
        <w:widowControl w:val="0"/>
        <w:suppressLineNumbers w:val="0"/>
        <w:kinsoku/>
        <w:wordWrap/>
        <w:overflowPunct/>
        <w:topLinePunct w:val="0"/>
        <w:autoSpaceDN/>
        <w:bidi w:val="0"/>
        <w:adjustRightInd/>
        <w:spacing w:before="0" w:beforeAutospacing="0" w:after="0" w:afterAutospacing="0" w:line="594" w:lineRule="exact"/>
        <w:ind w:left="0" w:right="0" w:firstLine="640" w:firstLineChars="200"/>
        <w:jc w:val="both"/>
        <w:textAlignment w:val="auto"/>
        <w:rPr>
          <w:rFonts w:hint="default" w:ascii="方正楷体_GBK" w:hAnsi="方正楷体_GBK" w:eastAsia="方正楷体_GBK" w:cs="方正楷体_GBK"/>
          <w:b w:val="0"/>
          <w:color w:val="auto"/>
          <w:kern w:val="2"/>
          <w:sz w:val="32"/>
          <w:szCs w:val="32"/>
          <w:highlight w:val="none"/>
          <w:shd w:val="clear" w:color="auto" w:fill="FFFFFF"/>
        </w:rPr>
      </w:pPr>
      <w:r>
        <w:rPr>
          <w:rFonts w:hint="default" w:ascii="方正楷体_GBK" w:hAnsi="方正楷体_GBK" w:eastAsia="方正楷体_GBK" w:cs="方正楷体_GBK"/>
          <w:b w:val="0"/>
          <w:color w:val="auto"/>
          <w:kern w:val="2"/>
          <w:sz w:val="32"/>
          <w:szCs w:val="32"/>
          <w:highlight w:val="none"/>
          <w:shd w:val="clear" w:color="auto" w:fill="FFFFFF"/>
          <w:lang w:val="en-US" w:eastAsia="zh-CN" w:bidi="ar"/>
        </w:rPr>
        <w:t>（一）预算绩效管理工作开展情况</w:t>
      </w:r>
    </w:p>
    <w:p w14:paraId="48C0F677">
      <w:pPr>
        <w:pStyle w:val="2"/>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none"/>
          <w:shd w:val="clear" w:color="auto" w:fill="FFFFFF"/>
          <w:lang w:val="en-US" w:eastAsia="zh-CN"/>
        </w:rPr>
      </w:pPr>
      <w:r>
        <w:rPr>
          <w:rFonts w:hint="default" w:ascii="方正仿宋_GBK" w:hAnsi="方正仿宋_GBK" w:eastAsia="方正仿宋_GBK" w:cs="方正仿宋_GBK"/>
          <w:color w:val="auto"/>
          <w:sz w:val="32"/>
          <w:szCs w:val="32"/>
          <w:highlight w:val="none"/>
          <w:shd w:val="clear" w:color="auto" w:fill="FFFFFF"/>
          <w:lang w:val="en-US" w:eastAsia="zh-CN"/>
        </w:rPr>
        <w:t>根据预算绩效管理要求，我单位对1个项目开展了绩效自评，涉及财政拨款项目支出资金180万元。</w:t>
      </w:r>
    </w:p>
    <w:p w14:paraId="30DB7FB9">
      <w:pPr>
        <w:pStyle w:val="2"/>
        <w:keepNext w:val="0"/>
        <w:keepLines w:val="0"/>
        <w:pageBreakBefore w:val="0"/>
        <w:widowControl/>
        <w:suppressLineNumbers w:val="0"/>
        <w:kinsoku/>
        <w:wordWrap/>
        <w:overflowPunct/>
        <w:topLinePunct w:val="0"/>
        <w:autoSpaceDN/>
        <w:bidi w:val="0"/>
        <w:adjustRightInd/>
        <w:spacing w:before="0" w:beforeAutospacing="0" w:after="0" w:afterAutospacing="0" w:line="594" w:lineRule="exact"/>
        <w:ind w:left="0" w:right="0" w:firstLine="640" w:firstLineChars="200"/>
        <w:jc w:val="left"/>
        <w:textAlignment w:val="auto"/>
        <w:rPr>
          <w:rFonts w:hint="default" w:ascii="方正楷体_GBK" w:hAnsi="宋体" w:eastAsia="方正楷体_GBK" w:cs="宋体"/>
          <w:color w:val="auto"/>
          <w:kern w:val="0"/>
          <w:sz w:val="32"/>
          <w:szCs w:val="32"/>
          <w:highlight w:val="none"/>
        </w:rPr>
      </w:pPr>
      <w:r>
        <w:rPr>
          <w:rFonts w:hint="default" w:ascii="方正楷体_GBK" w:hAnsi="方正楷体_GBK" w:eastAsia="方正楷体_GBK" w:cs="方正楷体_GBK"/>
          <w:b w:val="0"/>
          <w:color w:val="auto"/>
          <w:kern w:val="2"/>
          <w:sz w:val="32"/>
          <w:szCs w:val="32"/>
          <w:highlight w:val="none"/>
          <w:shd w:val="clear" w:color="auto" w:fill="FFFFFF"/>
          <w:lang w:val="en-US" w:eastAsia="zh-CN" w:bidi="ar"/>
        </w:rPr>
        <w:t>（二）</w:t>
      </w:r>
      <w:r>
        <w:rPr>
          <w:rFonts w:hint="default" w:ascii="方正楷体_GBK" w:hAnsi="方正楷体_GBK" w:eastAsia="方正楷体_GBK" w:cs="方正楷体_GBK"/>
          <w:color w:val="auto"/>
          <w:kern w:val="0"/>
          <w:sz w:val="32"/>
          <w:szCs w:val="32"/>
          <w:highlight w:val="none"/>
          <w:lang w:val="en-US" w:eastAsia="zh-CN" w:bidi="ar"/>
        </w:rPr>
        <w:t>绩效自评结果</w:t>
      </w:r>
    </w:p>
    <w:p w14:paraId="0A132010">
      <w:pPr>
        <w:pStyle w:val="2"/>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none"/>
          <w:shd w:val="clear" w:color="auto" w:fill="FFFFFF"/>
        </w:rPr>
      </w:pPr>
      <w:r>
        <w:rPr>
          <w:rFonts w:hint="default" w:ascii="方正仿宋_GBK" w:hAnsi="方正仿宋_GBK" w:eastAsia="方正仿宋_GBK" w:cs="方正仿宋_GBK"/>
          <w:color w:val="auto"/>
          <w:sz w:val="32"/>
          <w:szCs w:val="32"/>
          <w:highlight w:val="none"/>
          <w:shd w:val="clear" w:color="auto" w:fill="FFFFFF"/>
          <w:lang w:val="en-US" w:eastAsia="zh-CN"/>
        </w:rPr>
        <w:t>绩效自评结果详见附件</w:t>
      </w:r>
      <w:r>
        <w:rPr>
          <w:rFonts w:hint="eastAsia" w:ascii="方正仿宋_GBK" w:hAnsi="方正仿宋_GBK" w:eastAsia="方正仿宋_GBK" w:cs="方正仿宋_GBK"/>
          <w:color w:val="auto"/>
          <w:sz w:val="32"/>
          <w:szCs w:val="32"/>
          <w:highlight w:val="none"/>
          <w:shd w:val="clear" w:color="auto" w:fill="FFFFFF"/>
          <w:lang w:val="en-US" w:eastAsia="zh-CN"/>
        </w:rPr>
        <w:t>2024</w:t>
      </w:r>
      <w:r>
        <w:rPr>
          <w:rFonts w:hint="default" w:ascii="方正仿宋_GBK" w:hAnsi="方正仿宋_GBK" w:eastAsia="方正仿宋_GBK" w:cs="方正仿宋_GBK"/>
          <w:color w:val="auto"/>
          <w:sz w:val="32"/>
          <w:szCs w:val="32"/>
          <w:highlight w:val="none"/>
          <w:shd w:val="clear" w:color="auto" w:fill="FFFFFF"/>
          <w:lang w:val="en-US" w:eastAsia="zh-CN"/>
        </w:rPr>
        <w:t>年度绩效自评公开表（《部门整体绩效自评表》、《项目绩效自评结果汇总表》、《项目支出绩效自评表》）。</w:t>
      </w:r>
    </w:p>
    <w:p w14:paraId="7222AE03">
      <w:pPr>
        <w:pStyle w:val="2"/>
        <w:keepNext w:val="0"/>
        <w:keepLines w:val="0"/>
        <w:pageBreakBefore w:val="0"/>
        <w:widowControl w:val="0"/>
        <w:suppressLineNumbers w:val="0"/>
        <w:kinsoku/>
        <w:wordWrap/>
        <w:overflowPunct/>
        <w:topLinePunct w:val="0"/>
        <w:autoSpaceDN/>
        <w:bidi w:val="0"/>
        <w:adjustRightInd/>
        <w:spacing w:before="0" w:beforeAutospacing="0" w:after="0" w:afterAutospacing="0" w:line="594" w:lineRule="exact"/>
        <w:ind w:left="0" w:right="0" w:firstLine="640" w:firstLineChars="200"/>
        <w:jc w:val="both"/>
        <w:textAlignment w:val="auto"/>
        <w:rPr>
          <w:rFonts w:hint="default" w:ascii="方正楷体_GBK" w:hAnsi="方正楷体_GBK" w:eastAsia="方正楷体_GBK" w:cs="方正楷体_GBK"/>
          <w:b w:val="0"/>
          <w:color w:val="auto"/>
          <w:kern w:val="2"/>
          <w:sz w:val="32"/>
          <w:szCs w:val="32"/>
          <w:highlight w:val="none"/>
          <w:shd w:val="clear" w:color="auto" w:fill="FFFFFF"/>
        </w:rPr>
      </w:pPr>
      <w:r>
        <w:rPr>
          <w:rFonts w:hint="default" w:ascii="方正楷体_GBK" w:hAnsi="方正楷体_GBK" w:eastAsia="方正楷体_GBK" w:cs="方正楷体_GBK"/>
          <w:b w:val="0"/>
          <w:color w:val="auto"/>
          <w:kern w:val="2"/>
          <w:sz w:val="32"/>
          <w:szCs w:val="32"/>
          <w:highlight w:val="none"/>
          <w:shd w:val="clear" w:color="auto" w:fill="FFFFFF"/>
          <w:lang w:val="en-US" w:eastAsia="zh-CN" w:bidi="ar"/>
        </w:rPr>
        <w:t>（三）财政绩效评价情况</w:t>
      </w:r>
    </w:p>
    <w:p w14:paraId="587DB569">
      <w:pPr>
        <w:pStyle w:val="2"/>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none"/>
          <w:shd w:val="clear" w:color="auto" w:fill="FFFFFF"/>
          <w:lang w:val="en-US" w:eastAsia="zh-CN"/>
        </w:rPr>
      </w:pPr>
      <w:r>
        <w:rPr>
          <w:rFonts w:hint="default" w:ascii="方正仿宋_GBK" w:hAnsi="方正仿宋_GBK" w:eastAsia="方正仿宋_GBK" w:cs="方正仿宋_GBK"/>
          <w:color w:val="auto"/>
          <w:sz w:val="32"/>
          <w:szCs w:val="32"/>
          <w:highlight w:val="none"/>
          <w:shd w:val="clear" w:color="auto" w:fill="FFFFFF"/>
          <w:lang w:val="en-US" w:eastAsia="zh-CN"/>
        </w:rPr>
        <w:t>区财政局未委托第三方对我单位开展绩效评价。</w:t>
      </w:r>
    </w:p>
    <w:p w14:paraId="5D2B6FCF">
      <w:pPr>
        <w:pStyle w:val="8"/>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color w:val="auto"/>
          <w:kern w:val="0"/>
          <w:sz w:val="32"/>
          <w:szCs w:val="32"/>
          <w:highlight w:val="none"/>
        </w:rPr>
      </w:pPr>
      <w:r>
        <w:rPr>
          <w:rStyle w:val="9"/>
          <w:rFonts w:hint="eastAsia" w:ascii="方正仿宋_GBK" w:hAnsi="方正仿宋_GBK" w:eastAsia="方正仿宋_GBK" w:cs="方正仿宋_GBK"/>
          <w:b/>
          <w:bCs/>
          <w:color w:val="auto"/>
          <w:sz w:val="32"/>
          <w:szCs w:val="32"/>
          <w:highlight w:val="none"/>
          <w:shd w:val="clear" w:fill="FFFFFF"/>
        </w:rPr>
        <w:t xml:space="preserve"> </w:t>
      </w:r>
      <w:r>
        <w:rPr>
          <w:rStyle w:val="9"/>
          <w:rFonts w:hint="eastAsia" w:ascii="方正仿宋_GBK" w:hAnsi="方正仿宋_GBK" w:eastAsia="方正仿宋_GBK" w:cs="方正仿宋_GBK"/>
          <w:b/>
          <w:bCs/>
          <w:color w:val="auto"/>
          <w:sz w:val="32"/>
          <w:szCs w:val="32"/>
          <w:highlight w:val="none"/>
          <w:shd w:val="clear" w:fill="FFFFFF"/>
          <w:lang w:val="en-US" w:eastAsia="zh-CN"/>
        </w:rPr>
        <w:t xml:space="preserve">  </w:t>
      </w:r>
      <w:r>
        <w:rPr>
          <w:rStyle w:val="5"/>
          <w:rFonts w:hint="eastAsia" w:ascii="黑体" w:hAnsi="黑体" w:eastAsia="黑体" w:cs="黑体"/>
          <w:color w:val="auto"/>
          <w:sz w:val="32"/>
          <w:szCs w:val="32"/>
          <w:highlight w:val="none"/>
          <w:shd w:val="clear" w:color="auto" w:fill="FFFFFF"/>
          <w:lang w:val="en-US" w:eastAsia="zh-CN" w:bidi="ar-SA"/>
        </w:rPr>
        <w:t xml:space="preserve"> 六、专业名词解释</w:t>
      </w:r>
    </w:p>
    <w:p w14:paraId="13E5163D">
      <w:pPr>
        <w:pStyle w:val="8"/>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highlight w:val="none"/>
        </w:rPr>
      </w:pPr>
      <w:r>
        <w:rPr>
          <w:rStyle w:val="5"/>
          <w:rFonts w:hint="eastAsia" w:ascii="楷体" w:hAnsi="楷体" w:eastAsia="楷体" w:cs="楷体"/>
          <w:color w:val="auto"/>
          <w:sz w:val="32"/>
          <w:szCs w:val="32"/>
          <w:highlight w:val="none"/>
          <w:shd w:val="clear" w:color="auto" w:fill="FFFFFF"/>
          <w:lang w:val="en-US" w:eastAsia="zh-CN" w:bidi="ar-SA"/>
        </w:rPr>
        <w:t>（一）财政拨款收入：</w:t>
      </w:r>
      <w:r>
        <w:rPr>
          <w:rFonts w:hint="eastAsia" w:ascii="方正仿宋_GBK" w:hAnsi="方正仿宋_GBK" w:eastAsia="方正仿宋_GBK" w:cs="方正仿宋_GBK"/>
          <w:color w:val="auto"/>
          <w:kern w:val="0"/>
          <w:sz w:val="32"/>
          <w:szCs w:val="32"/>
          <w:highlight w:val="none"/>
          <w:shd w:val="clear" w:fill="FFFFFF"/>
        </w:rPr>
        <w:t>指本年度从本级财政部门取得的财政拨款，包括一般公共预算财政拨款和政府性基金预算财政拨款。</w:t>
      </w:r>
    </w:p>
    <w:p w14:paraId="5989AD66">
      <w:pPr>
        <w:pStyle w:val="8"/>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highlight w:val="none"/>
        </w:rPr>
      </w:pPr>
      <w:r>
        <w:rPr>
          <w:rStyle w:val="5"/>
          <w:rFonts w:hint="eastAsia" w:ascii="楷体" w:hAnsi="楷体" w:eastAsia="楷体" w:cs="楷体"/>
          <w:color w:val="auto"/>
          <w:sz w:val="32"/>
          <w:szCs w:val="32"/>
          <w:highlight w:val="none"/>
          <w:shd w:val="clear" w:color="auto" w:fill="FFFFFF"/>
          <w:lang w:val="en-US" w:eastAsia="zh-CN" w:bidi="ar-SA"/>
        </w:rPr>
        <w:t>（二）事业收入：</w:t>
      </w:r>
      <w:r>
        <w:rPr>
          <w:rFonts w:hint="eastAsia" w:ascii="方正仿宋_GBK" w:hAnsi="方正仿宋_GBK" w:eastAsia="方正仿宋_GBK" w:cs="方正仿宋_GBK"/>
          <w:color w:val="auto"/>
          <w:kern w:val="0"/>
          <w:sz w:val="32"/>
          <w:szCs w:val="32"/>
          <w:highlight w:val="none"/>
          <w:shd w:val="clear" w:fill="FFFFFF"/>
        </w:rPr>
        <w:t>指事业单位开展专业业务活动及其辅助活动取得的现金流入；事业单位收到的财政专户实际核拨的教育收费等资金在此反映。</w:t>
      </w:r>
    </w:p>
    <w:p w14:paraId="19369BE1">
      <w:pPr>
        <w:pStyle w:val="8"/>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highlight w:val="none"/>
        </w:rPr>
      </w:pPr>
      <w:r>
        <w:rPr>
          <w:rStyle w:val="5"/>
          <w:rFonts w:hint="eastAsia" w:ascii="楷体" w:hAnsi="楷体" w:eastAsia="楷体" w:cs="楷体"/>
          <w:color w:val="auto"/>
          <w:sz w:val="32"/>
          <w:szCs w:val="32"/>
          <w:highlight w:val="none"/>
          <w:shd w:val="clear" w:color="auto" w:fill="FFFFFF"/>
          <w:lang w:val="en-US" w:eastAsia="zh-CN" w:bidi="ar-SA"/>
        </w:rPr>
        <w:t>（三）经营收入：</w:t>
      </w:r>
      <w:r>
        <w:rPr>
          <w:rFonts w:hint="eastAsia" w:ascii="方正仿宋_GBK" w:hAnsi="方正仿宋_GBK" w:eastAsia="方正仿宋_GBK" w:cs="方正仿宋_GBK"/>
          <w:color w:val="auto"/>
          <w:kern w:val="0"/>
          <w:sz w:val="32"/>
          <w:szCs w:val="32"/>
          <w:highlight w:val="none"/>
          <w:shd w:val="clear" w:fill="FFFFFF"/>
        </w:rPr>
        <w:t>指事业单位在专业业务活动及其辅助活动之外开展非独立核算经营活动取得的现金流入。</w:t>
      </w:r>
    </w:p>
    <w:p w14:paraId="40961353">
      <w:pPr>
        <w:pStyle w:val="8"/>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highlight w:val="none"/>
        </w:rPr>
      </w:pPr>
      <w:r>
        <w:rPr>
          <w:rStyle w:val="5"/>
          <w:rFonts w:hint="eastAsia" w:ascii="楷体" w:hAnsi="楷体" w:eastAsia="楷体" w:cs="楷体"/>
          <w:color w:val="auto"/>
          <w:sz w:val="32"/>
          <w:szCs w:val="32"/>
          <w:highlight w:val="none"/>
          <w:shd w:val="clear" w:color="auto" w:fill="FFFFFF"/>
          <w:lang w:val="en-US" w:eastAsia="zh-CN" w:bidi="ar-SA"/>
        </w:rPr>
        <w:t>（四）其他收入：</w:t>
      </w:r>
      <w:r>
        <w:rPr>
          <w:rFonts w:hint="eastAsia" w:ascii="方正仿宋_GBK" w:hAnsi="方正仿宋_GBK" w:eastAsia="方正仿宋_GBK" w:cs="方正仿宋_GBK"/>
          <w:color w:val="auto"/>
          <w:kern w:val="0"/>
          <w:sz w:val="32"/>
          <w:szCs w:val="32"/>
          <w:highlight w:val="none"/>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ECD64E7">
      <w:pPr>
        <w:pStyle w:val="8"/>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highlight w:val="none"/>
        </w:rPr>
      </w:pPr>
      <w:r>
        <w:rPr>
          <w:rStyle w:val="5"/>
          <w:rFonts w:hint="eastAsia" w:ascii="楷体" w:hAnsi="楷体" w:eastAsia="楷体" w:cs="楷体"/>
          <w:color w:val="auto"/>
          <w:sz w:val="32"/>
          <w:szCs w:val="32"/>
          <w:highlight w:val="none"/>
          <w:shd w:val="clear" w:color="auto" w:fill="FFFFFF"/>
          <w:lang w:val="en-US" w:eastAsia="zh-CN" w:bidi="ar-SA"/>
        </w:rPr>
        <w:t>（五）使用非财政拨款结余：</w:t>
      </w:r>
      <w:r>
        <w:rPr>
          <w:rFonts w:hint="eastAsia" w:ascii="方正仿宋_GBK" w:hAnsi="方正仿宋_GBK" w:eastAsia="方正仿宋_GBK" w:cs="方正仿宋_GBK"/>
          <w:color w:val="auto"/>
          <w:kern w:val="0"/>
          <w:sz w:val="32"/>
          <w:szCs w:val="32"/>
          <w:highlight w:val="none"/>
          <w:shd w:val="clear" w:fill="FFFFFF"/>
        </w:rPr>
        <w:t>指单位在当年的“财政拨款收入”、“事业收入”、“经营收入”、“其他收入”等不足以安排当年支出的情况下，使用以前年度积累的非财政拨款结余弥补本年度收支缺口的资金。</w:t>
      </w:r>
    </w:p>
    <w:p w14:paraId="731A9AEE">
      <w:pPr>
        <w:pStyle w:val="8"/>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highlight w:val="none"/>
        </w:rPr>
      </w:pPr>
      <w:r>
        <w:rPr>
          <w:rStyle w:val="5"/>
          <w:rFonts w:hint="eastAsia" w:ascii="楷体" w:hAnsi="楷体" w:eastAsia="楷体" w:cs="楷体"/>
          <w:color w:val="auto"/>
          <w:sz w:val="32"/>
          <w:szCs w:val="32"/>
          <w:highlight w:val="none"/>
          <w:shd w:val="clear" w:color="auto" w:fill="FFFFFF"/>
          <w:lang w:val="en-US" w:eastAsia="zh-CN" w:bidi="ar-SA"/>
        </w:rPr>
        <w:t>（六）年初结转和结余：</w:t>
      </w:r>
      <w:r>
        <w:rPr>
          <w:rFonts w:hint="eastAsia" w:ascii="方正仿宋_GBK" w:hAnsi="方正仿宋_GBK" w:eastAsia="方正仿宋_GBK" w:cs="方正仿宋_GBK"/>
          <w:color w:val="auto"/>
          <w:kern w:val="0"/>
          <w:sz w:val="32"/>
          <w:szCs w:val="32"/>
          <w:highlight w:val="none"/>
          <w:shd w:val="clear" w:fill="FFFFFF"/>
        </w:rPr>
        <w:t>指单位上年结转本年使用的基本支出结转、项目支出结转和结余、经营结余。</w:t>
      </w:r>
    </w:p>
    <w:p w14:paraId="59C849E7">
      <w:pPr>
        <w:pStyle w:val="8"/>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highlight w:val="none"/>
        </w:rPr>
      </w:pPr>
      <w:r>
        <w:rPr>
          <w:rStyle w:val="5"/>
          <w:rFonts w:hint="eastAsia" w:ascii="楷体" w:hAnsi="楷体" w:eastAsia="楷体" w:cs="楷体"/>
          <w:color w:val="auto"/>
          <w:sz w:val="32"/>
          <w:szCs w:val="32"/>
          <w:highlight w:val="none"/>
          <w:shd w:val="clear" w:color="auto" w:fill="FFFFFF"/>
          <w:lang w:val="en-US" w:eastAsia="zh-CN" w:bidi="ar-SA"/>
        </w:rPr>
        <w:t>（七）结余分配：</w:t>
      </w:r>
      <w:r>
        <w:rPr>
          <w:rFonts w:hint="eastAsia" w:ascii="方正仿宋_GBK" w:hAnsi="方正仿宋_GBK" w:eastAsia="方正仿宋_GBK" w:cs="方正仿宋_GBK"/>
          <w:color w:val="auto"/>
          <w:kern w:val="0"/>
          <w:sz w:val="32"/>
          <w:szCs w:val="32"/>
          <w:highlight w:val="none"/>
          <w:shd w:val="clear" w:fill="FFFFFF"/>
        </w:rPr>
        <w:t>指单位按照国家有关规定，缴纳所得税、提取专用基金、转入非财政拨款结余等当年结余的分配情况。</w:t>
      </w:r>
    </w:p>
    <w:p w14:paraId="768AA121">
      <w:pPr>
        <w:pStyle w:val="8"/>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highlight w:val="none"/>
        </w:rPr>
      </w:pPr>
      <w:r>
        <w:rPr>
          <w:rStyle w:val="5"/>
          <w:rFonts w:hint="eastAsia" w:ascii="楷体" w:hAnsi="楷体" w:eastAsia="楷体" w:cs="楷体"/>
          <w:color w:val="auto"/>
          <w:sz w:val="32"/>
          <w:szCs w:val="32"/>
          <w:highlight w:val="none"/>
          <w:shd w:val="clear" w:color="auto" w:fill="FFFFFF"/>
          <w:lang w:val="en-US" w:eastAsia="zh-CN" w:bidi="ar-SA"/>
        </w:rPr>
        <w:t>（八）年末结转和结余：</w:t>
      </w:r>
      <w:r>
        <w:rPr>
          <w:rFonts w:hint="eastAsia" w:ascii="方正仿宋_GBK" w:hAnsi="方正仿宋_GBK" w:eastAsia="方正仿宋_GBK" w:cs="方正仿宋_GBK"/>
          <w:color w:val="auto"/>
          <w:kern w:val="0"/>
          <w:sz w:val="32"/>
          <w:szCs w:val="32"/>
          <w:highlight w:val="none"/>
          <w:shd w:val="clear" w:fill="FFFFFF"/>
        </w:rPr>
        <w:t>指单位结转下年的基本支出结转、项目支出结转和结余、经营结余。</w:t>
      </w:r>
    </w:p>
    <w:p w14:paraId="0E6A926A">
      <w:pPr>
        <w:pStyle w:val="8"/>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highlight w:val="none"/>
        </w:rPr>
      </w:pPr>
      <w:r>
        <w:rPr>
          <w:rStyle w:val="5"/>
          <w:rFonts w:hint="eastAsia" w:ascii="楷体" w:hAnsi="楷体" w:eastAsia="楷体" w:cs="楷体"/>
          <w:color w:val="auto"/>
          <w:sz w:val="32"/>
          <w:szCs w:val="32"/>
          <w:highlight w:val="none"/>
          <w:shd w:val="clear" w:color="auto" w:fill="FFFFFF"/>
          <w:lang w:val="en-US" w:eastAsia="zh-CN" w:bidi="ar-SA"/>
        </w:rPr>
        <w:t>（九）基本支出：</w:t>
      </w:r>
      <w:r>
        <w:rPr>
          <w:rFonts w:hint="eastAsia" w:ascii="方正仿宋_GBK" w:hAnsi="方正仿宋_GBK" w:eastAsia="方正仿宋_GBK" w:cs="方正仿宋_GBK"/>
          <w:color w:val="auto"/>
          <w:kern w:val="0"/>
          <w:sz w:val="32"/>
          <w:szCs w:val="32"/>
          <w:highlight w:val="none"/>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A9F1628">
      <w:pPr>
        <w:pStyle w:val="8"/>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highlight w:val="none"/>
        </w:rPr>
      </w:pPr>
      <w:r>
        <w:rPr>
          <w:rStyle w:val="5"/>
          <w:rFonts w:hint="eastAsia" w:ascii="楷体" w:hAnsi="楷体" w:eastAsia="楷体" w:cs="楷体"/>
          <w:color w:val="auto"/>
          <w:sz w:val="32"/>
          <w:szCs w:val="32"/>
          <w:highlight w:val="none"/>
          <w:shd w:val="clear" w:color="auto" w:fill="FFFFFF"/>
          <w:lang w:val="en-US" w:eastAsia="zh-CN" w:bidi="ar-SA"/>
        </w:rPr>
        <w:t>（十）项目支出：</w:t>
      </w:r>
      <w:r>
        <w:rPr>
          <w:rFonts w:hint="eastAsia" w:ascii="方正仿宋_GBK" w:hAnsi="方正仿宋_GBK" w:eastAsia="方正仿宋_GBK" w:cs="方正仿宋_GBK"/>
          <w:color w:val="auto"/>
          <w:kern w:val="0"/>
          <w:sz w:val="32"/>
          <w:szCs w:val="32"/>
          <w:highlight w:val="none"/>
          <w:shd w:val="clear" w:fill="FFFFFF"/>
        </w:rPr>
        <w:t>指在基本支出之外为完成特定行政任务和事业发展目标所发生的支出。</w:t>
      </w:r>
    </w:p>
    <w:p w14:paraId="161F35D1">
      <w:pPr>
        <w:pStyle w:val="8"/>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highlight w:val="none"/>
        </w:rPr>
      </w:pPr>
      <w:r>
        <w:rPr>
          <w:rStyle w:val="5"/>
          <w:rFonts w:hint="eastAsia" w:ascii="楷体" w:hAnsi="楷体" w:eastAsia="楷体" w:cs="楷体"/>
          <w:color w:val="auto"/>
          <w:sz w:val="32"/>
          <w:szCs w:val="32"/>
          <w:highlight w:val="none"/>
          <w:shd w:val="clear" w:color="auto" w:fill="FFFFFF"/>
          <w:lang w:val="en-US" w:eastAsia="zh-CN" w:bidi="ar-SA"/>
        </w:rPr>
        <w:t>（十一）经营支出：</w:t>
      </w:r>
      <w:r>
        <w:rPr>
          <w:rFonts w:hint="eastAsia" w:ascii="方正仿宋_GBK" w:hAnsi="方正仿宋_GBK" w:eastAsia="方正仿宋_GBK" w:cs="方正仿宋_GBK"/>
          <w:color w:val="auto"/>
          <w:kern w:val="0"/>
          <w:sz w:val="32"/>
          <w:szCs w:val="32"/>
          <w:highlight w:val="none"/>
          <w:shd w:val="clear" w:fill="FFFFFF"/>
        </w:rPr>
        <w:t>指事业单位在专业业务活动及其辅助活动之外开展非独立核算经营活动发生的支出。</w:t>
      </w:r>
    </w:p>
    <w:p w14:paraId="0F51E785">
      <w:pPr>
        <w:pStyle w:val="8"/>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highlight w:val="none"/>
        </w:rPr>
      </w:pPr>
      <w:r>
        <w:rPr>
          <w:rStyle w:val="5"/>
          <w:rFonts w:hint="eastAsia" w:ascii="楷体" w:hAnsi="楷体" w:eastAsia="楷体" w:cs="楷体"/>
          <w:color w:val="auto"/>
          <w:sz w:val="32"/>
          <w:szCs w:val="32"/>
          <w:highlight w:val="none"/>
          <w:shd w:val="clear" w:color="auto" w:fill="FFFFFF"/>
          <w:lang w:val="en-US" w:eastAsia="zh-CN" w:bidi="ar-SA"/>
        </w:rPr>
        <w:t>（十二）“三公”经费：</w:t>
      </w:r>
      <w:r>
        <w:rPr>
          <w:rFonts w:hint="eastAsia" w:ascii="方正仿宋_GBK" w:hAnsi="方正仿宋_GBK" w:eastAsia="方正仿宋_GBK" w:cs="方正仿宋_GBK"/>
          <w:color w:val="auto"/>
          <w:kern w:val="0"/>
          <w:sz w:val="32"/>
          <w:szCs w:val="32"/>
          <w:highlight w:val="none"/>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5ABD85E">
      <w:pPr>
        <w:pStyle w:val="8"/>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highlight w:val="none"/>
        </w:rPr>
      </w:pPr>
      <w:r>
        <w:rPr>
          <w:rStyle w:val="5"/>
          <w:rFonts w:hint="eastAsia" w:ascii="楷体" w:hAnsi="楷体" w:eastAsia="楷体" w:cs="楷体"/>
          <w:color w:val="auto"/>
          <w:sz w:val="32"/>
          <w:szCs w:val="32"/>
          <w:highlight w:val="none"/>
          <w:shd w:val="clear" w:color="auto" w:fill="FFFFFF"/>
          <w:lang w:val="en-US" w:eastAsia="zh-CN" w:bidi="ar-SA"/>
        </w:rPr>
        <w:t>（十三）机关运行经费：</w:t>
      </w:r>
      <w:r>
        <w:rPr>
          <w:rFonts w:hint="eastAsia" w:ascii="方正仿宋_GBK" w:hAnsi="方正仿宋_GBK" w:eastAsia="方正仿宋_GBK" w:cs="方正仿宋_GBK"/>
          <w:color w:val="auto"/>
          <w:kern w:val="0"/>
          <w:sz w:val="32"/>
          <w:szCs w:val="32"/>
          <w:highlight w:val="none"/>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F7B182A">
      <w:pPr>
        <w:pStyle w:val="8"/>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highlight w:val="none"/>
        </w:rPr>
      </w:pPr>
      <w:r>
        <w:rPr>
          <w:rStyle w:val="5"/>
          <w:rFonts w:hint="eastAsia" w:ascii="楷体" w:hAnsi="楷体" w:eastAsia="楷体" w:cs="楷体"/>
          <w:color w:val="auto"/>
          <w:sz w:val="32"/>
          <w:szCs w:val="32"/>
          <w:highlight w:val="none"/>
          <w:shd w:val="clear" w:color="auto" w:fill="FFFFFF"/>
          <w:lang w:val="en-US" w:eastAsia="zh-CN" w:bidi="ar-SA"/>
        </w:rPr>
        <w:t>（十四）工资福利支出（支出经济分类科目类级）：</w:t>
      </w:r>
      <w:r>
        <w:rPr>
          <w:rFonts w:hint="eastAsia" w:ascii="方正仿宋_GBK" w:hAnsi="方正仿宋_GBK" w:eastAsia="方正仿宋_GBK" w:cs="方正仿宋_GBK"/>
          <w:color w:val="auto"/>
          <w:kern w:val="0"/>
          <w:sz w:val="32"/>
          <w:szCs w:val="32"/>
          <w:highlight w:val="none"/>
          <w:shd w:val="clear" w:fill="FFFFFF"/>
        </w:rPr>
        <w:t>反映单位开支的在职职工和编制外长期聘用人员的各类劳动报酬，以及为上述人员缴纳的各项社会保险费等。</w:t>
      </w:r>
    </w:p>
    <w:p w14:paraId="4B61857D">
      <w:pPr>
        <w:pStyle w:val="8"/>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highlight w:val="none"/>
        </w:rPr>
      </w:pPr>
      <w:r>
        <w:rPr>
          <w:rStyle w:val="5"/>
          <w:rFonts w:hint="eastAsia" w:ascii="楷体" w:hAnsi="楷体" w:eastAsia="楷体" w:cs="楷体"/>
          <w:color w:val="auto"/>
          <w:sz w:val="32"/>
          <w:szCs w:val="32"/>
          <w:highlight w:val="none"/>
          <w:shd w:val="clear" w:color="auto" w:fill="FFFFFF"/>
          <w:lang w:val="en-US" w:eastAsia="zh-CN" w:bidi="ar-SA"/>
        </w:rPr>
        <w:t>（十五）商品和服务支出（支出经济分类科目类级）：</w:t>
      </w:r>
      <w:r>
        <w:rPr>
          <w:rFonts w:hint="eastAsia" w:ascii="方正仿宋_GBK" w:hAnsi="方正仿宋_GBK" w:eastAsia="方正仿宋_GBK" w:cs="方正仿宋_GBK"/>
          <w:color w:val="auto"/>
          <w:kern w:val="0"/>
          <w:sz w:val="32"/>
          <w:szCs w:val="32"/>
          <w:highlight w:val="none"/>
          <w:shd w:val="clear" w:fill="FFFFFF"/>
        </w:rPr>
        <w:t>反映单位购买商品和服务的支出（不包括用于购置固定资产的支出、战略性和应急储备支出）。</w:t>
      </w:r>
    </w:p>
    <w:p w14:paraId="4AAD8578">
      <w:pPr>
        <w:pStyle w:val="8"/>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highlight w:val="none"/>
        </w:rPr>
      </w:pPr>
      <w:r>
        <w:rPr>
          <w:rStyle w:val="5"/>
          <w:rFonts w:hint="eastAsia" w:ascii="楷体" w:hAnsi="楷体" w:eastAsia="楷体" w:cs="楷体"/>
          <w:color w:val="auto"/>
          <w:sz w:val="32"/>
          <w:szCs w:val="32"/>
          <w:highlight w:val="none"/>
          <w:shd w:val="clear" w:color="auto" w:fill="FFFFFF"/>
          <w:lang w:val="en-US" w:eastAsia="zh-CN" w:bidi="ar-SA"/>
        </w:rPr>
        <w:t>（十六）对个人和家庭的补助（支出经济分类科目类级）：</w:t>
      </w:r>
      <w:r>
        <w:rPr>
          <w:rFonts w:hint="eastAsia" w:ascii="方正仿宋_GBK" w:hAnsi="方正仿宋_GBK" w:eastAsia="方正仿宋_GBK" w:cs="方正仿宋_GBK"/>
          <w:color w:val="auto"/>
          <w:kern w:val="0"/>
          <w:sz w:val="32"/>
          <w:szCs w:val="32"/>
          <w:highlight w:val="none"/>
          <w:shd w:val="clear" w:fill="FFFFFF"/>
        </w:rPr>
        <w:t>反映用于对个人和家庭的补助支出。</w:t>
      </w:r>
    </w:p>
    <w:p w14:paraId="2D253009">
      <w:pPr>
        <w:pStyle w:val="8"/>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highlight w:val="none"/>
        </w:rPr>
      </w:pPr>
      <w:r>
        <w:rPr>
          <w:rStyle w:val="5"/>
          <w:rFonts w:hint="eastAsia" w:ascii="楷体" w:hAnsi="楷体" w:eastAsia="楷体" w:cs="楷体"/>
          <w:color w:val="auto"/>
          <w:sz w:val="32"/>
          <w:szCs w:val="32"/>
          <w:highlight w:val="none"/>
          <w:shd w:val="clear" w:color="auto" w:fill="FFFFFF"/>
          <w:lang w:val="en-US" w:eastAsia="zh-CN" w:bidi="ar-SA"/>
        </w:rPr>
        <w:t>（十七）其他资本性支出（支出经济分类科目类级）：</w:t>
      </w:r>
      <w:r>
        <w:rPr>
          <w:rFonts w:hint="eastAsia" w:ascii="方正仿宋_GBK" w:hAnsi="方正仿宋_GBK" w:eastAsia="方正仿宋_GBK" w:cs="方正仿宋_GBK"/>
          <w:color w:val="auto"/>
          <w:kern w:val="0"/>
          <w:sz w:val="32"/>
          <w:szCs w:val="32"/>
          <w:highlight w:val="none"/>
          <w:shd w:val="clear" w:fill="FFFFFF"/>
        </w:rPr>
        <w:t>反映非各级发展与改革部门集中安排的用于购置固定资产、战略性和应急性储备、土地和无形资产，以及构建基础设施、大型修缮和财政支持企业更新改造所发生的支出。</w:t>
      </w:r>
    </w:p>
    <w:p w14:paraId="58DA8618">
      <w:pPr>
        <w:pStyle w:val="8"/>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highlight w:val="none"/>
        </w:rPr>
      </w:pPr>
      <w:r>
        <w:rPr>
          <w:rStyle w:val="5"/>
          <w:rFonts w:hint="eastAsia" w:ascii="黑体" w:hAnsi="黑体" w:eastAsia="黑体" w:cs="黑体"/>
          <w:color w:val="auto"/>
          <w:sz w:val="32"/>
          <w:szCs w:val="32"/>
          <w:highlight w:val="none"/>
          <w:shd w:val="clear" w:color="auto" w:fill="FFFFFF"/>
          <w:lang w:val="en-US" w:eastAsia="zh-CN" w:bidi="ar-SA"/>
        </w:rPr>
        <w:t>七、决算公开联系方式及信息反馈渠道</w:t>
      </w:r>
    </w:p>
    <w:p w14:paraId="562468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kern w:val="0"/>
          <w:sz w:val="32"/>
          <w:szCs w:val="32"/>
          <w:highlight w:val="none"/>
          <w:shd w:val="clear" w:fill="FFFFFF"/>
        </w:rPr>
      </w:pPr>
      <w:r>
        <w:rPr>
          <w:rFonts w:hint="eastAsia" w:ascii="方正仿宋_GBK" w:hAnsi="方正仿宋_GBK" w:eastAsia="方正仿宋_GBK" w:cs="方正仿宋_GBK"/>
          <w:color w:val="auto"/>
          <w:kern w:val="0"/>
          <w:sz w:val="32"/>
          <w:szCs w:val="32"/>
          <w:highlight w:val="none"/>
          <w:shd w:val="clear" w:fill="FFFFFF"/>
        </w:rPr>
        <w:t xml:space="preserve">联系人：庹寒露 </w:t>
      </w:r>
    </w:p>
    <w:p w14:paraId="2B2620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color w:val="auto"/>
          <w:kern w:val="0"/>
          <w:sz w:val="32"/>
          <w:szCs w:val="32"/>
          <w:highlight w:val="none"/>
          <w:shd w:val="clear" w:fill="FFFFFF"/>
          <w:lang w:val="en-US" w:eastAsia="zh-CN"/>
        </w:rPr>
      </w:pPr>
      <w:r>
        <w:rPr>
          <w:rFonts w:hint="eastAsia" w:ascii="方正仿宋_GBK" w:hAnsi="方正仿宋_GBK" w:eastAsia="方正仿宋_GBK" w:cs="方正仿宋_GBK"/>
          <w:color w:val="auto"/>
          <w:kern w:val="0"/>
          <w:sz w:val="32"/>
          <w:szCs w:val="32"/>
          <w:highlight w:val="none"/>
          <w:shd w:val="clear" w:fill="FFFFFF"/>
          <w:lang w:val="en-US" w:eastAsia="zh-CN"/>
        </w:rPr>
        <w:t>联系电话：023-40330613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D75D6"/>
    <w:rsid w:val="0B2F18A2"/>
    <w:rsid w:val="24657643"/>
    <w:rsid w:val="2F9B2E99"/>
    <w:rsid w:val="321D75D6"/>
    <w:rsid w:val="53D26E53"/>
    <w:rsid w:val="6D3A4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spacing w:before="100" w:beforeAutospacing="1" w:after="100" w:afterAutospacing="1"/>
    </w:pPr>
  </w:style>
  <w:style w:type="character" w:styleId="5">
    <w:name w:val="Strong"/>
    <w:qFormat/>
    <w:uiPriority w:val="0"/>
    <w:rPr>
      <w:b/>
    </w:rPr>
  </w:style>
  <w:style w:type="paragraph" w:customStyle="1" w:styleId="6">
    <w:name w:val="列出段落1"/>
    <w:basedOn w:val="1"/>
    <w:qFormat/>
    <w:uiPriority w:val="99"/>
    <w:pPr>
      <w:ind w:firstLine="420" w:firstLineChars="200"/>
    </w:pPr>
    <w:rPr>
      <w:rFonts w:hint="default"/>
    </w:rPr>
  </w:style>
  <w:style w:type="paragraph" w:customStyle="1" w:styleId="7">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customStyle="1" w:styleId="8">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9">
    <w:name w:val="21"/>
    <w:basedOn w:val="4"/>
    <w:qFormat/>
    <w:uiPriority w:val="0"/>
    <w:rPr>
      <w:rFonts w:hint="default" w:ascii="Wingdings" w:hAnsi="Wingdings" w:cs="Wingdings"/>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2025-10-13T01:36:00Z</dcterms:created>
  <dc:creator>Deer</dc:creator>
  <cp:lastModifiedBy>Deer</cp:lastModifiedBy>
  <dcterms:modified xsi:type="dcterms:W3CDTF">2025-10-13T01:51:22Z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4D6E868DAFF241ABAF1243FC64CDC6AD_11</vt:lpwstr>
  </property>
  <property fmtid="{D5CDD505-2E9C-101B-9397-08002B2CF9AE}" pid="4" name="KSOTemplateDocerSaveRecord">
    <vt:lpwstr>eyJoZGlkIjoiNGM0YzRiMDBhYzM1ODMyMmFmMTE3Mjg1MmUxMmI1MmEiLCJ1c2VySWQiOiIzMzEyMzg0OTMifQ==</vt:lpwstr>
  </property>
</Properties>
</file>