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重庆市长寿区但渡镇卫生院</w:t>
      </w:r>
    </w:p>
    <w:p>
      <w:pPr>
        <w:pStyle w:val="2"/>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color w:val="auto"/>
          <w:sz w:val="44"/>
          <w:szCs w:val="44"/>
          <w:shd w:val="clear" w:color="auto" w:fill="FFFFFF"/>
        </w:rPr>
      </w:pPr>
      <w:r>
        <w:rPr>
          <w:rFonts w:hint="default" w:ascii="Times New Roman" w:hAnsi="Times New Roman" w:eastAsia="方正小标宋_GBK" w:cs="Times New Roman"/>
          <w:color w:val="auto"/>
          <w:sz w:val="44"/>
          <w:szCs w:val="44"/>
          <w:shd w:val="clear" w:color="auto" w:fill="FFFFFF"/>
        </w:rPr>
        <w:t>2024年度决算公开说明</w:t>
      </w:r>
    </w:p>
    <w:p>
      <w:pPr>
        <w:pStyle w:val="2"/>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color w:val="auto"/>
          <w:sz w:val="44"/>
          <w:szCs w:val="44"/>
          <w:shd w:val="clear" w:color="auto" w:fill="FFFFFF"/>
        </w:rPr>
      </w:pPr>
    </w:p>
    <w:p>
      <w:pPr>
        <w:pStyle w:val="2"/>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color w:val="auto"/>
          <w:sz w:val="44"/>
          <w:szCs w:val="44"/>
          <w:shd w:val="clear" w:color="auto" w:fill="FFFFFF"/>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5"/>
          <w:rFonts w:hint="eastAsia" w:ascii="方正黑体_GBK" w:hAnsi="方正黑体_GBK" w:eastAsia="方正黑体_GBK" w:cs="方正黑体_GBK"/>
          <w:b w:val="0"/>
          <w:bCs/>
          <w:color w:val="auto"/>
          <w:sz w:val="32"/>
          <w:szCs w:val="32"/>
          <w:shd w:val="clear" w:color="auto" w:fill="FFFFFF"/>
        </w:rPr>
      </w:pPr>
      <w:r>
        <w:rPr>
          <w:rStyle w:val="5"/>
          <w:rFonts w:hint="eastAsia" w:ascii="方正黑体_GBK" w:hAnsi="方正黑体_GBK" w:eastAsia="方正黑体_GBK" w:cs="方正黑体_GBK"/>
          <w:b w:val="0"/>
          <w:bCs/>
          <w:color w:val="auto"/>
          <w:sz w:val="32"/>
          <w:szCs w:val="32"/>
          <w:shd w:val="clear" w:color="auto" w:fill="FFFFFF"/>
        </w:rPr>
        <w:t>一、</w:t>
      </w:r>
      <w:r>
        <w:rPr>
          <w:rStyle w:val="5"/>
          <w:rFonts w:hint="eastAsia" w:ascii="方正黑体_GBK" w:hAnsi="方正黑体_GBK" w:eastAsia="方正黑体_GBK" w:cs="方正黑体_GBK"/>
          <w:b w:val="0"/>
          <w:bCs/>
          <w:color w:val="auto"/>
          <w:sz w:val="32"/>
          <w:szCs w:val="32"/>
          <w:shd w:val="clear" w:color="auto" w:fill="FFFFFF"/>
          <w:lang w:eastAsia="zh-CN"/>
        </w:rPr>
        <w:t>单位</w:t>
      </w:r>
      <w:r>
        <w:rPr>
          <w:rStyle w:val="5"/>
          <w:rFonts w:hint="eastAsia" w:ascii="方正黑体_GBK" w:hAnsi="方正黑体_GBK" w:eastAsia="方正黑体_GBK" w:cs="方正黑体_GBK"/>
          <w:b w:val="0"/>
          <w:bCs/>
          <w:color w:val="auto"/>
          <w:sz w:val="32"/>
          <w:szCs w:val="32"/>
          <w:shd w:val="clear" w:color="auto" w:fill="FFFFFF"/>
        </w:rPr>
        <w:t>基本情况</w:t>
      </w:r>
    </w:p>
    <w:p>
      <w:pPr>
        <w:pStyle w:val="2"/>
        <w:keepNext w:val="0"/>
        <w:keepLines w:val="0"/>
        <w:pageBreakBefore w:val="0"/>
        <w:shd w:val="clear" w:color="auto" w:fill="FFFFFF"/>
        <w:kinsoku/>
        <w:wordWrap/>
        <w:overflowPunct/>
        <w:topLinePunct w:val="0"/>
        <w:autoSpaceDN/>
        <w:bidi w:val="0"/>
        <w:adjustRightInd/>
        <w:spacing w:beforeAutospacing="0" w:afterAutospacing="0" w:line="594" w:lineRule="exact"/>
        <w:ind w:firstLine="420"/>
        <w:textAlignment w:val="auto"/>
        <w:rPr>
          <w:rFonts w:hint="eastAsia" w:ascii="方正楷体_GBK" w:hAnsi="方正楷体_GBK" w:eastAsia="方正楷体_GBK" w:cs="方正楷体_GBK"/>
          <w:b w:val="0"/>
          <w:bCs/>
          <w:color w:val="auto"/>
          <w:sz w:val="32"/>
          <w:szCs w:val="32"/>
        </w:rPr>
      </w:pPr>
      <w:r>
        <w:rPr>
          <w:rStyle w:val="5"/>
          <w:rFonts w:hint="eastAsia" w:ascii="方正楷体_GBK" w:hAnsi="方正楷体_GBK" w:eastAsia="方正楷体_GBK" w:cs="方正楷体_GBK"/>
          <w:b w:val="0"/>
          <w:bCs/>
          <w:color w:val="auto"/>
          <w:sz w:val="32"/>
          <w:szCs w:val="32"/>
          <w:shd w:val="clear" w:color="auto" w:fill="FFFFFF"/>
        </w:rPr>
        <w:t>（一）职能职责</w:t>
      </w:r>
    </w:p>
    <w:p>
      <w:pPr>
        <w:pStyle w:val="6"/>
        <w:keepNext w:val="0"/>
        <w:keepLines w:val="0"/>
        <w:pageBreakBefore w:val="0"/>
        <w:tabs>
          <w:tab w:val="center" w:pos="4153"/>
          <w:tab w:val="left" w:pos="7275"/>
        </w:tabs>
        <w:kinsoku/>
        <w:wordWrap/>
        <w:overflowPunct/>
        <w:topLinePunct w:val="0"/>
        <w:autoSpaceDN/>
        <w:bidi w:val="0"/>
        <w:adjustRightInd/>
        <w:spacing w:beforeAutospacing="0" w:afterAutospacing="0" w:line="594" w:lineRule="exact"/>
        <w:jc w:val="left"/>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1.承担公共卫生服务。主要包括疾病控制、妇幼保健、卫生监督协管、</w:t>
      </w:r>
      <w:r>
        <w:rPr>
          <w:rFonts w:hint="default" w:ascii="Times New Roman" w:hAnsi="Times New Roman" w:eastAsia="方正仿宋_GBK" w:cs="Times New Roman"/>
          <w:color w:val="auto"/>
          <w:sz w:val="32"/>
          <w:lang w:val="en-US" w:eastAsia="zh-CN"/>
        </w:rPr>
        <w:t>慢性病管理、</w:t>
      </w:r>
      <w:r>
        <w:rPr>
          <w:rFonts w:hint="default" w:ascii="Times New Roman" w:hAnsi="Times New Roman" w:eastAsia="方正仿宋_GBK" w:cs="Times New Roman"/>
          <w:color w:val="auto"/>
          <w:sz w:val="32"/>
        </w:rPr>
        <w:t>健康教育等公共卫生相关服务，独立完成公共卫生服务项目</w:t>
      </w:r>
      <w:r>
        <w:rPr>
          <w:rFonts w:hint="eastAsia" w:ascii="Times New Roman" w:hAnsi="Times New Roman" w:eastAsia="方正仿宋_GBK" w:cs="Times New Roman"/>
          <w:color w:val="auto"/>
          <w:sz w:val="32"/>
          <w:lang w:eastAsia="zh-CN"/>
        </w:rPr>
        <w:t>。</w:t>
      </w:r>
    </w:p>
    <w:p>
      <w:pPr>
        <w:pStyle w:val="6"/>
        <w:keepNext w:val="0"/>
        <w:keepLines w:val="0"/>
        <w:pageBreakBefore w:val="0"/>
        <w:tabs>
          <w:tab w:val="center" w:pos="4153"/>
          <w:tab w:val="left" w:pos="7275"/>
        </w:tabs>
        <w:kinsoku/>
        <w:wordWrap/>
        <w:overflowPunct/>
        <w:topLinePunct w:val="0"/>
        <w:autoSpaceDN/>
        <w:bidi w:val="0"/>
        <w:adjustRightInd/>
        <w:spacing w:beforeAutospacing="0" w:afterAutospacing="0" w:line="594" w:lineRule="exact"/>
        <w:jc w:val="left"/>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2.承担基本医疗服务。主要包括常见病、多发病的门诊和住院诊治，医疗康复，推广中医药适宜技术，发挥中医药在常见病、多发病和慢</w:t>
      </w:r>
      <w:r>
        <w:rPr>
          <w:rFonts w:hint="default" w:ascii="Times New Roman" w:hAnsi="Times New Roman" w:eastAsia="方正仿宋_GBK" w:cs="Times New Roman"/>
          <w:color w:val="auto"/>
          <w:sz w:val="32"/>
          <w:lang w:val="en-US" w:eastAsia="zh-CN"/>
        </w:rPr>
        <w:t>性</w:t>
      </w:r>
      <w:r>
        <w:rPr>
          <w:rFonts w:hint="default" w:ascii="Times New Roman" w:hAnsi="Times New Roman" w:eastAsia="方正仿宋_GBK" w:cs="Times New Roman"/>
          <w:color w:val="auto"/>
          <w:sz w:val="32"/>
        </w:rPr>
        <w:t>病防治中的作用。</w:t>
      </w:r>
    </w:p>
    <w:p>
      <w:pPr>
        <w:pStyle w:val="6"/>
        <w:keepNext w:val="0"/>
        <w:keepLines w:val="0"/>
        <w:pageBreakBefore w:val="0"/>
        <w:tabs>
          <w:tab w:val="center" w:pos="4153"/>
          <w:tab w:val="left" w:pos="7275"/>
        </w:tabs>
        <w:kinsoku/>
        <w:wordWrap/>
        <w:overflowPunct/>
        <w:topLinePunct w:val="0"/>
        <w:autoSpaceDN/>
        <w:bidi w:val="0"/>
        <w:adjustRightInd/>
        <w:spacing w:beforeAutospacing="0" w:afterAutospacing="0" w:line="594" w:lineRule="exact"/>
        <w:jc w:val="left"/>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3.承担计划生育技术服务。主要包括避孕节育和家庭保健等相关服务。</w:t>
      </w:r>
    </w:p>
    <w:p>
      <w:pPr>
        <w:pStyle w:val="6"/>
        <w:keepNext w:val="0"/>
        <w:keepLines w:val="0"/>
        <w:pageBreakBefore w:val="0"/>
        <w:tabs>
          <w:tab w:val="center" w:pos="4153"/>
          <w:tab w:val="left" w:pos="7275"/>
        </w:tabs>
        <w:kinsoku/>
        <w:wordWrap/>
        <w:overflowPunct/>
        <w:topLinePunct w:val="0"/>
        <w:autoSpaceDN/>
        <w:bidi w:val="0"/>
        <w:adjustRightInd/>
        <w:spacing w:beforeAutospacing="0" w:afterAutospacing="0" w:line="594" w:lineRule="exact"/>
        <w:jc w:val="left"/>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4.承担卫生应急任务。主要包括区域内“120”急救、突发事件紧急医疗救援、突发公共卫生事件防控等相关任务。</w:t>
      </w:r>
    </w:p>
    <w:p>
      <w:pPr>
        <w:pStyle w:val="6"/>
        <w:keepNext w:val="0"/>
        <w:keepLines w:val="0"/>
        <w:pageBreakBefore w:val="0"/>
        <w:tabs>
          <w:tab w:val="center" w:pos="4153"/>
          <w:tab w:val="left" w:pos="7275"/>
        </w:tabs>
        <w:kinsoku/>
        <w:wordWrap/>
        <w:overflowPunct/>
        <w:topLinePunct w:val="0"/>
        <w:autoSpaceDN/>
        <w:bidi w:val="0"/>
        <w:adjustRightInd/>
        <w:spacing w:beforeAutospacing="0" w:afterAutospacing="0" w:line="594" w:lineRule="exact"/>
        <w:jc w:val="left"/>
        <w:textAlignment w:val="auto"/>
        <w:rPr>
          <w:rFonts w:hint="default" w:ascii="Times New Roman" w:hAnsi="Times New Roman" w:eastAsia="方正仿宋_GBK" w:cs="Times New Roman"/>
          <w:color w:val="auto"/>
          <w:sz w:val="32"/>
          <w:lang w:val="en-US" w:eastAsia="zh-CN"/>
        </w:rPr>
      </w:pPr>
      <w:r>
        <w:rPr>
          <w:rFonts w:hint="default" w:ascii="Times New Roman" w:hAnsi="Times New Roman" w:eastAsia="方正仿宋_GBK" w:cs="Times New Roman"/>
          <w:color w:val="auto"/>
          <w:sz w:val="32"/>
        </w:rPr>
        <w:t>5.承担卫生管理任务。主要包括协助区卫生健康委负责辖区内卫生管理工作，协助当地</w:t>
      </w:r>
      <w:r>
        <w:rPr>
          <w:rFonts w:hint="eastAsia" w:ascii="Times New Roman" w:hAnsi="Times New Roman" w:eastAsia="方正仿宋_GBK" w:cs="Times New Roman"/>
          <w:color w:val="auto"/>
          <w:sz w:val="32"/>
          <w:lang w:eastAsia="zh-CN"/>
        </w:rPr>
        <w:t>党委、政府</w:t>
      </w:r>
      <w:r>
        <w:rPr>
          <w:rFonts w:hint="default" w:ascii="Times New Roman" w:hAnsi="Times New Roman" w:eastAsia="方正仿宋_GBK" w:cs="Times New Roman"/>
          <w:color w:val="auto"/>
          <w:sz w:val="32"/>
        </w:rPr>
        <w:t>指导爱国卫生工作等相关任务。</w:t>
      </w:r>
      <w:r>
        <w:rPr>
          <w:rFonts w:hint="default" w:ascii="Times New Roman" w:hAnsi="Times New Roman" w:eastAsia="方正仿宋_GBK" w:cs="Times New Roman"/>
          <w:color w:val="auto"/>
          <w:sz w:val="32"/>
          <w:lang w:val="en-US" w:eastAsia="zh-CN"/>
        </w:rPr>
        <w:t xml:space="preserve">    </w:t>
      </w:r>
    </w:p>
    <w:p>
      <w:pPr>
        <w:pStyle w:val="2"/>
        <w:keepNext w:val="0"/>
        <w:keepLines w:val="0"/>
        <w:pageBreakBefore w:val="0"/>
        <w:shd w:val="clear" w:color="auto" w:fill="FFFFFF"/>
        <w:kinsoku/>
        <w:wordWrap/>
        <w:overflowPunct/>
        <w:topLinePunct w:val="0"/>
        <w:autoSpaceDN/>
        <w:bidi w:val="0"/>
        <w:adjustRightInd/>
        <w:spacing w:beforeAutospacing="0" w:afterAutospacing="0" w:line="594" w:lineRule="exact"/>
        <w:ind w:firstLine="420"/>
        <w:textAlignment w:val="auto"/>
        <w:rPr>
          <w:rFonts w:hint="eastAsia" w:ascii="方正楷体_GBK" w:hAnsi="方正楷体_GBK" w:eastAsia="方正楷体_GBK" w:cs="方正楷体_GBK"/>
          <w:b w:val="0"/>
          <w:bCs/>
          <w:color w:val="auto"/>
          <w:sz w:val="32"/>
          <w:szCs w:val="32"/>
        </w:rPr>
      </w:pPr>
      <w:r>
        <w:rPr>
          <w:rStyle w:val="5"/>
          <w:rFonts w:hint="eastAsia" w:ascii="方正楷体_GBK" w:hAnsi="方正楷体_GBK" w:eastAsia="方正楷体_GBK" w:cs="方正楷体_GBK"/>
          <w:b w:val="0"/>
          <w:bCs/>
          <w:color w:val="auto"/>
          <w:sz w:val="32"/>
          <w:szCs w:val="32"/>
          <w:shd w:val="clear" w:color="auto" w:fill="FFFFFF"/>
        </w:rPr>
        <w:t>（二）机构设置</w:t>
      </w:r>
    </w:p>
    <w:p>
      <w:pPr>
        <w:pStyle w:val="6"/>
        <w:keepNext w:val="0"/>
        <w:keepLines w:val="0"/>
        <w:pageBreakBefore w:val="0"/>
        <w:numPr>
          <w:ilvl w:val="0"/>
          <w:numId w:val="0"/>
        </w:numPr>
        <w:tabs>
          <w:tab w:val="center" w:pos="4153"/>
          <w:tab w:val="left" w:pos="7275"/>
        </w:tabs>
        <w:kinsoku/>
        <w:wordWrap/>
        <w:overflowPunct/>
        <w:topLinePunct w:val="0"/>
        <w:autoSpaceDN/>
        <w:bidi w:val="0"/>
        <w:adjustRightInd/>
        <w:spacing w:beforeAutospacing="0" w:afterAutospacing="0" w:line="594" w:lineRule="exact"/>
        <w:ind w:firstLine="640"/>
        <w:jc w:val="left"/>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lang w:eastAsia="zh-CN"/>
        </w:rPr>
        <w:t>我单位是重庆市长寿区卫生健康委下属正科级公益一类差额拨款事业单位，</w:t>
      </w:r>
      <w:r>
        <w:rPr>
          <w:rFonts w:hint="default" w:ascii="Times New Roman" w:hAnsi="Times New Roman" w:eastAsia="方正仿宋_GBK" w:cs="Times New Roman"/>
          <w:color w:val="auto"/>
          <w:sz w:val="32"/>
        </w:rPr>
        <w:t>财政预算代码301023，单位预算级次是二级，执行基层医疗机构会计制度。</w:t>
      </w:r>
      <w:r>
        <w:rPr>
          <w:rFonts w:hint="default" w:ascii="Times New Roman" w:hAnsi="Times New Roman" w:eastAsia="方正仿宋_GBK" w:cs="Times New Roman"/>
          <w:color w:val="auto"/>
          <w:sz w:val="32"/>
          <w:lang w:eastAsia="zh-CN"/>
        </w:rPr>
        <w:t>院内设置有院长办公室、</w:t>
      </w:r>
      <w:r>
        <w:rPr>
          <w:rFonts w:hint="default" w:ascii="Times New Roman" w:hAnsi="Times New Roman" w:eastAsia="方正仿宋_GBK" w:cs="Times New Roman"/>
          <w:color w:val="auto"/>
          <w:sz w:val="32"/>
          <w:lang w:val="en-US" w:eastAsia="zh-CN"/>
        </w:rPr>
        <w:t>党</w:t>
      </w:r>
      <w:r>
        <w:rPr>
          <w:rFonts w:hint="eastAsia" w:ascii="Times New Roman" w:hAnsi="Times New Roman" w:eastAsia="方正仿宋_GBK" w:cs="Times New Roman"/>
          <w:color w:val="auto"/>
          <w:sz w:val="32"/>
          <w:lang w:val="en-US" w:eastAsia="zh-CN"/>
        </w:rPr>
        <w:t>政办公室</w:t>
      </w:r>
      <w:r>
        <w:rPr>
          <w:rFonts w:hint="default" w:ascii="Times New Roman" w:hAnsi="Times New Roman" w:eastAsia="方正仿宋_GBK" w:cs="Times New Roman"/>
          <w:color w:val="auto"/>
          <w:sz w:val="32"/>
          <w:lang w:eastAsia="zh-CN"/>
        </w:rPr>
        <w:t>、后勤总务科、财务科、</w:t>
      </w:r>
      <w:r>
        <w:rPr>
          <w:rFonts w:hint="default" w:ascii="Times New Roman" w:hAnsi="Times New Roman" w:eastAsia="方正仿宋_GBK" w:cs="Times New Roman"/>
          <w:color w:val="auto"/>
          <w:sz w:val="32"/>
          <w:lang w:val="en-US" w:eastAsia="zh-CN"/>
        </w:rPr>
        <w:t>人事科、</w:t>
      </w:r>
      <w:r>
        <w:rPr>
          <w:rFonts w:hint="default" w:ascii="Times New Roman" w:hAnsi="Times New Roman" w:eastAsia="方正仿宋_GBK" w:cs="Times New Roman"/>
          <w:color w:val="auto"/>
          <w:sz w:val="32"/>
          <w:lang w:eastAsia="zh-CN"/>
        </w:rPr>
        <w:t>内科、外科、中医科、妇产科、全科、中医康复医疗科、医学检验科、医学影像科、公共卫生科等科室。</w:t>
      </w:r>
      <w:r>
        <w:rPr>
          <w:rFonts w:hint="default" w:ascii="Times New Roman" w:hAnsi="Times New Roman" w:eastAsia="方正仿宋_GBK" w:cs="Times New Roman"/>
          <w:color w:val="auto"/>
          <w:sz w:val="32"/>
        </w:rPr>
        <w:t>现有在职职工</w:t>
      </w:r>
      <w:r>
        <w:rPr>
          <w:rFonts w:hint="default" w:ascii="Times New Roman" w:hAnsi="Times New Roman" w:eastAsia="方正仿宋_GBK" w:cs="Times New Roman"/>
          <w:color w:val="auto"/>
          <w:sz w:val="32"/>
          <w:lang w:val="en-US" w:eastAsia="zh-CN"/>
        </w:rPr>
        <w:t>19</w:t>
      </w:r>
      <w:r>
        <w:rPr>
          <w:rFonts w:hint="default" w:ascii="Times New Roman" w:hAnsi="Times New Roman" w:eastAsia="方正仿宋_GBK" w:cs="Times New Roman"/>
          <w:color w:val="auto"/>
          <w:sz w:val="32"/>
        </w:rPr>
        <w:t>人，退休职工</w:t>
      </w:r>
      <w:r>
        <w:rPr>
          <w:rFonts w:hint="eastAsia" w:ascii="Times New Roman" w:hAnsi="Times New Roman" w:eastAsia="方正仿宋_GBK" w:cs="Times New Roman"/>
          <w:color w:val="auto"/>
          <w:sz w:val="32"/>
          <w:lang w:val="en-US" w:eastAsia="zh-CN"/>
        </w:rPr>
        <w:t>5</w:t>
      </w:r>
      <w:r>
        <w:rPr>
          <w:rFonts w:hint="default" w:ascii="Times New Roman" w:hAnsi="Times New Roman" w:eastAsia="方正仿宋_GBK" w:cs="Times New Roman"/>
          <w:color w:val="auto"/>
          <w:sz w:val="32"/>
        </w:rPr>
        <w:t>人，临时工</w:t>
      </w:r>
      <w:r>
        <w:rPr>
          <w:rFonts w:hint="default" w:ascii="Times New Roman" w:hAnsi="Times New Roman" w:eastAsia="方正仿宋_GBK" w:cs="Times New Roman"/>
          <w:color w:val="auto"/>
          <w:sz w:val="32"/>
          <w:lang w:val="en-US" w:eastAsia="zh-CN"/>
        </w:rPr>
        <w:t>8</w:t>
      </w:r>
      <w:r>
        <w:rPr>
          <w:rFonts w:hint="default" w:ascii="Times New Roman" w:hAnsi="Times New Roman" w:eastAsia="方正仿宋_GBK" w:cs="Times New Roman"/>
          <w:color w:val="auto"/>
          <w:sz w:val="32"/>
        </w:rPr>
        <w:t>人。实有基本公共卫生服务用车1辆。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5"/>
          <w:rFonts w:hint="default" w:ascii="方正黑体_GBK" w:hAnsi="方正黑体_GBK" w:eastAsia="方正黑体_GBK" w:cs="方正黑体_GBK"/>
          <w:b w:val="0"/>
          <w:bCs/>
          <w:color w:val="auto"/>
          <w:sz w:val="32"/>
          <w:szCs w:val="32"/>
          <w:shd w:val="clear" w:color="auto" w:fill="FFFFFF"/>
        </w:rPr>
      </w:pPr>
      <w:r>
        <w:rPr>
          <w:rStyle w:val="5"/>
          <w:rFonts w:hint="default" w:ascii="方正黑体_GBK" w:hAnsi="方正黑体_GBK" w:eastAsia="方正黑体_GBK" w:cs="方正黑体_GBK"/>
          <w:b w:val="0"/>
          <w:bCs/>
          <w:color w:val="auto"/>
          <w:sz w:val="32"/>
          <w:szCs w:val="32"/>
          <w:shd w:val="clear" w:color="auto" w:fill="FFFFFF"/>
        </w:rPr>
        <w:t>二、</w:t>
      </w:r>
      <w:r>
        <w:rPr>
          <w:rStyle w:val="5"/>
          <w:rFonts w:hint="default" w:ascii="方正黑体_GBK" w:hAnsi="方正黑体_GBK" w:eastAsia="方正黑体_GBK" w:cs="方正黑体_GBK"/>
          <w:b w:val="0"/>
          <w:bCs/>
          <w:color w:val="auto"/>
          <w:sz w:val="32"/>
          <w:szCs w:val="32"/>
          <w:shd w:val="clear" w:color="auto" w:fill="FFFFFF"/>
          <w:lang w:eastAsia="zh-CN"/>
        </w:rPr>
        <w:t>单位</w:t>
      </w:r>
      <w:r>
        <w:rPr>
          <w:rStyle w:val="5"/>
          <w:rFonts w:hint="default" w:ascii="方正黑体_GBK" w:hAnsi="方正黑体_GBK" w:eastAsia="方正黑体_GBK" w:cs="方正黑体_GBK"/>
          <w:b w:val="0"/>
          <w:bCs/>
          <w:color w:val="auto"/>
          <w:sz w:val="32"/>
          <w:szCs w:val="32"/>
          <w:shd w:val="clear" w:color="auto" w:fill="FFFFFF"/>
        </w:rPr>
        <w:t>决算</w:t>
      </w:r>
      <w:r>
        <w:rPr>
          <w:rStyle w:val="5"/>
          <w:rFonts w:hint="default" w:ascii="方正黑体_GBK" w:hAnsi="方正黑体_GBK" w:eastAsia="方正黑体_GBK" w:cs="方正黑体_GBK"/>
          <w:b w:val="0"/>
          <w:bCs/>
          <w:color w:val="auto"/>
          <w:sz w:val="32"/>
          <w:szCs w:val="32"/>
          <w:shd w:val="clear" w:color="auto" w:fill="FFFFFF"/>
          <w:lang w:eastAsia="zh-CN"/>
        </w:rPr>
        <w:t>收支</w:t>
      </w:r>
      <w:r>
        <w:rPr>
          <w:rStyle w:val="5"/>
          <w:rFonts w:hint="default" w:ascii="方正黑体_GBK" w:hAnsi="方正黑体_GBK" w:eastAsia="方正黑体_GBK" w:cs="方正黑体_GBK"/>
          <w:b w:val="0"/>
          <w:bCs/>
          <w:color w:val="auto"/>
          <w:sz w:val="32"/>
          <w:szCs w:val="32"/>
          <w:shd w:val="clear" w:color="auto" w:fill="FFFFFF"/>
        </w:rPr>
        <w:t>情况说明</w:t>
      </w:r>
    </w:p>
    <w:p>
      <w:pPr>
        <w:pStyle w:val="7"/>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Style w:val="5"/>
          <w:rFonts w:hint="eastAsia" w:ascii="方正楷体_GBK" w:hAnsi="方正楷体_GBK" w:eastAsia="方正楷体_GBK" w:cs="方正楷体_GBK"/>
          <w:b w:val="0"/>
          <w:bCs/>
          <w:color w:val="auto"/>
          <w:sz w:val="32"/>
          <w:szCs w:val="32"/>
          <w:shd w:val="clear" w:color="auto" w:fill="FFFFFF"/>
          <w:lang w:val="en-US" w:eastAsia="zh-CN" w:bidi="ar-SA"/>
        </w:rPr>
      </w:pPr>
      <w:r>
        <w:rPr>
          <w:rStyle w:val="5"/>
          <w:rFonts w:hint="eastAsia" w:ascii="方正楷体_GBK" w:hAnsi="方正楷体_GBK" w:eastAsia="方正楷体_GBK" w:cs="方正楷体_GBK"/>
          <w:b w:val="0"/>
          <w:bCs/>
          <w:color w:val="auto"/>
          <w:sz w:val="32"/>
          <w:szCs w:val="32"/>
          <w:shd w:val="clear" w:color="auto" w:fill="FFFFFF"/>
          <w:lang w:val="en-US" w:eastAsia="zh-CN" w:bidi="ar-SA"/>
        </w:rPr>
        <w:t>（一）收入支出决算总体情况说明</w:t>
      </w:r>
    </w:p>
    <w:p>
      <w:pPr>
        <w:pStyle w:val="2"/>
        <w:keepNext w:val="0"/>
        <w:keepLines w:val="0"/>
        <w:pageBreakBefore w:val="0"/>
        <w:shd w:val="clear" w:color="auto" w:fill="FFFFFF"/>
        <w:kinsoku/>
        <w:wordWrap/>
        <w:overflowPunct/>
        <w:topLinePunct w:val="0"/>
        <w:autoSpaceDN/>
        <w:bidi w:val="0"/>
        <w:adjustRightInd/>
        <w:spacing w:beforeAutospacing="0" w:afterAutospacing="0" w:line="594" w:lineRule="exact"/>
        <w:ind w:firstLine="643" w:firstLineChars="200"/>
        <w:textAlignment w:val="auto"/>
        <w:rPr>
          <w:rFonts w:hint="default" w:ascii="Times New Roman" w:hAnsi="Times New Roman" w:eastAsia="方正仿宋_GBK" w:cs="Times New Roman"/>
          <w:color w:val="auto"/>
          <w:sz w:val="32"/>
          <w:szCs w:val="32"/>
        </w:rPr>
      </w:pPr>
      <w:r>
        <w:rPr>
          <w:rStyle w:val="5"/>
          <w:rFonts w:hint="default" w:ascii="Times New Roman" w:hAnsi="Times New Roman" w:eastAsia="方正仿宋_GBK" w:cs="Times New Roman"/>
          <w:color w:val="auto"/>
          <w:sz w:val="32"/>
          <w:szCs w:val="32"/>
          <w:shd w:val="clear" w:color="auto" w:fill="FFFFFF"/>
        </w:rPr>
        <w:t>1.总体情况</w:t>
      </w:r>
      <w:r>
        <w:rPr>
          <w:rStyle w:val="5"/>
          <w:rFonts w:hint="eastAsia" w:ascii="Times New Roman" w:hAnsi="Times New Roman" w:eastAsia="方正仿宋_GBK" w:cs="Times New Roman"/>
          <w:color w:val="auto"/>
          <w:sz w:val="32"/>
          <w:szCs w:val="32"/>
          <w:shd w:val="clear" w:color="auto" w:fill="FFFFFF"/>
          <w:lang w:eastAsia="zh-CN"/>
        </w:rPr>
        <w:t>。</w:t>
      </w:r>
      <w:r>
        <w:rPr>
          <w:rStyle w:val="5"/>
          <w:rFonts w:hint="eastAsia" w:ascii="Times New Roman" w:hAnsi="Times New Roman" w:eastAsia="方正仿宋_GBK" w:cs="Times New Roman"/>
          <w:b w:val="0"/>
          <w:bCs/>
          <w:color w:val="auto"/>
          <w:sz w:val="32"/>
          <w:szCs w:val="32"/>
          <w:shd w:val="clear" w:color="auto" w:fill="FFFFFF"/>
          <w:lang w:val="en-US" w:eastAsia="zh-CN"/>
        </w:rPr>
        <w:t>2024</w:t>
      </w:r>
      <w:r>
        <w:rPr>
          <w:rFonts w:hint="default" w:ascii="Times New Roman" w:hAnsi="Times New Roman" w:eastAsia="方正仿宋_GBK" w:cs="Times New Roman"/>
          <w:color w:val="auto"/>
          <w:sz w:val="32"/>
          <w:szCs w:val="32"/>
          <w:shd w:val="clear" w:color="auto" w:fill="FFFFFF"/>
          <w:lang w:eastAsia="zh-CN"/>
        </w:rPr>
        <w:t>年</w:t>
      </w:r>
      <w:r>
        <w:rPr>
          <w:rFonts w:hint="default" w:ascii="Times New Roman" w:hAnsi="Times New Roman" w:eastAsia="方正仿宋_GBK" w:cs="Times New Roman"/>
          <w:color w:val="auto"/>
          <w:sz w:val="32"/>
          <w:szCs w:val="32"/>
          <w:shd w:val="clear" w:color="auto" w:fill="FFFFFF"/>
        </w:rPr>
        <w:t>度收入总计680.57万元，支出总计</w:t>
      </w:r>
      <w:r>
        <w:rPr>
          <w:rFonts w:hint="default" w:ascii="Times New Roman" w:hAnsi="Times New Roman" w:eastAsia="方正仿宋_GBK" w:cs="Times New Roman"/>
          <w:color w:val="auto"/>
          <w:sz w:val="32"/>
          <w:szCs w:val="32"/>
        </w:rPr>
        <w:t>680.57</w:t>
      </w:r>
      <w:r>
        <w:rPr>
          <w:rFonts w:hint="default" w:ascii="Times New Roman" w:hAnsi="Times New Roman" w:eastAsia="方正仿宋_GBK" w:cs="Times New Roman"/>
          <w:color w:val="auto"/>
          <w:sz w:val="32"/>
          <w:szCs w:val="32"/>
          <w:shd w:val="clear" w:color="auto" w:fill="FFFFFF"/>
        </w:rPr>
        <w:t>万元。收</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支与2023年度相比，增加55.1万元，增长8.8%，主要原因是2024年按照指标填报了105</w:t>
      </w:r>
      <w:r>
        <w:rPr>
          <w:rFonts w:hint="eastAsia" w:ascii="Times New Roman" w:hAnsi="Times New Roman" w:eastAsia="方正仿宋_GBK" w:cs="Times New Roman"/>
          <w:color w:val="auto"/>
          <w:sz w:val="32"/>
          <w:szCs w:val="32"/>
          <w:shd w:val="clear" w:color="auto" w:fill="FFFFFF"/>
          <w:lang w:eastAsia="zh-CN"/>
        </w:rPr>
        <w:t>万元</w:t>
      </w:r>
      <w:r>
        <w:rPr>
          <w:rFonts w:hint="default" w:ascii="Times New Roman" w:hAnsi="Times New Roman" w:eastAsia="方正仿宋_GBK" w:cs="Times New Roman"/>
          <w:color w:val="auto"/>
          <w:sz w:val="32"/>
          <w:szCs w:val="32"/>
          <w:shd w:val="clear" w:color="auto" w:fill="FFFFFF"/>
        </w:rPr>
        <w:t>的基本公共卫生经费，但是2023年基本公共卫生经费没有填报到收入中，两年填报口径不一致。</w:t>
      </w:r>
    </w:p>
    <w:p>
      <w:pPr>
        <w:pStyle w:val="2"/>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5"/>
          <w:rFonts w:hint="default" w:ascii="Times New Roman" w:hAnsi="Times New Roman" w:eastAsia="方正仿宋_GBK" w:cs="Times New Roman"/>
          <w:color w:val="auto"/>
          <w:sz w:val="32"/>
          <w:szCs w:val="32"/>
          <w:shd w:val="clear" w:color="auto" w:fill="FFFFFF"/>
        </w:rPr>
        <w:t>2.收入情况</w:t>
      </w:r>
      <w:r>
        <w:rPr>
          <w:rStyle w:val="5"/>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eastAsia="zh-CN"/>
        </w:rPr>
        <w:t>2024年度收入合计642.</w:t>
      </w:r>
      <w:r>
        <w:rPr>
          <w:rFonts w:hint="default" w:ascii="Times New Roman" w:hAnsi="Times New Roman" w:eastAsia="方正仿宋_GBK" w:cs="Times New Roman"/>
          <w:color w:val="auto"/>
          <w:sz w:val="32"/>
          <w:szCs w:val="32"/>
          <w:shd w:val="clear" w:color="auto" w:fill="FFFFFF"/>
        </w:rPr>
        <w:t>5万元，与2023年度相比，增加120.28万元，增长23.0%，主要原因是2024年按照指标填报了105</w:t>
      </w:r>
      <w:r>
        <w:rPr>
          <w:rFonts w:hint="eastAsia" w:ascii="Times New Roman" w:hAnsi="Times New Roman" w:eastAsia="方正仿宋_GBK" w:cs="Times New Roman"/>
          <w:color w:val="auto"/>
          <w:sz w:val="32"/>
          <w:szCs w:val="32"/>
          <w:shd w:val="clear" w:color="auto" w:fill="FFFFFF"/>
          <w:lang w:eastAsia="zh-CN"/>
        </w:rPr>
        <w:t>万元</w:t>
      </w:r>
      <w:r>
        <w:rPr>
          <w:rFonts w:hint="default" w:ascii="Times New Roman" w:hAnsi="Times New Roman" w:eastAsia="方正仿宋_GBK" w:cs="Times New Roman"/>
          <w:color w:val="auto"/>
          <w:sz w:val="32"/>
          <w:szCs w:val="32"/>
          <w:shd w:val="clear" w:color="auto" w:fill="FFFFFF"/>
        </w:rPr>
        <w:t>的基本公共卫生经费，但是2023年基本公共卫生经费没有填报到收入中，两年填报口径不一致。</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394.52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61.4%</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225.68</w:t>
      </w:r>
      <w:r>
        <w:rPr>
          <w:rFonts w:ascii="方正仿宋_GBK" w:hAnsi="方正仿宋_GBK" w:eastAsia="方正仿宋_GBK" w:cs="方正仿宋_GBK"/>
          <w:sz w:val="32"/>
          <w:szCs w:val="32"/>
          <w:shd w:val="clear" w:color="auto" w:fill="FFFFFF"/>
        </w:rPr>
        <w:t>万元，占35.1%；经营收入</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22.3</w:t>
      </w:r>
      <w:r>
        <w:rPr>
          <w:rFonts w:ascii="方正仿宋_GBK" w:hAnsi="方正仿宋_GBK" w:eastAsia="方正仿宋_GBK" w:cs="方正仿宋_GBK"/>
          <w:sz w:val="32"/>
          <w:szCs w:val="32"/>
          <w:shd w:val="clear" w:color="auto" w:fill="FFFFFF"/>
        </w:rPr>
        <w:t>万元，占3.5%</w:t>
      </w:r>
      <w:r>
        <w:rPr>
          <w:rFonts w:ascii="方正仿宋_GBK" w:hAnsi="方正仿宋_GBK" w:eastAsia="方正仿宋_GBK" w:cs="方正仿宋_GBK"/>
          <w:sz w:val="32"/>
          <w:szCs w:val="32"/>
          <w:highlight w:val="none"/>
          <w:shd w:val="clear" w:color="auto" w:fill="FFFFFF"/>
        </w:rPr>
        <w:t>。此外，使用非财政拨款结余（含专用结余）</w:t>
      </w:r>
      <w:r>
        <w:rPr>
          <w:rFonts w:ascii="方正仿宋_GBK" w:hAnsi="方正仿宋_GBK" w:eastAsia="方正仿宋_GBK" w:cs="方正仿宋_GBK"/>
          <w:sz w:val="32"/>
          <w:szCs w:val="32"/>
        </w:rPr>
        <w:t>34</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4.07</w:t>
      </w:r>
      <w:r>
        <w:rPr>
          <w:rFonts w:ascii="方正仿宋_GBK" w:hAnsi="方正仿宋_GBK" w:eastAsia="方正仿宋_GBK" w:cs="方正仿宋_GBK"/>
          <w:sz w:val="32"/>
          <w:szCs w:val="32"/>
          <w:shd w:val="clear" w:color="auto" w:fill="FFFFFF"/>
        </w:rPr>
        <w:t>万元。</w:t>
      </w:r>
    </w:p>
    <w:p>
      <w:pPr>
        <w:pStyle w:val="2"/>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ascii="方正仿宋_GBK" w:hAnsi="方正仿宋_GBK" w:eastAsia="方正仿宋_GBK" w:cs="方正仿宋_GBK"/>
          <w:sz w:val="32"/>
          <w:szCs w:val="32"/>
          <w:shd w:val="clear" w:color="auto" w:fill="FFFFFF"/>
        </w:rPr>
      </w:pPr>
      <w:r>
        <w:rPr>
          <w:rStyle w:val="5"/>
          <w:rFonts w:hint="default" w:ascii="Times New Roman" w:hAnsi="Times New Roman" w:eastAsia="方正仿宋_GBK" w:cs="Times New Roman"/>
          <w:color w:val="auto"/>
          <w:sz w:val="32"/>
          <w:szCs w:val="32"/>
          <w:shd w:val="clear" w:color="auto" w:fill="FFFFFF"/>
        </w:rPr>
        <w:t>3.支出情况。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度支出合计</w:t>
      </w:r>
      <w:r>
        <w:rPr>
          <w:rFonts w:hint="default" w:ascii="Times New Roman" w:hAnsi="Times New Roman" w:eastAsia="方正仿宋_GBK" w:cs="Times New Roman"/>
          <w:color w:val="auto"/>
          <w:sz w:val="32"/>
          <w:szCs w:val="32"/>
        </w:rPr>
        <w:t>677.51</w:t>
      </w:r>
      <w:r>
        <w:rPr>
          <w:rFonts w:hint="default" w:ascii="Times New Roman" w:hAnsi="Times New Roman" w:eastAsia="方正仿宋_GBK" w:cs="Times New Roman"/>
          <w:color w:val="auto"/>
          <w:sz w:val="32"/>
          <w:szCs w:val="32"/>
          <w:shd w:val="clear" w:color="auto" w:fill="FFFFFF"/>
        </w:rPr>
        <w:t>万元，与2023年度相比，增加56.11万元，增长9.0%，主要原因是2024年决算填报的财政拨款收入与实际到账金额存在55.6万元差额，该部分在决算中计入了材料费支出</w:t>
      </w:r>
      <w:r>
        <w:rPr>
          <w:rFonts w:hint="default" w:ascii="Times New Roman" w:hAnsi="Times New Roman" w:eastAsia="方正仿宋_GBK" w:cs="Times New Roman"/>
          <w:color w:val="auto"/>
          <w:sz w:val="32"/>
          <w:szCs w:val="32"/>
          <w:shd w:val="clear" w:color="auto" w:fill="FFFFFF"/>
          <w:lang w:eastAsia="zh-CN"/>
        </w:rPr>
        <w:t>；2024年补发以前年度绩效工资72</w:t>
      </w:r>
      <w:r>
        <w:rPr>
          <w:rFonts w:hint="eastAsia" w:ascii="Times New Roman" w:hAnsi="Times New Roman" w:eastAsia="方正仿宋_GBK" w:cs="Times New Roman"/>
          <w:color w:val="auto"/>
          <w:sz w:val="32"/>
          <w:szCs w:val="32"/>
          <w:shd w:val="clear" w:color="auto" w:fill="FFFFFF"/>
          <w:lang w:eastAsia="zh-CN"/>
        </w:rPr>
        <w:t>万元</w:t>
      </w:r>
      <w:r>
        <w:rPr>
          <w:rFonts w:hint="default" w:ascii="Times New Roman" w:hAnsi="Times New Roman" w:eastAsia="方正仿宋_GBK" w:cs="Times New Roman"/>
          <w:color w:val="auto"/>
          <w:sz w:val="32"/>
          <w:szCs w:val="32"/>
          <w:shd w:val="clear" w:color="auto" w:fill="FFFFFF"/>
          <w:lang w:eastAsia="zh-CN"/>
        </w:rPr>
        <w:t>，2023年补发以前年度绩效工资110</w:t>
      </w:r>
      <w:r>
        <w:rPr>
          <w:rFonts w:hint="eastAsia" w:ascii="Times New Roman" w:hAnsi="Times New Roman" w:eastAsia="方正仿宋_GBK" w:cs="Times New Roman"/>
          <w:color w:val="auto"/>
          <w:sz w:val="32"/>
          <w:szCs w:val="32"/>
          <w:shd w:val="clear" w:color="auto" w:fill="FFFFFF"/>
          <w:lang w:eastAsia="zh-CN"/>
        </w:rPr>
        <w:t>万元</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571.51</w:t>
      </w:r>
      <w:r>
        <w:rPr>
          <w:rFonts w:ascii="方正仿宋_GBK" w:hAnsi="方正仿宋_GBK" w:eastAsia="方正仿宋_GBK" w:cs="方正仿宋_GBK"/>
          <w:sz w:val="32"/>
          <w:szCs w:val="32"/>
          <w:shd w:val="clear" w:color="auto" w:fill="FFFFFF"/>
        </w:rPr>
        <w:t>万元，占84.4%；项目支出</w:t>
      </w:r>
      <w:r>
        <w:rPr>
          <w:rFonts w:ascii="方正仿宋_GBK" w:hAnsi="方正仿宋_GBK" w:eastAsia="方正仿宋_GBK" w:cs="方正仿宋_GBK"/>
          <w:sz w:val="32"/>
          <w:szCs w:val="32"/>
        </w:rPr>
        <w:t>106.01</w:t>
      </w:r>
      <w:r>
        <w:rPr>
          <w:rFonts w:ascii="方正仿宋_GBK" w:hAnsi="方正仿宋_GBK" w:eastAsia="方正仿宋_GBK" w:cs="方正仿宋_GBK"/>
          <w:sz w:val="32"/>
          <w:szCs w:val="32"/>
          <w:shd w:val="clear" w:color="auto" w:fill="FFFFFF"/>
        </w:rPr>
        <w:t>万元，占15.7%；经营支出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2"/>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rPr>
      </w:pPr>
      <w:r>
        <w:rPr>
          <w:rStyle w:val="5"/>
          <w:rFonts w:hint="default" w:ascii="Times New Roman" w:hAnsi="Times New Roman" w:eastAsia="方正仿宋_GBK" w:cs="Times New Roman"/>
          <w:color w:val="auto"/>
          <w:sz w:val="32"/>
          <w:szCs w:val="32"/>
          <w:shd w:val="clear" w:color="auto" w:fill="FFFFFF"/>
        </w:rPr>
        <w:t>4.结转结余情况。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度年末结转和结余</w:t>
      </w:r>
      <w:r>
        <w:rPr>
          <w:rFonts w:hint="default" w:ascii="Times New Roman" w:hAnsi="Times New Roman" w:eastAsia="方正仿宋_GBK" w:cs="Times New Roman"/>
          <w:color w:val="auto"/>
          <w:sz w:val="32"/>
          <w:szCs w:val="32"/>
        </w:rPr>
        <w:t>3.06</w:t>
      </w:r>
      <w:r>
        <w:rPr>
          <w:rFonts w:hint="default" w:ascii="Times New Roman" w:hAnsi="Times New Roman" w:eastAsia="方正仿宋_GBK" w:cs="Times New Roman"/>
          <w:color w:val="auto"/>
          <w:sz w:val="32"/>
          <w:szCs w:val="32"/>
          <w:shd w:val="clear" w:color="auto" w:fill="FFFFFF"/>
        </w:rPr>
        <w:t>万元，与2023年度相比，减少1.01万元，下降24.8%，主要原因是2024年列支了2023年结转下来的项目资金。</w:t>
      </w:r>
    </w:p>
    <w:p>
      <w:pPr>
        <w:pStyle w:val="7"/>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（二）财政拨款收入支出决算总体情况说明</w:t>
      </w:r>
    </w:p>
    <w:p>
      <w:pPr>
        <w:pStyle w:val="2"/>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度财政拨款收、支总计398.59万元。与202</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年相比，财政拨款收、支总计各增加94.3万元，增长31.0%。主要原因是</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024年按照指标填报了105万的基本公共卫生经费，但是2023年基本公共卫生经费没有填报到收入中，两年填报口径不一致。</w:t>
      </w:r>
    </w:p>
    <w:p>
      <w:pPr>
        <w:pStyle w:val="7"/>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default" w:ascii="方正楷体_GBK" w:hAnsi="方正楷体_GBK" w:eastAsia="方正楷体_GBK" w:cs="方正楷体_GBK"/>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w:t>
      </w:r>
      <w:r>
        <w:rPr>
          <w:rFonts w:hint="default" w:ascii="方正楷体_GBK" w:hAnsi="方正楷体_GBK" w:eastAsia="方正楷体_GBK" w:cs="方正楷体_GBK"/>
          <w:b w:val="0"/>
          <w:bCs w:val="0"/>
          <w:color w:val="auto"/>
          <w:sz w:val="32"/>
          <w:szCs w:val="32"/>
          <w:shd w:val="clear" w:color="auto" w:fill="FFFFFF"/>
        </w:rPr>
        <w:t>三）一般公共预算财政拨款收入支出决算情况说明</w:t>
      </w:r>
    </w:p>
    <w:p>
      <w:pPr>
        <w:pStyle w:val="2"/>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rPr>
      </w:pPr>
      <w:r>
        <w:rPr>
          <w:rStyle w:val="5"/>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度一般公共预算财政拨款收入</w:t>
      </w:r>
      <w:r>
        <w:rPr>
          <w:rFonts w:hint="default" w:ascii="Times New Roman" w:hAnsi="Times New Roman" w:eastAsia="方正仿宋_GBK" w:cs="Times New Roman"/>
          <w:color w:val="auto"/>
          <w:sz w:val="32"/>
          <w:szCs w:val="32"/>
        </w:rPr>
        <w:t>394.52</w:t>
      </w:r>
      <w:r>
        <w:rPr>
          <w:rFonts w:hint="default" w:ascii="Times New Roman" w:hAnsi="Times New Roman" w:eastAsia="方正仿宋_GBK" w:cs="Times New Roman"/>
          <w:color w:val="auto"/>
          <w:sz w:val="32"/>
          <w:szCs w:val="32"/>
          <w:shd w:val="clear" w:color="auto" w:fill="FFFFFF"/>
        </w:rPr>
        <w:t>万元，与2023年度相比，增加135.21万元，增长52.1%。主要原因是</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024年按照指标填报了105万</w:t>
      </w:r>
      <w:r>
        <w:rPr>
          <w:rFonts w:hint="eastAsia" w:ascii="Times New Roman" w:hAnsi="Times New Roman" w:eastAsia="方正仿宋_GBK" w:cs="Times New Roman"/>
          <w:color w:val="auto"/>
          <w:sz w:val="32"/>
          <w:szCs w:val="32"/>
          <w:shd w:val="clear" w:color="auto" w:fill="FFFFFF"/>
          <w:lang w:val="en-US" w:eastAsia="zh-CN"/>
        </w:rPr>
        <w:t>元</w:t>
      </w:r>
      <w:r>
        <w:rPr>
          <w:rFonts w:hint="default" w:ascii="Times New Roman" w:hAnsi="Times New Roman" w:eastAsia="方正仿宋_GBK" w:cs="Times New Roman"/>
          <w:color w:val="auto"/>
          <w:sz w:val="32"/>
          <w:szCs w:val="32"/>
          <w:shd w:val="clear" w:color="auto" w:fill="FFFFFF"/>
        </w:rPr>
        <w:t>的基本公共卫生经费，但是2023年基本公共卫生经费没有填报到收入中，两年填报口径不一致。较年初预算数增加113.79万元，增长40.5%。主要原因是根据单位实际需求增加单位预算。此外，年初财政拨款结转和结余</w:t>
      </w:r>
      <w:r>
        <w:rPr>
          <w:rFonts w:hint="default" w:ascii="Times New Roman" w:hAnsi="Times New Roman" w:eastAsia="方正仿宋_GBK" w:cs="Times New Roman"/>
          <w:color w:val="auto"/>
          <w:sz w:val="32"/>
          <w:szCs w:val="32"/>
        </w:rPr>
        <w:t>4.07</w:t>
      </w:r>
      <w:r>
        <w:rPr>
          <w:rFonts w:hint="default" w:ascii="Times New Roman" w:hAnsi="Times New Roman" w:eastAsia="方正仿宋_GBK" w:cs="Times New Roman"/>
          <w:color w:val="auto"/>
          <w:sz w:val="32"/>
          <w:szCs w:val="32"/>
          <w:shd w:val="clear" w:color="auto" w:fill="FFFFFF"/>
        </w:rPr>
        <w:t>万元。</w:t>
      </w:r>
    </w:p>
    <w:p>
      <w:pPr>
        <w:pStyle w:val="2"/>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rPr>
      </w:pPr>
      <w:r>
        <w:rPr>
          <w:rStyle w:val="5"/>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度一般公共预算财政拨款支出</w:t>
      </w:r>
      <w:r>
        <w:rPr>
          <w:rFonts w:hint="default" w:ascii="Times New Roman" w:hAnsi="Times New Roman" w:eastAsia="方正仿宋_GBK" w:cs="Times New Roman"/>
          <w:color w:val="auto"/>
          <w:sz w:val="32"/>
          <w:szCs w:val="32"/>
        </w:rPr>
        <w:t>395.53</w:t>
      </w:r>
      <w:r>
        <w:rPr>
          <w:rFonts w:hint="default" w:ascii="Times New Roman" w:hAnsi="Times New Roman" w:eastAsia="方正仿宋_GBK" w:cs="Times New Roman"/>
          <w:color w:val="auto"/>
          <w:sz w:val="32"/>
          <w:szCs w:val="32"/>
          <w:shd w:val="clear" w:color="auto" w:fill="FFFFFF"/>
        </w:rPr>
        <w:t>万元，与2023年度相比，增加123.63万元，增长45.5%。主要原因是2024年列支了2023年结转下来的项目资金。较年初预算数增加114.8万元，增长40.9%。主要原因是根据单位实际需求增加单位预算。</w:t>
      </w:r>
    </w:p>
    <w:p>
      <w:pPr>
        <w:pStyle w:val="2"/>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rPr>
      </w:pPr>
      <w:r>
        <w:rPr>
          <w:rStyle w:val="5"/>
          <w:rFonts w:hint="default" w:ascii="Times New Roman" w:hAnsi="Times New Roman" w:eastAsia="方正仿宋_GBK" w:cs="Times New Roman"/>
          <w:color w:val="auto"/>
          <w:sz w:val="32"/>
          <w:szCs w:val="32"/>
          <w:shd w:val="clear" w:color="auto" w:fill="FFFFFF"/>
        </w:rPr>
        <w:t>3.结转结余情况。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度年末一般公共预算财政拨款结转和结余</w:t>
      </w:r>
      <w:r>
        <w:rPr>
          <w:rFonts w:hint="default" w:ascii="Times New Roman" w:hAnsi="Times New Roman" w:eastAsia="方正仿宋_GBK" w:cs="Times New Roman"/>
          <w:color w:val="auto"/>
          <w:sz w:val="32"/>
          <w:szCs w:val="32"/>
        </w:rPr>
        <w:t>3.06</w:t>
      </w:r>
      <w:r>
        <w:rPr>
          <w:rFonts w:hint="default" w:ascii="Times New Roman" w:hAnsi="Times New Roman" w:eastAsia="方正仿宋_GBK" w:cs="Times New Roman"/>
          <w:color w:val="auto"/>
          <w:sz w:val="32"/>
          <w:szCs w:val="32"/>
          <w:shd w:val="clear" w:color="auto" w:fill="FFFFFF"/>
        </w:rPr>
        <w:t>万元，与2023年度相比，减少1.01万元，下降24.8%，主要原因是2024年列支了2023年结转下来的项目资金。</w:t>
      </w:r>
    </w:p>
    <w:p>
      <w:pPr>
        <w:pStyle w:val="2"/>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5"/>
          <w:rFonts w:hint="default" w:ascii="Times New Roman" w:hAnsi="Times New Roman" w:eastAsia="方正仿宋_GBK" w:cs="Times New Roman"/>
          <w:color w:val="auto"/>
          <w:sz w:val="32"/>
          <w:szCs w:val="32"/>
          <w:shd w:val="clear" w:color="auto" w:fill="FFFFFF"/>
        </w:rPr>
        <w:t xml:space="preserve"> 4.比较情况。</w:t>
      </w:r>
      <w:r>
        <w:rPr>
          <w:rFonts w:hint="default" w:ascii="Times New Roman" w:hAnsi="Times New Roman" w:eastAsia="方正仿宋_GBK" w:cs="Times New Roman"/>
          <w:color w:val="auto"/>
          <w:sz w:val="32"/>
          <w:szCs w:val="32"/>
          <w:shd w:val="clear" w:color="auto" w:fill="FFFFFF"/>
        </w:rPr>
        <w:t>本单位</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度一般公共预算财政拨款支出主要用于以下几个方面：</w:t>
      </w:r>
    </w:p>
    <w:p>
      <w:pPr>
        <w:pStyle w:val="2"/>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w:t>
      </w:r>
      <w:r>
        <w:rPr>
          <w:rFonts w:ascii="方正仿宋_GBK" w:hAnsi="方正仿宋_GBK" w:eastAsia="方正仿宋_GBK" w:cs="方正仿宋_GBK"/>
          <w:sz w:val="32"/>
          <w:szCs w:val="32"/>
          <w:shd w:val="clear" w:color="auto" w:fill="FFFFFF"/>
        </w:rPr>
        <w:t>社会</w:t>
      </w:r>
      <w:r>
        <w:rPr>
          <w:rFonts w:ascii="方正仿宋_GBK" w:hAnsi="方正仿宋_GBK" w:eastAsia="方正仿宋_GBK" w:cs="方正仿宋_GBK"/>
          <w:sz w:val="32"/>
          <w:szCs w:val="32"/>
          <w:highlight w:val="none"/>
          <w:shd w:val="clear" w:color="auto" w:fill="FFFFFF"/>
        </w:rPr>
        <w:t>保障</w:t>
      </w:r>
      <w:r>
        <w:rPr>
          <w:rFonts w:hint="eastAsia" w:ascii="方正仿宋_GBK" w:hAnsi="方正仿宋_GBK" w:eastAsia="方正仿宋_GBK" w:cs="方正仿宋_GBK"/>
          <w:sz w:val="32"/>
          <w:szCs w:val="32"/>
          <w:highlight w:val="none"/>
          <w:shd w:val="clear" w:color="auto" w:fill="FFFFFF"/>
          <w:lang w:eastAsia="zh-CN"/>
        </w:rPr>
        <w:t>和</w:t>
      </w:r>
      <w:r>
        <w:rPr>
          <w:rFonts w:ascii="方正仿宋_GBK" w:hAnsi="方正仿宋_GBK" w:eastAsia="方正仿宋_GBK" w:cs="方正仿宋_GBK"/>
          <w:sz w:val="32"/>
          <w:szCs w:val="32"/>
          <w:highlight w:val="none"/>
          <w:shd w:val="clear" w:color="auto" w:fill="FFFFFF"/>
        </w:rPr>
        <w:t>就业支</w:t>
      </w:r>
      <w:r>
        <w:rPr>
          <w:rFonts w:ascii="方正仿宋_GBK" w:hAnsi="方正仿宋_GBK" w:eastAsia="方正仿宋_GBK" w:cs="方正仿宋_GBK"/>
          <w:sz w:val="32"/>
          <w:szCs w:val="32"/>
          <w:shd w:val="clear" w:color="auto" w:fill="FFFFFF"/>
        </w:rPr>
        <w:t>出</w:t>
      </w:r>
      <w:r>
        <w:rPr>
          <w:rFonts w:hint="default" w:ascii="Times New Roman" w:hAnsi="Times New Roman" w:eastAsia="方正仿宋_GBK" w:cs="Times New Roman"/>
          <w:color w:val="auto"/>
          <w:sz w:val="32"/>
          <w:szCs w:val="32"/>
        </w:rPr>
        <w:t>53.52</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13.5%</w:t>
      </w:r>
      <w:r>
        <w:rPr>
          <w:rFonts w:hint="default" w:ascii="Times New Roman" w:hAnsi="Times New Roman" w:eastAsia="方正仿宋_GBK" w:cs="Times New Roman"/>
          <w:color w:val="auto"/>
          <w:sz w:val="32"/>
          <w:szCs w:val="32"/>
          <w:shd w:val="clear" w:color="auto" w:fill="FFFFFF"/>
        </w:rPr>
        <w:t>，较年初预算数增加9.63万元，增长21.9%，主要原因是2024年招聘1人。</w:t>
      </w:r>
    </w:p>
    <w:p>
      <w:pPr>
        <w:pStyle w:val="2"/>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332.11</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sz w:val="32"/>
          <w:szCs w:val="32"/>
          <w:shd w:val="clear" w:color="auto" w:fill="FFFFFF"/>
        </w:rPr>
        <w:t>占</w:t>
      </w:r>
      <w:r>
        <w:rPr>
          <w:rFonts w:ascii="方正仿宋_GBK" w:hAnsi="方正仿宋_GBK" w:eastAsia="方正仿宋_GBK" w:cs="方正仿宋_GBK"/>
          <w:sz w:val="32"/>
          <w:szCs w:val="32"/>
        </w:rPr>
        <w:t>84.</w:t>
      </w:r>
      <w:r>
        <w:rPr>
          <w:rFonts w:hint="eastAsia" w:ascii="方正仿宋_GBK" w:hAnsi="方正仿宋_GBK" w:eastAsia="方正仿宋_GBK" w:cs="方正仿宋_GBK"/>
          <w:sz w:val="32"/>
          <w:szCs w:val="32"/>
          <w:lang w:eastAsia="zh-CN"/>
        </w:rPr>
        <w:t>0%</w:t>
      </w:r>
      <w:r>
        <w:rPr>
          <w:rFonts w:hint="default" w:ascii="Times New Roman" w:hAnsi="Times New Roman" w:eastAsia="方正仿宋_GBK" w:cs="Times New Roman"/>
          <w:color w:val="auto"/>
          <w:sz w:val="32"/>
          <w:szCs w:val="32"/>
          <w:shd w:val="clear" w:color="auto" w:fill="FFFFFF"/>
        </w:rPr>
        <w:t>，较年初预算数增加104.44万元，增长45.9%，主要原因是2024年招聘1人</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2024年补发以前年度绩效工资。</w:t>
      </w:r>
    </w:p>
    <w:p>
      <w:pPr>
        <w:keepNext w:val="0"/>
        <w:keepLines w:val="0"/>
        <w:pageBreakBefore w:val="0"/>
        <w:kinsoku/>
        <w:wordWrap/>
        <w:overflowPunct/>
        <w:topLinePunct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住房保障支出9.89</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2.5%</w:t>
      </w:r>
      <w:r>
        <w:rPr>
          <w:rFonts w:hint="default" w:ascii="Times New Roman" w:hAnsi="Times New Roman" w:eastAsia="方正仿宋_GBK" w:cs="Times New Roman"/>
          <w:color w:val="auto"/>
          <w:sz w:val="32"/>
          <w:szCs w:val="32"/>
          <w:shd w:val="clear" w:color="auto" w:fill="FFFFFF"/>
        </w:rPr>
        <w:t>，较年初预算数增加0.71万元，增长7.7%，主要原因是2024年招聘1人。</w:t>
      </w:r>
    </w:p>
    <w:p>
      <w:pPr>
        <w:pStyle w:val="7"/>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default" w:ascii="方正楷体_GBK" w:hAnsi="方正楷体_GBK" w:eastAsia="方正楷体_GBK" w:cs="方正楷体_GBK"/>
          <w:b w:val="0"/>
          <w:bCs w:val="0"/>
          <w:color w:val="auto"/>
          <w:sz w:val="32"/>
          <w:szCs w:val="32"/>
          <w:shd w:val="clear" w:color="auto" w:fill="FFFFFF"/>
        </w:rPr>
      </w:pPr>
      <w:r>
        <w:rPr>
          <w:rFonts w:hint="default" w:ascii="方正楷体_GBK" w:hAnsi="方正楷体_GBK" w:eastAsia="方正楷体_GBK" w:cs="方正楷体_GBK"/>
          <w:b w:val="0"/>
          <w:bCs w:val="0"/>
          <w:color w:val="auto"/>
          <w:sz w:val="32"/>
          <w:szCs w:val="32"/>
          <w:shd w:val="clear" w:color="auto" w:fill="FFFFFF"/>
        </w:rPr>
        <w:t>（四）一般公共预算财政拨款基本支出决算情况说明</w:t>
      </w:r>
    </w:p>
    <w:p>
      <w:pPr>
        <w:pStyle w:val="2"/>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w:t>
      </w:r>
      <w:r>
        <w:rPr>
          <w:rFonts w:hint="eastAsia" w:ascii="Times New Roman" w:hAnsi="Times New Roman" w:eastAsia="方正仿宋_GBK" w:cs="Times New Roman"/>
          <w:color w:val="auto"/>
          <w:sz w:val="32"/>
          <w:szCs w:val="32"/>
          <w:shd w:val="clear" w:color="auto" w:fill="FFFFFF"/>
          <w:lang w:eastAsia="zh-CN"/>
        </w:rPr>
        <w:t>一般公共预算财政拨款</w:t>
      </w:r>
      <w:r>
        <w:rPr>
          <w:rFonts w:hint="default" w:ascii="Times New Roman" w:hAnsi="Times New Roman" w:eastAsia="方正仿宋_GBK" w:cs="Times New Roman"/>
          <w:color w:val="auto"/>
          <w:sz w:val="32"/>
          <w:szCs w:val="32"/>
          <w:shd w:val="clear" w:color="auto" w:fill="FFFFFF"/>
        </w:rPr>
        <w:t>基本支出</w:t>
      </w:r>
      <w:r>
        <w:rPr>
          <w:rFonts w:hint="default" w:ascii="Times New Roman" w:hAnsi="Times New Roman" w:eastAsia="方正仿宋_GBK" w:cs="Times New Roman"/>
          <w:color w:val="auto"/>
          <w:sz w:val="32"/>
          <w:szCs w:val="32"/>
        </w:rPr>
        <w:t>289.52</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289.27</w:t>
      </w:r>
      <w:r>
        <w:rPr>
          <w:rFonts w:hint="default" w:ascii="Times New Roman" w:hAnsi="Times New Roman" w:eastAsia="方正仿宋_GBK" w:cs="Times New Roman"/>
          <w:color w:val="auto"/>
          <w:sz w:val="32"/>
          <w:szCs w:val="32"/>
          <w:shd w:val="clear" w:color="auto" w:fill="FFFFFF"/>
        </w:rPr>
        <w:t>万元，与2023年度相比，增加71.46万元，增长32.8%，主要原因是2024年招聘1人</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2024年补发以前年度绩效工资。人员经费用途主要包括基本工资</w:t>
      </w:r>
      <w:r>
        <w:rPr>
          <w:rFonts w:hint="default" w:ascii="Times New Roman" w:hAnsi="Times New Roman" w:eastAsia="方正仿宋_GBK" w:cs="Times New Roman"/>
          <w:color w:val="auto"/>
          <w:sz w:val="32"/>
          <w:szCs w:val="32"/>
          <w:shd w:val="clear" w:color="auto" w:fill="FFFFFF"/>
          <w:lang w:eastAsia="zh-CN"/>
        </w:rPr>
        <w:t>、津贴补贴</w:t>
      </w:r>
      <w:r>
        <w:rPr>
          <w:rFonts w:hint="eastAsia" w:ascii="Times New Roman" w:hAnsi="Times New Roman" w:eastAsia="方正仿宋_GBK" w:cs="Times New Roman"/>
          <w:color w:val="auto"/>
          <w:sz w:val="32"/>
          <w:szCs w:val="32"/>
          <w:shd w:val="clear" w:color="auto" w:fill="FFFFFF"/>
          <w:lang w:eastAsia="zh-CN"/>
        </w:rPr>
        <w:t>、绩效工资、机关事业单位基本养老保险缴费、职业年金缴费、职工基本医疗保险缴费、住房公积金、医疗费、生活补助</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0.25</w:t>
      </w:r>
      <w:r>
        <w:rPr>
          <w:rFonts w:hint="default" w:ascii="Times New Roman" w:hAnsi="Times New Roman" w:eastAsia="方正仿宋_GBK" w:cs="Times New Roman"/>
          <w:color w:val="auto"/>
          <w:sz w:val="32"/>
          <w:szCs w:val="32"/>
          <w:shd w:val="clear" w:color="auto" w:fill="FFFFFF"/>
        </w:rPr>
        <w:t>万元，与2023年度相比，增加0.05万元，增长25.0%，主要原因是</w:t>
      </w:r>
      <w:r>
        <w:rPr>
          <w:rFonts w:hint="eastAsia" w:ascii="Times New Roman" w:hAnsi="Times New Roman" w:eastAsia="方正仿宋_GBK" w:cs="Times New Roman"/>
          <w:color w:val="auto"/>
          <w:sz w:val="32"/>
          <w:szCs w:val="32"/>
          <w:shd w:val="clear" w:color="auto" w:fill="FFFFFF"/>
          <w:lang w:val="en-US" w:eastAsia="zh-CN"/>
        </w:rPr>
        <w:t>办公及劳务等</w:t>
      </w:r>
      <w:r>
        <w:rPr>
          <w:rFonts w:hint="eastAsia" w:ascii="Times New Roman" w:hAnsi="Times New Roman" w:eastAsia="方正仿宋_GBK" w:cs="Times New Roman"/>
          <w:color w:val="auto"/>
          <w:sz w:val="32"/>
          <w:szCs w:val="32"/>
          <w:highlight w:val="none"/>
          <w:lang w:val="en-US" w:eastAsia="zh-CN"/>
        </w:rPr>
        <w:t>日常运行维护支出有所</w:t>
      </w:r>
      <w:r>
        <w:rPr>
          <w:rFonts w:hint="default" w:ascii="Times New Roman" w:hAnsi="Times New Roman" w:eastAsia="方正仿宋_GBK" w:cs="Times New Roman"/>
          <w:color w:val="auto"/>
          <w:sz w:val="32"/>
          <w:szCs w:val="32"/>
          <w:highlight w:val="none"/>
          <w:lang w:val="en-US" w:eastAsia="zh-CN"/>
        </w:rPr>
        <w:t>增加</w:t>
      </w:r>
      <w:r>
        <w:rPr>
          <w:rFonts w:hint="default" w:ascii="Times New Roman" w:hAnsi="Times New Roman" w:eastAsia="方正仿宋_GBK" w:cs="Times New Roman"/>
          <w:color w:val="auto"/>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lang w:val="en-US" w:eastAsia="zh-CN"/>
        </w:rPr>
        <w:t>办公费、劳务费、邮电费</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default" w:ascii="方正楷体_GBK" w:hAnsi="方正楷体_GBK" w:eastAsia="方正楷体_GBK" w:cs="方正楷体_GBK"/>
          <w:b w:val="0"/>
          <w:bCs w:val="0"/>
          <w:color w:val="auto"/>
          <w:sz w:val="32"/>
          <w:szCs w:val="32"/>
          <w:shd w:val="clear" w:color="auto" w:fill="FFFFFF"/>
        </w:rPr>
      </w:pPr>
      <w:r>
        <w:rPr>
          <w:rFonts w:hint="default" w:ascii="方正楷体_GBK" w:hAnsi="方正楷体_GBK" w:eastAsia="方正楷体_GBK" w:cs="方正楷体_GBK"/>
          <w:b w:val="0"/>
          <w:bCs w:val="0"/>
          <w:color w:val="auto"/>
          <w:sz w:val="32"/>
          <w:szCs w:val="32"/>
          <w:shd w:val="clear" w:color="auto" w:fill="FFFFFF"/>
        </w:rPr>
        <w:t>（五）政府性基金预算收支决算情况说明</w:t>
      </w:r>
    </w:p>
    <w:p>
      <w:pPr>
        <w:pStyle w:val="2"/>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度政府性基金预算财政拨款年初结转结余</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万元，年末结转结余</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万元。本年收入</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万元，与2023年度相比，无增减，主要原因是本单位</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度无政府性基金预算财政拨款收支。本年支出0万元，与2023年度相比，减少28.32万元，下降100.0%，主要原因是本单位</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度无政府性基金预算财政拨款收支。</w:t>
      </w:r>
    </w:p>
    <w:p>
      <w:pPr>
        <w:pStyle w:val="7"/>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default" w:ascii="方正楷体_GBK" w:hAnsi="方正楷体_GBK" w:eastAsia="方正楷体_GBK" w:cs="方正楷体_GBK"/>
          <w:b w:val="0"/>
          <w:bCs w:val="0"/>
          <w:color w:val="auto"/>
          <w:sz w:val="32"/>
          <w:szCs w:val="32"/>
          <w:shd w:val="clear" w:color="auto" w:fill="FFFFFF"/>
        </w:rPr>
      </w:pPr>
      <w:r>
        <w:rPr>
          <w:rFonts w:hint="default" w:ascii="方正楷体_GBK" w:hAnsi="方正楷体_GBK" w:eastAsia="方正楷体_GBK" w:cs="方正楷体_GBK"/>
          <w:b w:val="0"/>
          <w:bCs w:val="0"/>
          <w:color w:val="auto"/>
          <w:sz w:val="32"/>
          <w:szCs w:val="32"/>
          <w:shd w:val="clear" w:color="auto" w:fill="FFFFFF"/>
        </w:rPr>
        <w:t>（六）国有资本经营预算财政拨款支出决算情况说明</w:t>
      </w:r>
    </w:p>
    <w:p>
      <w:pPr>
        <w:pStyle w:val="2"/>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本单位</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度无国有资本经营预算财政拨款支出。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5"/>
          <w:rFonts w:hint="eastAsia" w:ascii="方正黑体_GBK" w:hAnsi="方正黑体_GBK" w:eastAsia="方正黑体_GBK" w:cs="方正黑体_GBK"/>
          <w:b w:val="0"/>
          <w:bCs/>
          <w:color w:val="auto"/>
          <w:sz w:val="32"/>
          <w:szCs w:val="32"/>
          <w:shd w:val="clear" w:color="auto" w:fill="FFFFFF"/>
        </w:rPr>
      </w:pPr>
      <w:r>
        <w:rPr>
          <w:rStyle w:val="5"/>
          <w:rFonts w:hint="eastAsia" w:ascii="方正黑体_GBK" w:hAnsi="方正黑体_GBK" w:eastAsia="方正黑体_GBK" w:cs="方正黑体_GBK"/>
          <w:b w:val="0"/>
          <w:bCs/>
          <w:color w:val="auto"/>
          <w:sz w:val="32"/>
          <w:szCs w:val="32"/>
          <w:shd w:val="clear" w:color="auto" w:fill="FFFFFF"/>
        </w:rPr>
        <w:t>三、</w:t>
      </w:r>
      <w:r>
        <w:rPr>
          <w:rStyle w:val="5"/>
          <w:rFonts w:hint="eastAsia" w:ascii="方正黑体_GBK" w:hAnsi="方正黑体_GBK" w:eastAsia="方正黑体_GBK" w:cs="方正黑体_GBK"/>
          <w:b w:val="0"/>
          <w:bCs/>
          <w:color w:val="auto"/>
          <w:sz w:val="32"/>
          <w:szCs w:val="32"/>
          <w:shd w:val="clear" w:color="auto" w:fill="FFFFFF"/>
          <w:lang w:eastAsia="zh-CN"/>
        </w:rPr>
        <w:t>财政拨款</w:t>
      </w:r>
      <w:r>
        <w:rPr>
          <w:rStyle w:val="5"/>
          <w:rFonts w:hint="eastAsia" w:ascii="方正黑体_GBK" w:hAnsi="方正黑体_GBK" w:eastAsia="方正黑体_GBK" w:cs="方正黑体_GBK"/>
          <w:b w:val="0"/>
          <w:bCs/>
          <w:color w:val="auto"/>
          <w:sz w:val="32"/>
          <w:szCs w:val="32"/>
          <w:shd w:val="clear" w:color="auto" w:fill="FFFFFF"/>
        </w:rPr>
        <w:t>“三公”经费情况说明</w:t>
      </w:r>
    </w:p>
    <w:p>
      <w:pPr>
        <w:pStyle w:val="2"/>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我单位属于差额拨款单位，财政未保障我单位“三公”经费。</w:t>
      </w:r>
    </w:p>
    <w:p>
      <w:pPr>
        <w:pStyle w:val="2"/>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Style w:val="5"/>
          <w:rFonts w:hint="eastAsia" w:ascii="方正黑体_GBK" w:hAnsi="方正黑体_GBK" w:eastAsia="方正黑体_GBK" w:cs="方正黑体_GBK"/>
          <w:b w:val="0"/>
          <w:bCs w:val="0"/>
          <w:color w:val="auto"/>
          <w:sz w:val="32"/>
          <w:szCs w:val="32"/>
          <w:shd w:val="clear" w:color="auto" w:fill="FFFFFF"/>
        </w:rPr>
      </w:pPr>
      <w:r>
        <w:rPr>
          <w:rStyle w:val="5"/>
          <w:rFonts w:hint="eastAsia" w:ascii="方正黑体_GBK" w:hAnsi="方正黑体_GBK" w:eastAsia="方正黑体_GBK" w:cs="方正黑体_GBK"/>
          <w:b w:val="0"/>
          <w:bCs w:val="0"/>
          <w:color w:val="auto"/>
          <w:sz w:val="32"/>
          <w:szCs w:val="32"/>
          <w:shd w:val="clear" w:color="auto" w:fill="FFFFFF"/>
        </w:rPr>
        <w:t>四、其他需要说明的事项</w:t>
      </w:r>
    </w:p>
    <w:p>
      <w:pPr>
        <w:pStyle w:val="7"/>
        <w:keepNext w:val="0"/>
        <w:keepLines w:val="0"/>
        <w:pageBreakBefore w:val="0"/>
        <w:kinsoku/>
        <w:wordWrap/>
        <w:overflowPunct/>
        <w:topLinePunct w:val="0"/>
        <w:autoSpaceDE w:val="0"/>
        <w:autoSpaceDN/>
        <w:bidi w:val="0"/>
        <w:adjustRightInd/>
        <w:spacing w:beforeAutospacing="0" w:afterAutospacing="0" w:line="594" w:lineRule="exact"/>
        <w:textAlignment w:val="auto"/>
        <w:rPr>
          <w:rFonts w:hint="default" w:ascii="方正楷体_GBK" w:hAnsi="方正楷体_GBK" w:eastAsia="方正楷体_GBK" w:cs="方正楷体_GBK"/>
          <w:b w:val="0"/>
          <w:bCs w:val="0"/>
          <w:color w:val="auto"/>
          <w:sz w:val="32"/>
          <w:szCs w:val="32"/>
          <w:shd w:val="clear" w:color="auto" w:fill="FFFFFF"/>
        </w:rPr>
      </w:pPr>
      <w:r>
        <w:rPr>
          <w:rFonts w:hint="default" w:ascii="方正楷体_GBK" w:hAnsi="方正楷体_GBK" w:eastAsia="方正楷体_GBK" w:cs="方正楷体_GBK"/>
          <w:b w:val="0"/>
          <w:bCs w:val="0"/>
          <w:color w:val="auto"/>
          <w:sz w:val="32"/>
          <w:szCs w:val="32"/>
          <w:shd w:val="clear" w:color="auto" w:fill="FFFFFF"/>
        </w:rPr>
        <w:t>（一）财政拨款会议费和培训费情况说明</w:t>
      </w:r>
    </w:p>
    <w:p>
      <w:pPr>
        <w:pStyle w:val="2"/>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因</w:t>
      </w:r>
      <w:r>
        <w:rPr>
          <w:rFonts w:hint="default" w:ascii="Times New Roman" w:hAnsi="Times New Roman" w:eastAsia="方正仿宋_GBK" w:cs="Times New Roman"/>
          <w:color w:val="auto"/>
          <w:sz w:val="32"/>
          <w:szCs w:val="32"/>
          <w:shd w:val="clear" w:color="auto" w:fill="FFFFFF"/>
        </w:rPr>
        <w:t>我单位属于差额拨款单位</w:t>
      </w:r>
      <w:r>
        <w:rPr>
          <w:rFonts w:hint="default" w:ascii="Times New Roman" w:hAnsi="Times New Roman" w:eastAsia="方正仿宋_GBK" w:cs="Times New Roman"/>
          <w:color w:val="auto"/>
          <w:sz w:val="32"/>
          <w:szCs w:val="32"/>
        </w:rPr>
        <w:t>，财政未保障我单位会议费和培训费。</w:t>
      </w:r>
    </w:p>
    <w:p>
      <w:pPr>
        <w:pStyle w:val="7"/>
        <w:keepNext w:val="0"/>
        <w:keepLines w:val="0"/>
        <w:pageBreakBefore w:val="0"/>
        <w:kinsoku/>
        <w:wordWrap/>
        <w:overflowPunct/>
        <w:topLinePunct w:val="0"/>
        <w:autoSpaceDE w:val="0"/>
        <w:autoSpaceDN/>
        <w:bidi w:val="0"/>
        <w:adjustRightInd/>
        <w:spacing w:beforeAutospacing="0" w:afterAutospacing="0" w:line="594" w:lineRule="exact"/>
        <w:textAlignment w:val="auto"/>
        <w:rPr>
          <w:rFonts w:hint="default" w:ascii="方正楷体_GBK" w:hAnsi="方正楷体_GBK" w:eastAsia="方正楷体_GBK" w:cs="方正楷体_GBK"/>
          <w:b w:val="0"/>
          <w:bCs w:val="0"/>
          <w:color w:val="auto"/>
          <w:sz w:val="32"/>
          <w:szCs w:val="32"/>
          <w:shd w:val="clear" w:color="auto" w:fill="FFFFFF"/>
        </w:rPr>
      </w:pPr>
      <w:r>
        <w:rPr>
          <w:rFonts w:hint="default" w:ascii="方正楷体_GBK" w:hAnsi="方正楷体_GBK" w:eastAsia="方正楷体_GBK" w:cs="方正楷体_GBK"/>
          <w:b w:val="0"/>
          <w:bCs w:val="0"/>
          <w:color w:val="auto"/>
          <w:sz w:val="32"/>
          <w:szCs w:val="32"/>
          <w:shd w:val="clear" w:color="auto" w:fill="FFFFFF"/>
        </w:rPr>
        <w:t>（二）机关运行经费情况说明</w:t>
      </w:r>
    </w:p>
    <w:p>
      <w:pPr>
        <w:pStyle w:val="2"/>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按照部门决算列报口径，我单位不在机关运行经费统计范围之内。</w:t>
      </w:r>
    </w:p>
    <w:p>
      <w:pPr>
        <w:pStyle w:val="7"/>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default" w:ascii="方正楷体_GBK" w:hAnsi="方正楷体_GBK" w:eastAsia="方正楷体_GBK" w:cs="方正楷体_GBK"/>
          <w:b w:val="0"/>
          <w:bCs w:val="0"/>
          <w:color w:val="auto"/>
          <w:sz w:val="32"/>
          <w:szCs w:val="32"/>
          <w:shd w:val="clear" w:color="auto" w:fill="FFFFFF"/>
        </w:rPr>
      </w:pPr>
      <w:r>
        <w:rPr>
          <w:rFonts w:hint="default" w:ascii="方正楷体_GBK" w:hAnsi="方正楷体_GBK" w:eastAsia="方正楷体_GBK" w:cs="方正楷体_GBK"/>
          <w:b w:val="0"/>
          <w:bCs w:val="0"/>
          <w:color w:val="auto"/>
          <w:sz w:val="32"/>
          <w:szCs w:val="32"/>
          <w:shd w:val="clear" w:color="auto" w:fill="FFFFFF"/>
        </w:rPr>
        <w:t>（三）国有资产占用情况说明</w:t>
      </w:r>
    </w:p>
    <w:p>
      <w:pPr>
        <w:pStyle w:val="2"/>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截至</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12月31日，本单位共有车辆</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辆、主要负责人用车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辆、机要通信用车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辆、应急保障用车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shd w:val="clear" w:color="auto" w:fill="FFFFFF"/>
        </w:rPr>
        <w:t>辆</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离退休干部用车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辆。单价100万元（含）以上专用设备</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台（套）。</w:t>
      </w:r>
    </w:p>
    <w:p>
      <w:pPr>
        <w:pStyle w:val="7"/>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default" w:ascii="方正楷体_GBK" w:hAnsi="方正楷体_GBK" w:eastAsia="方正楷体_GBK" w:cs="方正楷体_GBK"/>
          <w:b w:val="0"/>
          <w:bCs w:val="0"/>
          <w:color w:val="auto"/>
          <w:sz w:val="32"/>
          <w:szCs w:val="32"/>
          <w:shd w:val="clear" w:color="auto" w:fill="FFFFFF"/>
        </w:rPr>
      </w:pPr>
      <w:r>
        <w:rPr>
          <w:rFonts w:hint="default" w:ascii="方正楷体_GBK" w:hAnsi="方正楷体_GBK" w:eastAsia="方正楷体_GBK" w:cs="方正楷体_GBK"/>
          <w:b w:val="0"/>
          <w:bCs w:val="0"/>
          <w:color w:val="auto"/>
          <w:sz w:val="32"/>
          <w:szCs w:val="32"/>
          <w:shd w:val="clear" w:color="auto" w:fill="FFFFFF"/>
        </w:rPr>
        <w:t>（四）政府采购支出情况说明</w:t>
      </w:r>
    </w:p>
    <w:p>
      <w:pPr>
        <w:pStyle w:val="2"/>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度本单位政府采购支出总额</w:t>
      </w:r>
      <w:r>
        <w:rPr>
          <w:rFonts w:hint="default" w:ascii="Times New Roman" w:hAnsi="Times New Roman" w:eastAsia="方正仿宋_GBK" w:cs="Times New Roman"/>
          <w:color w:val="auto"/>
          <w:sz w:val="32"/>
          <w:szCs w:val="32"/>
        </w:rPr>
        <w:t>0.25</w:t>
      </w:r>
      <w:r>
        <w:rPr>
          <w:rFonts w:hint="default" w:ascii="Times New Roman" w:hAnsi="Times New Roman" w:eastAsia="方正仿宋_GBK" w:cs="Times New Roman"/>
          <w:color w:val="auto"/>
          <w:sz w:val="32"/>
          <w:szCs w:val="32"/>
          <w:shd w:val="clear" w:color="auto" w:fill="FFFFFF"/>
        </w:rPr>
        <w:t>万元，其中</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政府采购货物支出</w:t>
      </w:r>
      <w:r>
        <w:rPr>
          <w:rFonts w:hint="default" w:ascii="Times New Roman" w:hAnsi="Times New Roman" w:eastAsia="方正仿宋_GBK" w:cs="Times New Roman"/>
          <w:color w:val="auto"/>
          <w:sz w:val="32"/>
          <w:szCs w:val="32"/>
        </w:rPr>
        <w:t>0.25</w:t>
      </w:r>
      <w:r>
        <w:rPr>
          <w:rFonts w:hint="default" w:ascii="Times New Roman" w:hAnsi="Times New Roman" w:eastAsia="方正仿宋_GBK" w:cs="Times New Roman"/>
          <w:color w:val="auto"/>
          <w:sz w:val="32"/>
          <w:szCs w:val="32"/>
          <w:shd w:val="clear" w:color="auto" w:fill="FFFFFF"/>
        </w:rPr>
        <w:t>万元、政府采购工程支出</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万元、政府采购服务支出</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万元。授予中小企业合同金额</w:t>
      </w:r>
      <w:r>
        <w:rPr>
          <w:rFonts w:hint="default" w:ascii="Times New Roman" w:hAnsi="Times New Roman" w:eastAsia="方正仿宋_GBK" w:cs="Times New Roman"/>
          <w:color w:val="auto"/>
          <w:sz w:val="32"/>
          <w:szCs w:val="32"/>
        </w:rPr>
        <w:t>0.25万</w:t>
      </w:r>
      <w:r>
        <w:rPr>
          <w:rFonts w:hint="default" w:ascii="Times New Roman" w:hAnsi="Times New Roman" w:eastAsia="方正仿宋_GBK" w:cs="Times New Roman"/>
          <w:color w:val="auto"/>
          <w:sz w:val="32"/>
          <w:szCs w:val="32"/>
          <w:shd w:val="clear" w:color="auto" w:fill="FFFFFF"/>
        </w:rPr>
        <w:t>元，占政府采购支出总额的</w:t>
      </w:r>
      <w:r>
        <w:rPr>
          <w:rFonts w:hint="default" w:ascii="Times New Roman" w:hAnsi="Times New Roman" w:eastAsia="方正仿宋_GBK" w:cs="Times New Roman"/>
          <w:color w:val="auto"/>
          <w:sz w:val="32"/>
          <w:szCs w:val="32"/>
        </w:rPr>
        <w:t>100.0%</w:t>
      </w:r>
      <w:r>
        <w:rPr>
          <w:rFonts w:hint="default" w:ascii="Times New Roman" w:hAnsi="Times New Roman" w:eastAsia="方正仿宋_GBK" w:cs="Times New Roman"/>
          <w:color w:val="auto"/>
          <w:sz w:val="32"/>
          <w:szCs w:val="32"/>
          <w:shd w:val="clear" w:color="auto" w:fill="FFFFFF"/>
        </w:rPr>
        <w:t>，其中</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授予小微企业合同金额</w:t>
      </w:r>
      <w:r>
        <w:rPr>
          <w:rFonts w:hint="default" w:ascii="Times New Roman" w:hAnsi="Times New Roman" w:eastAsia="方正仿宋_GBK" w:cs="Times New Roman"/>
          <w:color w:val="auto"/>
          <w:sz w:val="32"/>
          <w:szCs w:val="32"/>
        </w:rPr>
        <w:t>0.25</w:t>
      </w:r>
      <w:r>
        <w:rPr>
          <w:rFonts w:hint="default" w:ascii="Times New Roman" w:hAnsi="Times New Roman" w:eastAsia="方正仿宋_GBK" w:cs="Times New Roman"/>
          <w:color w:val="auto"/>
          <w:sz w:val="32"/>
          <w:szCs w:val="32"/>
          <w:shd w:val="clear" w:color="auto" w:fill="FFFFFF"/>
        </w:rPr>
        <w:t>万元，占政府采购支出总额的</w:t>
      </w:r>
      <w:r>
        <w:rPr>
          <w:rFonts w:hint="default" w:ascii="Times New Roman" w:hAnsi="Times New Roman" w:eastAsia="方正仿宋_GBK" w:cs="Times New Roman"/>
          <w:color w:val="auto"/>
          <w:sz w:val="32"/>
          <w:szCs w:val="32"/>
        </w:rPr>
        <w:t>100.0</w:t>
      </w:r>
      <w:r>
        <w:rPr>
          <w:rFonts w:hint="default" w:ascii="Times New Roman" w:hAnsi="Times New Roman" w:eastAsia="方正仿宋_GBK" w:cs="Times New Roman"/>
          <w:color w:val="auto"/>
          <w:sz w:val="32"/>
          <w:szCs w:val="32"/>
          <w:shd w:val="clear" w:color="auto" w:fill="FFFFFF"/>
        </w:rPr>
        <w:t>%。主要用于采购</w:t>
      </w:r>
      <w:r>
        <w:rPr>
          <w:rFonts w:hint="default" w:ascii="Times New Roman" w:hAnsi="Times New Roman" w:eastAsia="方正仿宋_GBK" w:cs="Times New Roman"/>
          <w:color w:val="auto"/>
          <w:sz w:val="32"/>
          <w:szCs w:val="32"/>
          <w:shd w:val="clear" w:color="auto" w:fill="FFFFFF"/>
          <w:lang w:val="en-US" w:eastAsia="zh-CN"/>
        </w:rPr>
        <w:t>办公耗材、电脑、打印机</w:t>
      </w:r>
      <w:r>
        <w:rPr>
          <w:rFonts w:hint="default" w:ascii="Times New Roman" w:hAnsi="Times New Roman" w:eastAsia="方正仿宋_GBK" w:cs="Times New Roman"/>
          <w:color w:val="auto"/>
          <w:sz w:val="32"/>
          <w:szCs w:val="32"/>
          <w:shd w:val="clear" w:color="auto" w:fill="FFFFFF"/>
        </w:rPr>
        <w:t>。</w:t>
      </w:r>
    </w:p>
    <w:p>
      <w:pPr>
        <w:pStyle w:val="8"/>
        <w:keepNext w:val="0"/>
        <w:keepLines w:val="0"/>
        <w:pageBreakBefore w:val="0"/>
        <w:tabs>
          <w:tab w:val="center" w:pos="4153"/>
          <w:tab w:val="left" w:pos="7275"/>
        </w:tabs>
        <w:kinsoku/>
        <w:wordWrap/>
        <w:overflowPunct/>
        <w:topLinePunct w:val="0"/>
        <w:autoSpaceDN/>
        <w:bidi w:val="0"/>
        <w:adjustRightInd/>
        <w:spacing w:beforeAutospacing="0" w:afterAutospacing="0" w:line="594" w:lineRule="exact"/>
        <w:ind w:firstLine="640" w:firstLineChars="200"/>
        <w:textAlignment w:val="auto"/>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rPr>
        <w:t>五、预算绩效管理情况说明</w:t>
      </w:r>
    </w:p>
    <w:p>
      <w:pPr>
        <w:pStyle w:val="2"/>
        <w:keepNext w:val="0"/>
        <w:keepLines w:val="0"/>
        <w:pageBreakBefore w:val="0"/>
        <w:widowControl w:val="0"/>
        <w:suppressLineNumbers w:val="0"/>
        <w:kinsoku/>
        <w:wordWrap/>
        <w:overflowPunct/>
        <w:topLinePunct w:val="0"/>
        <w:autoSpaceDN/>
        <w:bidi w:val="0"/>
        <w:adjustRightInd/>
        <w:spacing w:before="0" w:beforeAutospacing="0" w:after="0" w:afterAutospacing="0" w:line="594" w:lineRule="exact"/>
        <w:ind w:left="0" w:right="0" w:firstLine="640" w:firstLineChars="200"/>
        <w:jc w:val="both"/>
        <w:textAlignment w:val="auto"/>
        <w:rPr>
          <w:rFonts w:hint="default" w:ascii="Times New Roman" w:hAnsi="Times New Roman" w:eastAsia="方正楷体_GBK" w:cs="Times New Roman"/>
          <w:b w:val="0"/>
          <w:color w:val="auto"/>
          <w:kern w:val="2"/>
          <w:sz w:val="32"/>
          <w:szCs w:val="32"/>
          <w:highlight w:val="none"/>
          <w:shd w:val="clear" w:color="auto" w:fill="FFFFFF"/>
        </w:rPr>
      </w:pPr>
      <w:r>
        <w:rPr>
          <w:rFonts w:hint="default" w:ascii="Times New Roman" w:hAnsi="Times New Roman" w:eastAsia="方正楷体_GBK" w:cs="Times New Roman"/>
          <w:b w:val="0"/>
          <w:color w:val="auto"/>
          <w:kern w:val="2"/>
          <w:sz w:val="32"/>
          <w:szCs w:val="32"/>
          <w:highlight w:val="none"/>
          <w:shd w:val="clear" w:color="auto" w:fill="FFFFFF"/>
          <w:lang w:val="en-US" w:eastAsia="zh-CN" w:bidi="ar"/>
        </w:rPr>
        <w:t>（一）预算绩效管理工作开展情况</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根据预算绩效管理要求，我单位对基本公共服务区级配套（重点性）1个项目开展了绩效自评，涉及财政拨款项目支出资金</w:t>
      </w:r>
      <w:r>
        <w:rPr>
          <w:rFonts w:hint="eastAsia" w:ascii="Times New Roman" w:hAnsi="Times New Roman" w:eastAsia="方正仿宋_GBK" w:cs="Times New Roman"/>
          <w:color w:val="auto"/>
          <w:kern w:val="0"/>
          <w:sz w:val="32"/>
          <w:szCs w:val="32"/>
          <w:highlight w:val="none"/>
          <w:lang w:val="en-US" w:eastAsia="zh-CN" w:bidi="ar"/>
        </w:rPr>
        <w:t>105</w:t>
      </w:r>
      <w:r>
        <w:rPr>
          <w:rFonts w:hint="default" w:ascii="Times New Roman" w:hAnsi="Times New Roman" w:eastAsia="方正仿宋_GBK" w:cs="Times New Roman"/>
          <w:color w:val="auto"/>
          <w:kern w:val="0"/>
          <w:sz w:val="32"/>
          <w:szCs w:val="32"/>
          <w:highlight w:val="none"/>
          <w:lang w:val="en-US" w:eastAsia="zh-CN" w:bidi="ar"/>
        </w:rPr>
        <w:t>万元（</w:t>
      </w:r>
      <w:r>
        <w:rPr>
          <w:rFonts w:hint="default" w:ascii="Times New Roman" w:hAnsi="Times New Roman" w:eastAsia="方正仿宋_GBK" w:cs="Times New Roman"/>
          <w:color w:val="auto"/>
          <w:kern w:val="0"/>
          <w:sz w:val="32"/>
          <w:szCs w:val="32"/>
          <w:highlight w:val="none"/>
        </w:rPr>
        <w:t>等于部门决算项目支出的合计数</w:t>
      </w:r>
      <w:r>
        <w:rPr>
          <w:rFonts w:hint="default" w:ascii="Times New Roman" w:hAnsi="Times New Roman" w:eastAsia="方正仿宋_GBK" w:cs="Times New Roman"/>
          <w:color w:val="auto"/>
          <w:kern w:val="0"/>
          <w:sz w:val="32"/>
          <w:szCs w:val="32"/>
          <w:highlight w:val="none"/>
          <w:lang w:val="en-US" w:eastAsia="zh-CN" w:bidi="ar"/>
        </w:rPr>
        <w:t>）。</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firstLine="640" w:firstLineChars="200"/>
        <w:jc w:val="left"/>
        <w:textAlignment w:val="auto"/>
        <w:rPr>
          <w:rFonts w:hint="default" w:ascii="Times New Roman" w:hAnsi="Times New Roman" w:eastAsia="方正楷体_GBK" w:cs="Times New Roman"/>
          <w:color w:val="auto"/>
          <w:kern w:val="0"/>
          <w:sz w:val="32"/>
          <w:szCs w:val="32"/>
          <w:highlight w:val="none"/>
        </w:rPr>
      </w:pPr>
      <w:r>
        <w:rPr>
          <w:rFonts w:hint="default" w:ascii="Times New Roman" w:hAnsi="Times New Roman" w:eastAsia="方正楷体_GBK" w:cs="Times New Roman"/>
          <w:b w:val="0"/>
          <w:color w:val="auto"/>
          <w:kern w:val="2"/>
          <w:sz w:val="32"/>
          <w:szCs w:val="32"/>
          <w:highlight w:val="none"/>
          <w:shd w:val="clear" w:color="auto" w:fill="FFFFFF"/>
          <w:lang w:val="en-US" w:eastAsia="zh-CN" w:bidi="ar"/>
        </w:rPr>
        <w:t>（二）</w:t>
      </w:r>
      <w:r>
        <w:rPr>
          <w:rFonts w:hint="default" w:ascii="Times New Roman" w:hAnsi="Times New Roman" w:eastAsia="方正楷体_GBK" w:cs="Times New Roman"/>
          <w:color w:val="auto"/>
          <w:kern w:val="0"/>
          <w:sz w:val="32"/>
          <w:szCs w:val="32"/>
          <w:highlight w:val="none"/>
          <w:lang w:val="en-US" w:eastAsia="zh-CN" w:bidi="ar"/>
        </w:rPr>
        <w:t>绩效自评结果</w:t>
      </w:r>
    </w:p>
    <w:p>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auto"/>
          <w:kern w:val="2"/>
          <w:sz w:val="32"/>
          <w:szCs w:val="32"/>
          <w:highlight w:val="none"/>
          <w:shd w:val="clear" w:color="auto" w:fill="FFFFFF"/>
        </w:rPr>
      </w:pPr>
      <w:r>
        <w:rPr>
          <w:rFonts w:hint="default" w:ascii="Times New Roman" w:hAnsi="Times New Roman" w:eastAsia="方正仿宋_GBK" w:cs="Times New Roman"/>
          <w:color w:val="auto"/>
          <w:kern w:val="0"/>
          <w:sz w:val="32"/>
          <w:szCs w:val="32"/>
          <w:highlight w:val="none"/>
          <w:lang w:val="en-US" w:eastAsia="zh-CN" w:bidi="ar"/>
        </w:rPr>
        <w:t>绩效自评结果详见附件2024年度绩效自评公开表（《部门整体绩效自评表》、《项目绩效自评结果汇总表》、《项目支出绩效自评表》）。</w:t>
      </w:r>
    </w:p>
    <w:p>
      <w:pPr>
        <w:pStyle w:val="2"/>
        <w:keepNext w:val="0"/>
        <w:keepLines w:val="0"/>
        <w:pageBreakBefore w:val="0"/>
        <w:widowControl w:val="0"/>
        <w:suppressLineNumbers w:val="0"/>
        <w:kinsoku/>
        <w:wordWrap/>
        <w:overflowPunct/>
        <w:topLinePunct w:val="0"/>
        <w:autoSpaceDN/>
        <w:bidi w:val="0"/>
        <w:adjustRightInd/>
        <w:spacing w:before="0" w:beforeAutospacing="0" w:after="0" w:afterAutospacing="0" w:line="594" w:lineRule="exact"/>
        <w:ind w:left="0" w:right="0" w:firstLine="640" w:firstLineChars="200"/>
        <w:jc w:val="both"/>
        <w:textAlignment w:val="auto"/>
        <w:rPr>
          <w:rFonts w:hint="default" w:ascii="Times New Roman" w:hAnsi="Times New Roman" w:eastAsia="方正楷体_GBK" w:cs="Times New Roman"/>
          <w:b w:val="0"/>
          <w:color w:val="auto"/>
          <w:kern w:val="2"/>
          <w:sz w:val="32"/>
          <w:szCs w:val="32"/>
          <w:highlight w:val="none"/>
          <w:shd w:val="clear" w:color="auto" w:fill="FFFFFF"/>
        </w:rPr>
      </w:pPr>
      <w:r>
        <w:rPr>
          <w:rFonts w:hint="default" w:ascii="Times New Roman" w:hAnsi="Times New Roman" w:eastAsia="方正楷体_GBK" w:cs="Times New Roman"/>
          <w:b w:val="0"/>
          <w:color w:val="auto"/>
          <w:kern w:val="2"/>
          <w:sz w:val="32"/>
          <w:szCs w:val="32"/>
          <w:highlight w:val="none"/>
          <w:shd w:val="clear" w:color="auto" w:fill="FFFFFF"/>
          <w:lang w:val="en-US" w:eastAsia="zh-CN" w:bidi="ar"/>
        </w:rPr>
        <w:t>（三）财政绩效评价情况</w:t>
      </w:r>
    </w:p>
    <w:p>
      <w:pPr>
        <w:pStyle w:val="2"/>
        <w:keepNext w:val="0"/>
        <w:keepLines w:val="0"/>
        <w:pageBreakBefore w:val="0"/>
        <w:widowControl w:val="0"/>
        <w:suppressLineNumbers w:val="0"/>
        <w:kinsoku/>
        <w:wordWrap/>
        <w:overflowPunct/>
        <w:topLinePunct w:val="0"/>
        <w:autoSpaceDN/>
        <w:bidi w:val="0"/>
        <w:adjustRightInd/>
        <w:spacing w:before="0" w:beforeAutospacing="0" w:after="0" w:afterAutospacing="0" w:line="594" w:lineRule="exact"/>
        <w:ind w:left="0" w:right="0" w:firstLine="640" w:firstLineChars="200"/>
        <w:jc w:val="both"/>
        <w:textAlignment w:val="auto"/>
        <w:rPr>
          <w:rStyle w:val="5"/>
          <w:rFonts w:hint="default" w:ascii="Times New Roman" w:hAnsi="Times New Roman" w:eastAsia="方正楷体_GBK" w:cs="Times New Roman"/>
          <w:color w:val="auto"/>
          <w:sz w:val="32"/>
          <w:szCs w:val="32"/>
          <w:highlight w:val="none"/>
          <w:shd w:val="clear" w:color="auto" w:fill="FFFFFF"/>
        </w:rPr>
      </w:pPr>
      <w:r>
        <w:rPr>
          <w:rFonts w:hint="default" w:ascii="Times New Roman" w:hAnsi="Times New Roman" w:eastAsia="方正仿宋_GBK" w:cs="Times New Roman"/>
          <w:color w:val="auto"/>
          <w:kern w:val="0"/>
          <w:sz w:val="32"/>
          <w:szCs w:val="32"/>
          <w:highlight w:val="none"/>
          <w:lang w:val="en-US" w:eastAsia="zh-CN" w:bidi="ar"/>
        </w:rPr>
        <w:t>区财政局未委托第三方对我单位开展绩效评价。</w:t>
      </w:r>
    </w:p>
    <w:p>
      <w:pPr>
        <w:pStyle w:val="9"/>
        <w:keepNext w:val="0"/>
        <w:keepLines w:val="0"/>
        <w:pageBreakBefore w:val="0"/>
        <w:widowControl/>
        <w:kinsoku/>
        <w:wordWrap/>
        <w:overflowPunct/>
        <w:topLinePunct w:val="0"/>
        <w:autoSpaceDE w:val="0"/>
        <w:autoSpaceDN/>
        <w:bidi w:val="0"/>
        <w:adjustRightInd/>
        <w:snapToGrid/>
        <w:spacing w:before="0" w:beforeAutospacing="0" w:after="0" w:afterAutospacing="0" w:line="594" w:lineRule="exact"/>
        <w:ind w:firstLine="640" w:firstLineChars="200"/>
        <w:textAlignment w:val="auto"/>
        <w:rPr>
          <w:rFonts w:hint="eastAsia" w:ascii="方正黑体_GBK" w:hAnsi="方正黑体_GBK" w:eastAsia="方正黑体_GBK" w:cs="方正黑体_GBK"/>
          <w:b w:val="0"/>
          <w:bCs/>
          <w:color w:val="auto"/>
          <w:kern w:val="0"/>
          <w:sz w:val="32"/>
          <w:szCs w:val="32"/>
        </w:rPr>
      </w:pPr>
      <w:r>
        <w:rPr>
          <w:rStyle w:val="5"/>
          <w:rFonts w:hint="eastAsia" w:ascii="方正黑体_GBK" w:hAnsi="方正黑体_GBK" w:eastAsia="方正黑体_GBK" w:cs="方正黑体_GBK"/>
          <w:b w:val="0"/>
          <w:bCs/>
          <w:color w:val="auto"/>
          <w:sz w:val="32"/>
          <w:szCs w:val="32"/>
          <w:shd w:val="clear" w:color="auto" w:fill="FFFFFF"/>
          <w:lang w:val="en-US" w:eastAsia="zh-CN" w:bidi="ar-SA"/>
        </w:rPr>
        <w:t>六、专业名词解释</w:t>
      </w:r>
    </w:p>
    <w:p>
      <w:pPr>
        <w:pStyle w:val="9"/>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shd w:val="clear" w:fill="FFFFFF"/>
        </w:rPr>
      </w:pPr>
      <w:r>
        <w:rPr>
          <w:rFonts w:hint="default" w:ascii="Times New Roman" w:hAnsi="Times New Roman" w:eastAsia="方正仿宋_GBK" w:cs="Times New Roman"/>
          <w:b/>
          <w:bCs/>
          <w:color w:val="auto"/>
          <w:kern w:val="0"/>
          <w:sz w:val="32"/>
          <w:szCs w:val="32"/>
          <w:shd w:val="clear" w:fill="FFFFFF"/>
          <w:lang w:val="en-US" w:eastAsia="zh-CN"/>
        </w:rPr>
        <w:t>（一）财政拨款收入：</w:t>
      </w:r>
      <w:r>
        <w:rPr>
          <w:rFonts w:hint="default" w:ascii="Times New Roman" w:hAnsi="Times New Roman" w:eastAsia="方正仿宋_GBK" w:cs="Times New Roman"/>
          <w:color w:val="auto"/>
          <w:kern w:val="0"/>
          <w:sz w:val="32"/>
          <w:szCs w:val="32"/>
          <w:shd w:val="clear" w:fill="FFFFFF"/>
        </w:rPr>
        <w:t>指本年度从本级财政部门取得的财政拨款，包括一般公共预算财政拨款和政府性基金预算财政拨款。</w:t>
      </w:r>
    </w:p>
    <w:p>
      <w:pPr>
        <w:pStyle w:val="9"/>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shd w:val="clear" w:fill="FFFFFF"/>
        </w:rPr>
      </w:pPr>
      <w:r>
        <w:rPr>
          <w:rFonts w:hint="default" w:ascii="Times New Roman" w:hAnsi="Times New Roman" w:eastAsia="方正仿宋_GBK" w:cs="Times New Roman"/>
          <w:b/>
          <w:bCs/>
          <w:color w:val="auto"/>
          <w:kern w:val="0"/>
          <w:sz w:val="32"/>
          <w:szCs w:val="32"/>
          <w:shd w:val="clear" w:fill="FFFFFF"/>
          <w:lang w:val="en-US" w:eastAsia="zh-CN"/>
        </w:rPr>
        <w:t>（二）事业收入：</w:t>
      </w:r>
      <w:r>
        <w:rPr>
          <w:rFonts w:hint="default" w:ascii="Times New Roman" w:hAnsi="Times New Roman" w:eastAsia="方正仿宋_GBK" w:cs="Times New Roman"/>
          <w:color w:val="auto"/>
          <w:kern w:val="0"/>
          <w:sz w:val="32"/>
          <w:szCs w:val="32"/>
          <w:shd w:val="clear" w:fill="FFFFFF"/>
        </w:rPr>
        <w:t>指事业单位开展专业业务活动及其辅助活动取得的现金流入；事业单位收到的财政专户实际核拨的教育收费等资金在此反映。</w:t>
      </w:r>
    </w:p>
    <w:p>
      <w:pPr>
        <w:pStyle w:val="9"/>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shd w:val="clear" w:fill="FFFFFF"/>
        </w:rPr>
      </w:pPr>
      <w:r>
        <w:rPr>
          <w:rFonts w:hint="default" w:ascii="Times New Roman" w:hAnsi="Times New Roman" w:eastAsia="方正仿宋_GBK" w:cs="Times New Roman"/>
          <w:b/>
          <w:bCs/>
          <w:color w:val="auto"/>
          <w:kern w:val="0"/>
          <w:sz w:val="32"/>
          <w:szCs w:val="32"/>
          <w:shd w:val="clear" w:fill="FFFFFF"/>
          <w:lang w:val="en-US" w:eastAsia="zh-CN"/>
        </w:rPr>
        <w:t>（三）经营收入：</w:t>
      </w:r>
      <w:r>
        <w:rPr>
          <w:rFonts w:hint="default" w:ascii="Times New Roman" w:hAnsi="Times New Roman" w:eastAsia="方正仿宋_GBK" w:cs="Times New Roman"/>
          <w:color w:val="auto"/>
          <w:kern w:val="0"/>
          <w:sz w:val="32"/>
          <w:szCs w:val="32"/>
          <w:shd w:val="clear" w:fill="FFFFFF"/>
        </w:rPr>
        <w:t>指事业单位在专业业务活动及其辅助活动之外开展非独立核算经营活动取得的现金流入。</w:t>
      </w:r>
    </w:p>
    <w:p>
      <w:pPr>
        <w:pStyle w:val="9"/>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shd w:val="clear" w:fill="FFFFFF"/>
        </w:rPr>
      </w:pPr>
      <w:r>
        <w:rPr>
          <w:rFonts w:hint="default" w:ascii="Times New Roman" w:hAnsi="Times New Roman" w:eastAsia="方正仿宋_GBK" w:cs="Times New Roman"/>
          <w:b/>
          <w:bCs/>
          <w:color w:val="auto"/>
          <w:kern w:val="0"/>
          <w:sz w:val="32"/>
          <w:szCs w:val="32"/>
          <w:shd w:val="clear" w:fill="FFFFFF"/>
          <w:lang w:val="en-US" w:eastAsia="zh-CN"/>
        </w:rPr>
        <w:t>（四）其他收入：</w:t>
      </w:r>
      <w:r>
        <w:rPr>
          <w:rFonts w:hint="default" w:ascii="Times New Roman" w:hAnsi="Times New Roman" w:eastAsia="方正仿宋_GBK" w:cs="Times New Roman"/>
          <w:color w:val="auto"/>
          <w:kern w:val="0"/>
          <w:sz w:val="32"/>
          <w:szCs w:val="32"/>
          <w:shd w:val="clear" w:fill="FFFFFF"/>
        </w:rPr>
        <w:t>指单位取得的除“财政拨款收入</w:t>
      </w:r>
      <w:r>
        <w:rPr>
          <w:rFonts w:hint="eastAsia" w:ascii="Times New Roman" w:hAnsi="Times New Roman" w:eastAsia="方正仿宋_GBK" w:cs="Times New Roman"/>
          <w:color w:val="auto"/>
          <w:kern w:val="0"/>
          <w:sz w:val="32"/>
          <w:szCs w:val="32"/>
          <w:shd w:val="clear" w:fill="FFFFFF"/>
          <w:lang w:eastAsia="zh-CN"/>
        </w:rPr>
        <w:t>”“</w:t>
      </w:r>
      <w:r>
        <w:rPr>
          <w:rFonts w:hint="default" w:ascii="Times New Roman" w:hAnsi="Times New Roman" w:eastAsia="方正仿宋_GBK" w:cs="Times New Roman"/>
          <w:color w:val="auto"/>
          <w:kern w:val="0"/>
          <w:sz w:val="32"/>
          <w:szCs w:val="32"/>
          <w:shd w:val="clear" w:fill="FFFFFF"/>
        </w:rPr>
        <w:t>事业收入</w:t>
      </w:r>
      <w:r>
        <w:rPr>
          <w:rFonts w:hint="eastAsia" w:ascii="Times New Roman" w:hAnsi="Times New Roman" w:eastAsia="方正仿宋_GBK" w:cs="Times New Roman"/>
          <w:color w:val="auto"/>
          <w:kern w:val="0"/>
          <w:sz w:val="32"/>
          <w:szCs w:val="32"/>
          <w:shd w:val="clear" w:fill="FFFFFF"/>
          <w:lang w:eastAsia="zh-CN"/>
        </w:rPr>
        <w:t>”“</w:t>
      </w:r>
      <w:r>
        <w:rPr>
          <w:rFonts w:hint="default" w:ascii="Times New Roman" w:hAnsi="Times New Roman" w:eastAsia="方正仿宋_GBK" w:cs="Times New Roman"/>
          <w:color w:val="auto"/>
          <w:kern w:val="0"/>
          <w:sz w:val="32"/>
          <w:szCs w:val="32"/>
          <w:shd w:val="clear"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shd w:val="clear" w:fill="FFFFFF"/>
        </w:rPr>
      </w:pPr>
      <w:r>
        <w:rPr>
          <w:rFonts w:hint="default" w:ascii="Times New Roman" w:hAnsi="Times New Roman" w:eastAsia="方正仿宋_GBK" w:cs="Times New Roman"/>
          <w:b/>
          <w:bCs/>
          <w:color w:val="auto"/>
          <w:kern w:val="0"/>
          <w:sz w:val="32"/>
          <w:szCs w:val="32"/>
          <w:shd w:val="clear" w:fill="FFFFFF"/>
          <w:lang w:val="en-US" w:eastAsia="zh-CN"/>
        </w:rPr>
        <w:t>（五）使用非财政拨款结余：</w:t>
      </w:r>
      <w:r>
        <w:rPr>
          <w:rFonts w:hint="default" w:ascii="Times New Roman" w:hAnsi="Times New Roman" w:eastAsia="方正仿宋_GBK" w:cs="Times New Roman"/>
          <w:color w:val="auto"/>
          <w:kern w:val="0"/>
          <w:sz w:val="32"/>
          <w:szCs w:val="32"/>
          <w:shd w:val="clear" w:fill="FFFFFF"/>
        </w:rPr>
        <w:t>指单位在当年的“财政拨款收入</w:t>
      </w:r>
      <w:r>
        <w:rPr>
          <w:rFonts w:hint="eastAsia" w:ascii="Times New Roman" w:hAnsi="Times New Roman" w:eastAsia="方正仿宋_GBK" w:cs="Times New Roman"/>
          <w:color w:val="auto"/>
          <w:kern w:val="0"/>
          <w:sz w:val="32"/>
          <w:szCs w:val="32"/>
          <w:shd w:val="clear" w:fill="FFFFFF"/>
          <w:lang w:eastAsia="zh-CN"/>
        </w:rPr>
        <w:t>”“</w:t>
      </w:r>
      <w:r>
        <w:rPr>
          <w:rFonts w:hint="default" w:ascii="Times New Roman" w:hAnsi="Times New Roman" w:eastAsia="方正仿宋_GBK" w:cs="Times New Roman"/>
          <w:color w:val="auto"/>
          <w:kern w:val="0"/>
          <w:sz w:val="32"/>
          <w:szCs w:val="32"/>
          <w:shd w:val="clear" w:fill="FFFFFF"/>
        </w:rPr>
        <w:t>事业收入</w:t>
      </w:r>
      <w:r>
        <w:rPr>
          <w:rFonts w:hint="eastAsia" w:ascii="Times New Roman" w:hAnsi="Times New Roman" w:eastAsia="方正仿宋_GBK" w:cs="Times New Roman"/>
          <w:color w:val="auto"/>
          <w:kern w:val="0"/>
          <w:sz w:val="32"/>
          <w:szCs w:val="32"/>
          <w:shd w:val="clear" w:fill="FFFFFF"/>
          <w:lang w:eastAsia="zh-CN"/>
        </w:rPr>
        <w:t>”“</w:t>
      </w:r>
      <w:r>
        <w:rPr>
          <w:rFonts w:hint="default" w:ascii="Times New Roman" w:hAnsi="Times New Roman" w:eastAsia="方正仿宋_GBK" w:cs="Times New Roman"/>
          <w:color w:val="auto"/>
          <w:kern w:val="0"/>
          <w:sz w:val="32"/>
          <w:szCs w:val="32"/>
          <w:shd w:val="clear" w:fill="FFFFFF"/>
        </w:rPr>
        <w:t>经营收入</w:t>
      </w:r>
      <w:r>
        <w:rPr>
          <w:rFonts w:hint="eastAsia" w:ascii="Times New Roman" w:hAnsi="Times New Roman" w:eastAsia="方正仿宋_GBK" w:cs="Times New Roman"/>
          <w:color w:val="auto"/>
          <w:kern w:val="0"/>
          <w:sz w:val="32"/>
          <w:szCs w:val="32"/>
          <w:shd w:val="clear" w:fill="FFFFFF"/>
          <w:lang w:eastAsia="zh-CN"/>
        </w:rPr>
        <w:t>”“</w:t>
      </w:r>
      <w:r>
        <w:rPr>
          <w:rFonts w:hint="default" w:ascii="Times New Roman" w:hAnsi="Times New Roman" w:eastAsia="方正仿宋_GBK" w:cs="Times New Roman"/>
          <w:color w:val="auto"/>
          <w:kern w:val="0"/>
          <w:sz w:val="32"/>
          <w:szCs w:val="32"/>
          <w:shd w:val="clear" w:fill="FFFFFF"/>
        </w:rPr>
        <w:t>其他收入”等不足以安排当年支出的情况下，使用以前年度积累的非财政拨款结余弥补本年度收支缺口的资金。</w:t>
      </w:r>
    </w:p>
    <w:p>
      <w:pPr>
        <w:pStyle w:val="9"/>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shd w:val="clear" w:fill="FFFFFF"/>
        </w:rPr>
      </w:pPr>
      <w:r>
        <w:rPr>
          <w:rFonts w:hint="default" w:ascii="Times New Roman" w:hAnsi="Times New Roman" w:eastAsia="方正仿宋_GBK" w:cs="Times New Roman"/>
          <w:b/>
          <w:bCs/>
          <w:color w:val="auto"/>
          <w:kern w:val="0"/>
          <w:sz w:val="32"/>
          <w:szCs w:val="32"/>
          <w:shd w:val="clear" w:fill="FFFFFF"/>
          <w:lang w:val="en-US" w:eastAsia="zh-CN"/>
        </w:rPr>
        <w:t>（六）年初结转和结余</w:t>
      </w:r>
      <w:r>
        <w:rPr>
          <w:rFonts w:hint="eastAsia" w:ascii="Times New Roman" w:hAnsi="Times New Roman" w:eastAsia="方正仿宋_GBK" w:cs="Times New Roman"/>
          <w:b/>
          <w:bCs/>
          <w:color w:val="auto"/>
          <w:kern w:val="0"/>
          <w:sz w:val="32"/>
          <w:szCs w:val="32"/>
          <w:shd w:val="clear" w:fill="FFFFFF"/>
          <w:lang w:val="en-US" w:eastAsia="zh-CN"/>
        </w:rPr>
        <w:t>：</w:t>
      </w:r>
      <w:r>
        <w:rPr>
          <w:rFonts w:hint="default" w:ascii="Times New Roman" w:hAnsi="Times New Roman" w:eastAsia="方正仿宋_GBK" w:cs="Times New Roman"/>
          <w:color w:val="auto"/>
          <w:kern w:val="0"/>
          <w:sz w:val="32"/>
          <w:szCs w:val="32"/>
          <w:shd w:val="clear" w:fill="FFFFFF"/>
        </w:rPr>
        <w:t>指单位上年结转本年使用的基本支出结转、项目支出结转和结余、经营结余。</w:t>
      </w:r>
    </w:p>
    <w:p>
      <w:pPr>
        <w:pStyle w:val="9"/>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shd w:val="clear" w:fill="FFFFFF"/>
        </w:rPr>
      </w:pPr>
      <w:r>
        <w:rPr>
          <w:rFonts w:hint="default" w:ascii="Times New Roman" w:hAnsi="Times New Roman" w:eastAsia="方正仿宋_GBK" w:cs="Times New Roman"/>
          <w:b/>
          <w:bCs/>
          <w:color w:val="auto"/>
          <w:kern w:val="0"/>
          <w:sz w:val="32"/>
          <w:szCs w:val="32"/>
          <w:shd w:val="clear" w:fill="FFFFFF"/>
          <w:lang w:val="en-US" w:eastAsia="zh-CN"/>
        </w:rPr>
        <w:t>（七）结余分配：</w:t>
      </w:r>
      <w:r>
        <w:rPr>
          <w:rFonts w:hint="default" w:ascii="Times New Roman" w:hAnsi="Times New Roman" w:eastAsia="方正仿宋_GBK" w:cs="Times New Roman"/>
          <w:color w:val="auto"/>
          <w:kern w:val="0"/>
          <w:sz w:val="32"/>
          <w:szCs w:val="32"/>
          <w:shd w:val="clear" w:fill="FFFFFF"/>
        </w:rPr>
        <w:t>指单位按照国家有关规定，缴纳所得税、提取专用基金、转入非财政拨款结余等当年结余的分配情况。</w:t>
      </w:r>
    </w:p>
    <w:p>
      <w:pPr>
        <w:pStyle w:val="9"/>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shd w:val="clear" w:fill="FFFFFF"/>
        </w:rPr>
      </w:pPr>
      <w:r>
        <w:rPr>
          <w:rFonts w:hint="default" w:ascii="Times New Roman" w:hAnsi="Times New Roman" w:eastAsia="方正仿宋_GBK" w:cs="Times New Roman"/>
          <w:b/>
          <w:bCs/>
          <w:color w:val="auto"/>
          <w:kern w:val="0"/>
          <w:sz w:val="32"/>
          <w:szCs w:val="32"/>
          <w:shd w:val="clear" w:fill="FFFFFF"/>
          <w:lang w:val="en-US" w:eastAsia="zh-CN"/>
        </w:rPr>
        <w:t>（八）年末结转和结余：</w:t>
      </w:r>
      <w:r>
        <w:rPr>
          <w:rFonts w:hint="default" w:ascii="Times New Roman" w:hAnsi="Times New Roman" w:eastAsia="方正仿宋_GBK" w:cs="Times New Roman"/>
          <w:color w:val="auto"/>
          <w:kern w:val="0"/>
          <w:sz w:val="32"/>
          <w:szCs w:val="32"/>
          <w:shd w:val="clear" w:fill="FFFFFF"/>
        </w:rPr>
        <w:t>指单位结转下年的基本支出结转、项目支出结转和结余、经营结余。</w:t>
      </w:r>
    </w:p>
    <w:p>
      <w:pPr>
        <w:pStyle w:val="9"/>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shd w:val="clear" w:fill="FFFFFF"/>
        </w:rPr>
      </w:pPr>
      <w:r>
        <w:rPr>
          <w:rFonts w:hint="default" w:ascii="Times New Roman" w:hAnsi="Times New Roman" w:eastAsia="方正仿宋_GBK" w:cs="Times New Roman"/>
          <w:b/>
          <w:bCs/>
          <w:color w:val="auto"/>
          <w:kern w:val="0"/>
          <w:sz w:val="32"/>
          <w:szCs w:val="32"/>
          <w:shd w:val="clear" w:fill="FFFFFF"/>
          <w:lang w:val="en-US" w:eastAsia="zh-CN"/>
        </w:rPr>
        <w:t>（九）基本支出：</w:t>
      </w:r>
      <w:r>
        <w:rPr>
          <w:rFonts w:hint="default" w:ascii="Times New Roman" w:hAnsi="Times New Roman" w:eastAsia="方正仿宋_GBK" w:cs="Times New Roman"/>
          <w:color w:val="auto"/>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eastAsia" w:ascii="Times New Roman" w:hAnsi="Times New Roman" w:eastAsia="方正仿宋_GBK" w:cs="Times New Roman"/>
          <w:color w:val="auto"/>
          <w:kern w:val="0"/>
          <w:sz w:val="32"/>
          <w:szCs w:val="32"/>
          <w:shd w:val="clear" w:fill="FFFFFF"/>
          <w:lang w:eastAsia="zh-CN"/>
        </w:rPr>
      </w:pPr>
      <w:r>
        <w:rPr>
          <w:rFonts w:hint="default" w:ascii="Times New Roman" w:hAnsi="Times New Roman" w:eastAsia="方正仿宋_GBK" w:cs="Times New Roman"/>
          <w:b/>
          <w:bCs/>
          <w:color w:val="auto"/>
          <w:kern w:val="0"/>
          <w:sz w:val="32"/>
          <w:szCs w:val="32"/>
          <w:shd w:val="clear" w:fill="FFFFFF"/>
          <w:lang w:val="en-US" w:eastAsia="zh-CN"/>
        </w:rPr>
        <w:t>（十）项目支出：</w:t>
      </w:r>
      <w:r>
        <w:rPr>
          <w:rFonts w:hint="default" w:ascii="Times New Roman" w:hAnsi="Times New Roman" w:eastAsia="方正仿宋_GBK" w:cs="Times New Roman"/>
          <w:color w:val="auto"/>
          <w:kern w:val="0"/>
          <w:sz w:val="32"/>
          <w:szCs w:val="32"/>
          <w:shd w:val="clear" w:fill="FFFFFF"/>
        </w:rPr>
        <w:t>指在基本支出之外为完成特定行政任务和事业发展目标所发生的支出</w:t>
      </w:r>
      <w:r>
        <w:rPr>
          <w:rFonts w:hint="eastAsia" w:ascii="Times New Roman" w:hAnsi="Times New Roman" w:eastAsia="方正仿宋_GBK" w:cs="Times New Roman"/>
          <w:color w:val="auto"/>
          <w:kern w:val="0"/>
          <w:sz w:val="32"/>
          <w:szCs w:val="32"/>
          <w:shd w:val="clear" w:fill="FFFFFF"/>
          <w:lang w:eastAsia="zh-CN"/>
        </w:rPr>
        <w:t>。</w:t>
      </w:r>
    </w:p>
    <w:p>
      <w:pPr>
        <w:pStyle w:val="9"/>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shd w:val="clear" w:fill="FFFFFF"/>
        </w:rPr>
      </w:pPr>
      <w:r>
        <w:rPr>
          <w:rFonts w:hint="eastAsia" w:ascii="方正仿宋_GBK" w:hAnsi="方正仿宋_GBK" w:eastAsia="方正仿宋_GBK" w:cs="方正仿宋_GBK"/>
          <w:b/>
          <w:bCs/>
          <w:color w:val="auto"/>
          <w:kern w:val="0"/>
          <w:sz w:val="32"/>
          <w:szCs w:val="32"/>
          <w:shd w:val="clear" w:fill="FFFFFF"/>
          <w:lang w:val="en-US" w:eastAsia="zh-CN"/>
        </w:rPr>
        <w:t>（十一）经营支出：</w:t>
      </w:r>
      <w:r>
        <w:rPr>
          <w:rFonts w:hint="default" w:ascii="Times New Roman" w:hAnsi="Times New Roman" w:eastAsia="方正仿宋_GBK" w:cs="Times New Roman"/>
          <w:color w:val="auto"/>
          <w:kern w:val="0"/>
          <w:sz w:val="32"/>
          <w:szCs w:val="32"/>
          <w:shd w:val="clear" w:fill="FFFFFF"/>
        </w:rPr>
        <w:t>指事业单位在专业业务活动及其辅助活动之外开展非独立核算经营活动发生的支出。</w:t>
      </w:r>
    </w:p>
    <w:p>
      <w:pPr>
        <w:pStyle w:val="9"/>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Fonts w:hint="eastAsia" w:ascii="方正仿宋_GBK" w:hAnsi="方正仿宋_GBK" w:eastAsia="方正仿宋_GBK" w:cs="方正仿宋_GBK"/>
          <w:b/>
          <w:bCs/>
          <w:color w:val="auto"/>
          <w:kern w:val="0"/>
          <w:sz w:val="32"/>
          <w:szCs w:val="32"/>
          <w:shd w:val="clear" w:fill="FFFFFF"/>
          <w:lang w:val="en-US" w:eastAsia="zh-CN"/>
        </w:rPr>
        <w:t>（十二）“三公”经费：</w:t>
      </w:r>
      <w:r>
        <w:rPr>
          <w:rFonts w:hint="default" w:ascii="Times New Roman" w:hAnsi="Times New Roman" w:eastAsia="方正仿宋_GBK" w:cs="Times New Roman"/>
          <w:color w:val="auto"/>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5"/>
          <w:rFonts w:hint="eastAsia" w:ascii="方正仿宋_GBK" w:hAnsi="方正仿宋_GBK" w:eastAsia="方正仿宋_GBK" w:cs="方正仿宋_GBK"/>
          <w:color w:val="auto"/>
          <w:sz w:val="32"/>
          <w:szCs w:val="32"/>
          <w:shd w:val="clear" w:color="auto" w:fill="FFFFFF"/>
          <w:lang w:val="en-US" w:eastAsia="zh-CN" w:bidi="ar-SA"/>
        </w:rPr>
        <w:t>（十三）机关运行经费：</w:t>
      </w:r>
      <w:r>
        <w:rPr>
          <w:rFonts w:hint="default" w:ascii="Times New Roman" w:hAnsi="Times New Roman" w:eastAsia="方正仿宋_GBK" w:cs="Times New Roman"/>
          <w:color w:val="auto"/>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5"/>
          <w:rFonts w:hint="eastAsia" w:ascii="方正仿宋_GBK" w:hAnsi="方正仿宋_GBK" w:eastAsia="方正仿宋_GBK" w:cs="方正仿宋_GBK"/>
          <w:color w:val="auto"/>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color w:val="auto"/>
          <w:kern w:val="0"/>
          <w:sz w:val="32"/>
          <w:szCs w:val="32"/>
          <w:shd w:val="clear" w:fill="FFFFFF"/>
        </w:rPr>
        <w:t>反映单位开支的在职职工和编制外长期聘用人员的各类劳动报酬，以及为上述人员缴纳的各项社会保险费等。</w:t>
      </w:r>
    </w:p>
    <w:p>
      <w:pPr>
        <w:pStyle w:val="9"/>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5"/>
          <w:rFonts w:hint="eastAsia" w:ascii="方正仿宋_GBK" w:hAnsi="方正仿宋_GBK" w:eastAsia="方正仿宋_GBK" w:cs="方正仿宋_GBK"/>
          <w:color w:val="auto"/>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color w:val="auto"/>
          <w:kern w:val="0"/>
          <w:sz w:val="32"/>
          <w:szCs w:val="32"/>
          <w:shd w:val="clear" w:fill="FFFFFF"/>
        </w:rPr>
        <w:t>反映单位购买商品和服务的支出（不包括用于购置固定资产的支出、战略性和应急储备支出）。</w:t>
      </w:r>
    </w:p>
    <w:p>
      <w:pPr>
        <w:pStyle w:val="9"/>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5"/>
          <w:rFonts w:hint="eastAsia" w:ascii="方正仿宋_GBK" w:hAnsi="方正仿宋_GBK" w:eastAsia="方正仿宋_GBK" w:cs="方正仿宋_GBK"/>
          <w:color w:val="auto"/>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color w:val="auto"/>
          <w:kern w:val="0"/>
          <w:sz w:val="32"/>
          <w:szCs w:val="32"/>
          <w:shd w:val="clear" w:fill="FFFFFF"/>
        </w:rPr>
        <w:t>反映用于对个人和家庭的补助支出。</w:t>
      </w:r>
    </w:p>
    <w:p>
      <w:pPr>
        <w:pStyle w:val="9"/>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5"/>
          <w:rFonts w:hint="eastAsia" w:ascii="方正仿宋_GBK" w:hAnsi="方正仿宋_GBK" w:eastAsia="方正仿宋_GBK" w:cs="方正仿宋_GBK"/>
          <w:color w:val="auto"/>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color w:val="auto"/>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黑体_GBK" w:hAnsi="方正黑体_GBK" w:eastAsia="方正黑体_GBK" w:cs="方正黑体_GBK"/>
          <w:b w:val="0"/>
          <w:bCs/>
          <w:color w:val="auto"/>
          <w:kern w:val="0"/>
          <w:sz w:val="32"/>
          <w:szCs w:val="32"/>
        </w:rPr>
      </w:pPr>
      <w:r>
        <w:rPr>
          <w:rStyle w:val="5"/>
          <w:rFonts w:hint="eastAsia" w:ascii="方正黑体_GBK" w:hAnsi="方正黑体_GBK" w:eastAsia="方正黑体_GBK" w:cs="方正黑体_GBK"/>
          <w:b w:val="0"/>
          <w:bCs/>
          <w:color w:val="auto"/>
          <w:sz w:val="32"/>
          <w:szCs w:val="32"/>
          <w:shd w:val="clear" w:color="auto" w:fill="FFFFFF"/>
          <w:lang w:val="en-US" w:eastAsia="zh-CN" w:bidi="ar-SA"/>
        </w:rPr>
        <w:t>七、决算公开联系方式及信息反馈渠道</w:t>
      </w:r>
    </w:p>
    <w:p>
      <w:pPr>
        <w:pStyle w:val="9"/>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shd w:val="clear" w:fill="FFFFFF"/>
        </w:rPr>
        <w:t>本单位决算公开信息反馈和联系方式：</w:t>
      </w:r>
    </w:p>
    <w:p>
      <w:pPr>
        <w:ind w:firstLine="640" w:firstLineChars="200"/>
        <w:rPr>
          <w:rFonts w:hint="default"/>
          <w:lang w:val="en-US"/>
        </w:rPr>
      </w:pPr>
      <w:r>
        <w:rPr>
          <w:rFonts w:hint="default" w:ascii="Times New Roman" w:hAnsi="Times New Roman" w:eastAsia="方正仿宋_GBK" w:cs="Times New Roman"/>
          <w:color w:val="auto"/>
          <w:sz w:val="32"/>
          <w:szCs w:val="32"/>
          <w:lang w:val="en-US" w:eastAsia="zh-CN"/>
        </w:rPr>
        <w:t>李丹</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023-40335</w:t>
      </w:r>
      <w:r>
        <w:rPr>
          <w:rFonts w:hint="default" w:ascii="Times New Roman" w:hAnsi="Times New Roman" w:eastAsia="方正仿宋_GBK" w:cs="Times New Roman"/>
          <w:color w:val="auto"/>
          <w:sz w:val="32"/>
          <w:szCs w:val="32"/>
          <w:lang w:val="en-US" w:eastAsia="zh-CN"/>
        </w:rPr>
        <w:t>1</w:t>
      </w:r>
      <w:bookmarkStart w:id="0" w:name="_GoBack"/>
      <w:bookmarkEnd w:id="0"/>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F1032"/>
    <w:rsid w:val="03EE3E51"/>
    <w:rsid w:val="05F34A93"/>
    <w:rsid w:val="0FE50C0A"/>
    <w:rsid w:val="16BF2469"/>
    <w:rsid w:val="184A5387"/>
    <w:rsid w:val="2E216EE2"/>
    <w:rsid w:val="38AF7DC9"/>
    <w:rsid w:val="3BFF2C57"/>
    <w:rsid w:val="42F969DF"/>
    <w:rsid w:val="476B73AA"/>
    <w:rsid w:val="5A9F1032"/>
    <w:rsid w:val="61AD37EC"/>
    <w:rsid w:val="66DF7220"/>
    <w:rsid w:val="68EA0098"/>
    <w:rsid w:val="6D4C7A55"/>
    <w:rsid w:val="78F547B6"/>
    <w:rsid w:val="7CC66B25"/>
    <w:rsid w:val="7DC41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spacing w:before="100" w:beforeAutospacing="1" w:after="100" w:afterAutospacing="1"/>
    </w:pPr>
  </w:style>
  <w:style w:type="character" w:styleId="5">
    <w:name w:val="Strong"/>
    <w:qFormat/>
    <w:uiPriority w:val="0"/>
    <w:rPr>
      <w:b/>
    </w:rPr>
  </w:style>
  <w:style w:type="paragraph" w:customStyle="1" w:styleId="6">
    <w:name w:val="_Style 1"/>
    <w:basedOn w:val="1"/>
    <w:qFormat/>
    <w:uiPriority w:val="34"/>
    <w:pPr>
      <w:ind w:firstLine="420" w:firstLineChars="200"/>
    </w:pPr>
  </w:style>
  <w:style w:type="paragraph" w:customStyle="1" w:styleId="7">
    <w:name w:val="列出段落1"/>
    <w:basedOn w:val="1"/>
    <w:qFormat/>
    <w:uiPriority w:val="99"/>
    <w:pPr>
      <w:ind w:firstLine="420" w:firstLineChars="200"/>
    </w:pPr>
    <w:rPr>
      <w:rFonts w:hint="default"/>
    </w:rPr>
  </w:style>
  <w:style w:type="paragraph" w:customStyle="1" w:styleId="8">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9">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2025-10-13T01:52:00Z</dcterms:created>
  <dc:creator>Administrator</dc:creator>
  <cp:lastModifiedBy>Administrator</cp:lastModifiedBy>
  <dcterms:modified xsi:type="dcterms:W3CDTF">2025-10-13T01:53:39Z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