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B8" w:rsidRDefault="009920E1">
      <w:pPr>
        <w:pStyle w:val="Default"/>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2</w:t>
      </w:r>
      <w:bookmarkStart w:id="0" w:name="_GoBack"/>
      <w:bookmarkEnd w:id="0"/>
    </w:p>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hint="eastAsia"/>
          <w:szCs w:val="21"/>
        </w:rPr>
        <w:t>重庆市长寿区林业局随机抽查事项清单</w:t>
      </w:r>
    </w:p>
    <w:tbl>
      <w:tblPr>
        <w:tblW w:w="13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
        <w:gridCol w:w="964"/>
        <w:gridCol w:w="1725"/>
        <w:gridCol w:w="375"/>
        <w:gridCol w:w="1828"/>
        <w:gridCol w:w="561"/>
        <w:gridCol w:w="7050"/>
        <w:gridCol w:w="586"/>
      </w:tblGrid>
      <w:tr w:rsidR="00FB6FB8">
        <w:trPr>
          <w:trHeight w:val="1032"/>
          <w:jc w:val="center"/>
        </w:trPr>
        <w:tc>
          <w:tcPr>
            <w:tcW w:w="352" w:type="dxa"/>
            <w:noWrap/>
            <w:vAlign w:val="center"/>
          </w:tcPr>
          <w:p w:rsidR="00FB6FB8" w:rsidRDefault="00FB6FB8">
            <w:pPr>
              <w:spacing w:line="596" w:lineRule="exact"/>
              <w:jc w:val="center"/>
              <w:rPr>
                <w:rFonts w:ascii="Times New Roman" w:eastAsia="方正黑体_GBK" w:hAnsi="Times New Roman"/>
                <w:szCs w:val="21"/>
              </w:rPr>
            </w:pPr>
          </w:p>
        </w:tc>
        <w:tc>
          <w:tcPr>
            <w:tcW w:w="964"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检查事项</w:t>
            </w:r>
          </w:p>
        </w:tc>
        <w:tc>
          <w:tcPr>
            <w:tcW w:w="1725"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检查依据</w:t>
            </w:r>
          </w:p>
        </w:tc>
        <w:tc>
          <w:tcPr>
            <w:tcW w:w="375"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检查主体</w:t>
            </w:r>
          </w:p>
        </w:tc>
        <w:tc>
          <w:tcPr>
            <w:tcW w:w="1828"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检查内容</w:t>
            </w:r>
          </w:p>
        </w:tc>
        <w:tc>
          <w:tcPr>
            <w:tcW w:w="561"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检查方式</w:t>
            </w:r>
          </w:p>
        </w:tc>
        <w:tc>
          <w:tcPr>
            <w:tcW w:w="7050"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检查结果的运用情形</w:t>
            </w:r>
          </w:p>
        </w:tc>
        <w:tc>
          <w:tcPr>
            <w:tcW w:w="586" w:type="dxa"/>
            <w:noWrap/>
            <w:vAlign w:val="center"/>
          </w:tcPr>
          <w:p w:rsidR="00FB6FB8" w:rsidRDefault="009920E1">
            <w:pPr>
              <w:spacing w:line="596" w:lineRule="exact"/>
              <w:jc w:val="center"/>
              <w:rPr>
                <w:rFonts w:ascii="Times New Roman" w:eastAsia="方正黑体_GBK" w:hAnsi="Times New Roman"/>
                <w:szCs w:val="21"/>
              </w:rPr>
            </w:pPr>
            <w:r>
              <w:rPr>
                <w:rFonts w:ascii="Times New Roman" w:eastAsia="方正黑体_GBK" w:hAnsi="Times New Roman"/>
                <w:szCs w:val="21"/>
              </w:rPr>
              <w:t>备注</w:t>
            </w:r>
          </w:p>
        </w:tc>
      </w:tr>
      <w:tr w:rsidR="00FB6FB8">
        <w:trPr>
          <w:trHeight w:val="4507"/>
          <w:jc w:val="center"/>
        </w:trPr>
        <w:tc>
          <w:tcPr>
            <w:tcW w:w="352"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1</w:t>
            </w:r>
          </w:p>
        </w:tc>
        <w:tc>
          <w:tcPr>
            <w:tcW w:w="964"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建设项目使用林地抽查</w:t>
            </w:r>
          </w:p>
        </w:tc>
        <w:tc>
          <w:tcPr>
            <w:tcW w:w="172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《行政许可法》《森林法》《森林法实施条例》</w:t>
            </w:r>
          </w:p>
        </w:tc>
        <w:tc>
          <w:tcPr>
            <w:tcW w:w="37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长寿</w:t>
            </w:r>
            <w:r>
              <w:rPr>
                <w:rFonts w:ascii="Times New Roman" w:eastAsia="方正仿宋_GBK" w:hAnsi="Times New Roman" w:hint="eastAsia"/>
                <w:szCs w:val="21"/>
              </w:rPr>
              <w:t>区林业局</w:t>
            </w:r>
          </w:p>
        </w:tc>
        <w:tc>
          <w:tcPr>
            <w:tcW w:w="1828"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是否按审批面积、地点、范围和用途使用林地；的按规定缴纳森林植被恢复费及其他法律、法规规定的检查事项。</w:t>
            </w:r>
          </w:p>
        </w:tc>
        <w:tc>
          <w:tcPr>
            <w:tcW w:w="561"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一般性检查抽查</w:t>
            </w:r>
          </w:p>
        </w:tc>
        <w:tc>
          <w:tcPr>
            <w:tcW w:w="7050" w:type="dxa"/>
            <w:noWrap/>
            <w:vAlign w:val="center"/>
          </w:tcPr>
          <w:p w:rsidR="00FB6FB8" w:rsidRDefault="009920E1">
            <w:pPr>
              <w:spacing w:line="320" w:lineRule="exact"/>
              <w:ind w:firstLineChars="150" w:firstLine="315"/>
              <w:rPr>
                <w:rFonts w:ascii="Times New Roman" w:eastAsia="方正仿宋_GBK" w:hAnsi="Times New Roman"/>
                <w:szCs w:val="21"/>
              </w:rPr>
            </w:pPr>
            <w:r>
              <w:rPr>
                <w:rFonts w:ascii="Times New Roman" w:eastAsia="方正仿宋_GBK" w:hAnsi="Times New Roman" w:hint="eastAsia"/>
                <w:szCs w:val="21"/>
              </w:rPr>
              <w:t>1.</w:t>
            </w:r>
            <w:r>
              <w:rPr>
                <w:rFonts w:ascii="Times New Roman" w:eastAsia="方正仿宋_GBK" w:hAnsi="Times New Roman" w:hint="eastAsia"/>
                <w:szCs w:val="21"/>
              </w:rPr>
              <w:t>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收、征用林地而减少的森林植被面积。上级林业主管部门应当定期督促、检查下级林业主管部门组织植树造林、恢复森林植被的情。</w:t>
            </w:r>
          </w:p>
          <w:p w:rsidR="00FB6FB8" w:rsidRDefault="009920E1">
            <w:pPr>
              <w:spacing w:line="320" w:lineRule="exact"/>
              <w:ind w:firstLineChars="200" w:firstLine="420"/>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hint="eastAsia"/>
                <w:szCs w:val="21"/>
              </w:rPr>
              <w:t>因国家建设以及乡（民族乡、镇）建设或兴办公益事业，应当节约用地，尽量不占或少占林地。确需征用、占用林地的单位或个人应当向县级以上林业主管部门提出申请，经审核同意后，按土地管理法律、法规的规定报批况。</w:t>
            </w:r>
            <w:r>
              <w:rPr>
                <w:rFonts w:ascii="Times New Roman" w:eastAsia="方正仿宋_GBK" w:hAnsi="Times New Roman" w:hint="eastAsia"/>
                <w:szCs w:val="21"/>
              </w:rPr>
              <w:t xml:space="preserve"> </w:t>
            </w:r>
          </w:p>
        </w:tc>
        <w:tc>
          <w:tcPr>
            <w:tcW w:w="586" w:type="dxa"/>
            <w:noWrap/>
            <w:vAlign w:val="center"/>
          </w:tcPr>
          <w:p w:rsidR="00FB6FB8" w:rsidRDefault="00FB6FB8">
            <w:pPr>
              <w:spacing w:line="320" w:lineRule="exact"/>
              <w:ind w:firstLineChars="200" w:firstLine="420"/>
              <w:rPr>
                <w:rFonts w:ascii="Times New Roman" w:eastAsia="方正仿宋_GBK" w:hAnsi="Times New Roman"/>
                <w:szCs w:val="21"/>
              </w:rPr>
            </w:pPr>
          </w:p>
        </w:tc>
      </w:tr>
      <w:tr w:rsidR="00FB6FB8">
        <w:trPr>
          <w:trHeight w:val="4860"/>
          <w:jc w:val="center"/>
        </w:trPr>
        <w:tc>
          <w:tcPr>
            <w:tcW w:w="352"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2</w:t>
            </w:r>
          </w:p>
        </w:tc>
        <w:tc>
          <w:tcPr>
            <w:tcW w:w="964"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修筑直接为林业生产服务工程设施占用林地抽查</w:t>
            </w:r>
          </w:p>
        </w:tc>
        <w:tc>
          <w:tcPr>
            <w:tcW w:w="172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《行政许可法》《森林法》《森林法实施条例》</w:t>
            </w:r>
          </w:p>
        </w:tc>
        <w:tc>
          <w:tcPr>
            <w:tcW w:w="37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长寿</w:t>
            </w:r>
            <w:r>
              <w:rPr>
                <w:rFonts w:ascii="Times New Roman" w:eastAsia="方正仿宋_GBK" w:hAnsi="Times New Roman" w:hint="eastAsia"/>
                <w:szCs w:val="21"/>
              </w:rPr>
              <w:t>区林业局</w:t>
            </w:r>
          </w:p>
        </w:tc>
        <w:tc>
          <w:tcPr>
            <w:tcW w:w="1828"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申报与占用数量是否相符，用途、建设规模和标准是否与审批内容一致。</w:t>
            </w:r>
          </w:p>
        </w:tc>
        <w:tc>
          <w:tcPr>
            <w:tcW w:w="561"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一般性检查抽查</w:t>
            </w:r>
          </w:p>
        </w:tc>
        <w:tc>
          <w:tcPr>
            <w:tcW w:w="7050"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前款所称直接为林业生产服务的工程设施是指：</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（一）培育、生产种子、苗木的设施；</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（二）贮存种子、苗木、木材的设施；</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（三）集材道、运材道；</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（四）林业科研、试验、示范基地；</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（五）野生动植物保护、护林、森林病虫害防治、森林防火、木材检疫的设施；</w:t>
            </w:r>
          </w:p>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（六）供水、供电、供热、供气、通讯基础设施。</w:t>
            </w:r>
          </w:p>
        </w:tc>
        <w:tc>
          <w:tcPr>
            <w:tcW w:w="586" w:type="dxa"/>
            <w:noWrap/>
            <w:vAlign w:val="center"/>
          </w:tcPr>
          <w:p w:rsidR="00FB6FB8" w:rsidRDefault="00FB6FB8">
            <w:pPr>
              <w:spacing w:line="320" w:lineRule="exact"/>
              <w:ind w:firstLine="390"/>
              <w:rPr>
                <w:rFonts w:ascii="Times New Roman" w:eastAsia="方正仿宋_GBK" w:hAnsi="Times New Roman"/>
                <w:szCs w:val="21"/>
              </w:rPr>
            </w:pPr>
          </w:p>
        </w:tc>
      </w:tr>
      <w:tr w:rsidR="00FB6FB8">
        <w:trPr>
          <w:trHeight w:val="5546"/>
          <w:jc w:val="center"/>
        </w:trPr>
        <w:tc>
          <w:tcPr>
            <w:tcW w:w="352"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3</w:t>
            </w:r>
          </w:p>
        </w:tc>
        <w:tc>
          <w:tcPr>
            <w:tcW w:w="964"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对长寿辖区内</w:t>
            </w:r>
            <w:r>
              <w:rPr>
                <w:rFonts w:ascii="Times New Roman" w:eastAsia="方正仿宋_GBK" w:hAnsi="Times New Roman" w:hint="eastAsia"/>
                <w:szCs w:val="21"/>
              </w:rPr>
              <w:t>林</w:t>
            </w:r>
            <w:r>
              <w:rPr>
                <w:rFonts w:ascii="Times New Roman" w:eastAsia="方正仿宋_GBK" w:hAnsi="Times New Roman" w:hint="eastAsia"/>
                <w:szCs w:val="21"/>
              </w:rPr>
              <w:t>草</w:t>
            </w:r>
            <w:r>
              <w:rPr>
                <w:rFonts w:ascii="Times New Roman" w:eastAsia="方正仿宋_GBK" w:hAnsi="Times New Roman" w:hint="eastAsia"/>
                <w:szCs w:val="21"/>
              </w:rPr>
              <w:t>种子生产经营许可</w:t>
            </w:r>
            <w:r>
              <w:rPr>
                <w:rFonts w:ascii="Times New Roman" w:eastAsia="方正仿宋_GBK" w:hAnsi="Times New Roman" w:hint="eastAsia"/>
                <w:szCs w:val="21"/>
              </w:rPr>
              <w:t>进行检查</w:t>
            </w:r>
          </w:p>
        </w:tc>
        <w:tc>
          <w:tcPr>
            <w:tcW w:w="172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根据《中华人民共和国种子法》第四十七条、第五十条、《林木种子生产经营许可证管理办法》第十</w:t>
            </w:r>
            <w:r>
              <w:rPr>
                <w:rFonts w:ascii="Times New Roman" w:eastAsia="方正仿宋_GBK" w:hAnsi="Times New Roman" w:hint="eastAsia"/>
                <w:szCs w:val="21"/>
              </w:rPr>
              <w:t>九</w:t>
            </w:r>
            <w:r>
              <w:rPr>
                <w:rFonts w:ascii="Times New Roman" w:eastAsia="方正仿宋_GBK" w:hAnsi="Times New Roman" w:hint="eastAsia"/>
                <w:szCs w:val="21"/>
              </w:rPr>
              <w:t>条、《国家林业局林木种子生产经营许可随机抽查工作细则》（林场发〔</w:t>
            </w:r>
            <w:r>
              <w:rPr>
                <w:rFonts w:ascii="Times New Roman" w:eastAsia="方正仿宋_GBK" w:hAnsi="Times New Roman" w:hint="eastAsia"/>
                <w:szCs w:val="21"/>
              </w:rPr>
              <w:t>2016</w:t>
            </w:r>
            <w:r>
              <w:rPr>
                <w:rFonts w:ascii="Times New Roman" w:eastAsia="方正仿宋_GBK" w:hAnsi="Times New Roman" w:hint="eastAsia"/>
                <w:szCs w:val="21"/>
              </w:rPr>
              <w:t>〕</w:t>
            </w:r>
            <w:r>
              <w:rPr>
                <w:rFonts w:ascii="Times New Roman" w:eastAsia="方正仿宋_GBK" w:hAnsi="Times New Roman" w:hint="eastAsia"/>
                <w:szCs w:val="21"/>
              </w:rPr>
              <w:t>185</w:t>
            </w:r>
            <w:r>
              <w:rPr>
                <w:rFonts w:ascii="Times New Roman" w:eastAsia="方正仿宋_GBK" w:hAnsi="Times New Roman" w:hint="eastAsia"/>
                <w:szCs w:val="21"/>
              </w:rPr>
              <w:t>号）和《关于深化“双随机</w:t>
            </w:r>
            <w:r w:rsidR="009404FC">
              <w:rPr>
                <w:rFonts w:ascii="Times New Roman" w:eastAsia="方正仿宋_GBK" w:hAnsi="Times New Roman" w:hint="eastAsia"/>
                <w:szCs w:val="21"/>
              </w:rPr>
              <w:t>、</w:t>
            </w:r>
            <w:r>
              <w:rPr>
                <w:rFonts w:ascii="Times New Roman" w:eastAsia="方正仿宋_GBK" w:hAnsi="Times New Roman" w:hint="eastAsia"/>
                <w:szCs w:val="21"/>
              </w:rPr>
              <w:t>一</w:t>
            </w:r>
            <w:r>
              <w:rPr>
                <w:rFonts w:ascii="Times New Roman" w:eastAsia="方正仿宋_GBK" w:hAnsi="Times New Roman" w:hint="eastAsia"/>
                <w:szCs w:val="21"/>
              </w:rPr>
              <w:t>公开”监管改革开展抽查结果集中公示的通知》（渝府法制发〔</w:t>
            </w:r>
            <w:r>
              <w:rPr>
                <w:rFonts w:ascii="Times New Roman" w:eastAsia="方正仿宋_GBK" w:hAnsi="Times New Roman" w:hint="eastAsia"/>
                <w:szCs w:val="21"/>
              </w:rPr>
              <w:t>2018</w:t>
            </w:r>
            <w:r>
              <w:rPr>
                <w:rFonts w:ascii="Times New Roman" w:eastAsia="方正仿宋_GBK" w:hAnsi="Times New Roman" w:hint="eastAsia"/>
                <w:szCs w:val="21"/>
              </w:rPr>
              <w:t>〕</w:t>
            </w:r>
            <w:r>
              <w:rPr>
                <w:rFonts w:ascii="Times New Roman" w:eastAsia="方正仿宋_GBK" w:hAnsi="Times New Roman" w:hint="eastAsia"/>
                <w:szCs w:val="21"/>
              </w:rPr>
              <w:t>4</w:t>
            </w:r>
            <w:r>
              <w:rPr>
                <w:rFonts w:ascii="Times New Roman" w:eastAsia="方正仿宋_GBK" w:hAnsi="Times New Roman" w:hint="eastAsia"/>
                <w:szCs w:val="21"/>
              </w:rPr>
              <w:t>号）的规定</w:t>
            </w:r>
            <w:r>
              <w:rPr>
                <w:rFonts w:ascii="Times New Roman" w:eastAsia="方正仿宋_GBK" w:hAnsi="Times New Roman" w:hint="eastAsia"/>
                <w:szCs w:val="21"/>
              </w:rPr>
              <w:t>。</w:t>
            </w:r>
          </w:p>
          <w:p w:rsidR="00FB6FB8" w:rsidRDefault="00FB6FB8">
            <w:pPr>
              <w:spacing w:line="320" w:lineRule="exact"/>
              <w:rPr>
                <w:rFonts w:ascii="Times New Roman" w:eastAsia="方正仿宋_GBK" w:hAnsi="Times New Roman"/>
                <w:szCs w:val="21"/>
              </w:rPr>
            </w:pPr>
          </w:p>
        </w:tc>
        <w:tc>
          <w:tcPr>
            <w:tcW w:w="375"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长寿</w:t>
            </w:r>
            <w:r>
              <w:rPr>
                <w:rFonts w:ascii="Times New Roman" w:eastAsia="方正仿宋_GBK" w:hAnsi="Times New Roman" w:hint="eastAsia"/>
                <w:szCs w:val="21"/>
              </w:rPr>
              <w:t>区林业局</w:t>
            </w:r>
          </w:p>
        </w:tc>
        <w:tc>
          <w:tcPr>
            <w:tcW w:w="1828"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现有资质、条件是否符合重庆市</w:t>
            </w:r>
            <w:r>
              <w:rPr>
                <w:rFonts w:ascii="Times New Roman" w:eastAsia="方正仿宋_GBK" w:hAnsi="Times New Roman" w:hint="eastAsia"/>
                <w:szCs w:val="21"/>
              </w:rPr>
              <w:t>长寿</w:t>
            </w:r>
            <w:r>
              <w:rPr>
                <w:rFonts w:ascii="Times New Roman" w:eastAsia="方正仿宋_GBK" w:hAnsi="Times New Roman" w:hint="eastAsia"/>
                <w:szCs w:val="21"/>
              </w:rPr>
              <w:t>区林业局核发林</w:t>
            </w:r>
            <w:r>
              <w:rPr>
                <w:rFonts w:ascii="Times New Roman" w:eastAsia="方正仿宋_GBK" w:hAnsi="Times New Roman" w:hint="eastAsia"/>
                <w:szCs w:val="21"/>
              </w:rPr>
              <w:t>草</w:t>
            </w:r>
            <w:r>
              <w:rPr>
                <w:rFonts w:ascii="Times New Roman" w:eastAsia="方正仿宋_GBK" w:hAnsi="Times New Roman" w:hint="eastAsia"/>
                <w:szCs w:val="21"/>
              </w:rPr>
              <w:t>种子生产经营许可证的有关规定；是否按照行政许可登记的范围、方式、有效期和生产经营种类等从事林</w:t>
            </w:r>
            <w:r>
              <w:rPr>
                <w:rFonts w:ascii="Times New Roman" w:eastAsia="方正仿宋_GBK" w:hAnsi="Times New Roman" w:hint="eastAsia"/>
                <w:szCs w:val="21"/>
              </w:rPr>
              <w:t>草</w:t>
            </w:r>
            <w:r>
              <w:rPr>
                <w:rFonts w:ascii="Times New Roman" w:eastAsia="方正仿宋_GBK" w:hAnsi="Times New Roman" w:hint="eastAsia"/>
                <w:szCs w:val="21"/>
              </w:rPr>
              <w:t>种子生产经营活动；林</w:t>
            </w:r>
            <w:r>
              <w:rPr>
                <w:rFonts w:ascii="Times New Roman" w:eastAsia="方正仿宋_GBK" w:hAnsi="Times New Roman" w:hint="eastAsia"/>
                <w:szCs w:val="21"/>
              </w:rPr>
              <w:t>草</w:t>
            </w:r>
            <w:r>
              <w:rPr>
                <w:rFonts w:ascii="Times New Roman" w:eastAsia="方正仿宋_GBK" w:hAnsi="Times New Roman" w:hint="eastAsia"/>
                <w:szCs w:val="21"/>
              </w:rPr>
              <w:t>种子生产经营业务登记、档</w:t>
            </w:r>
            <w:r>
              <w:rPr>
                <w:rFonts w:ascii="Times New Roman" w:eastAsia="方正仿宋_GBK" w:hAnsi="Times New Roman" w:hint="eastAsia"/>
                <w:szCs w:val="21"/>
              </w:rPr>
              <w:t>案等制度建立和执行情况；执行包装、标签、广告等情况；生产、经营的林</w:t>
            </w:r>
            <w:r>
              <w:rPr>
                <w:rFonts w:ascii="Times New Roman" w:eastAsia="方正仿宋_GBK" w:hAnsi="Times New Roman" w:hint="eastAsia"/>
                <w:szCs w:val="21"/>
              </w:rPr>
              <w:t>草</w:t>
            </w:r>
            <w:r>
              <w:rPr>
                <w:rFonts w:ascii="Times New Roman" w:eastAsia="方正仿宋_GBK" w:hAnsi="Times New Roman" w:hint="eastAsia"/>
                <w:szCs w:val="21"/>
              </w:rPr>
              <w:t>种子质量情况；是否有违法或者被处罚记录及其他遵守国家法律、法规、政策的情况检查</w:t>
            </w:r>
          </w:p>
        </w:tc>
        <w:tc>
          <w:tcPr>
            <w:tcW w:w="561" w:type="dxa"/>
            <w:noWrap/>
            <w:vAlign w:val="center"/>
          </w:tcPr>
          <w:p w:rsidR="00FB6FB8" w:rsidRDefault="009920E1">
            <w:pPr>
              <w:spacing w:line="320" w:lineRule="exact"/>
              <w:rPr>
                <w:rFonts w:ascii="Times New Roman" w:eastAsia="方正仿宋_GBK" w:hAnsi="Times New Roman"/>
                <w:szCs w:val="21"/>
              </w:rPr>
            </w:pPr>
            <w:r>
              <w:rPr>
                <w:rFonts w:ascii="Times New Roman" w:eastAsia="方正仿宋_GBK" w:hAnsi="Times New Roman" w:hint="eastAsia"/>
                <w:szCs w:val="21"/>
              </w:rPr>
              <w:t>一般性检查抽查</w:t>
            </w:r>
          </w:p>
        </w:tc>
        <w:tc>
          <w:tcPr>
            <w:tcW w:w="7050" w:type="dxa"/>
            <w:noWrap/>
            <w:vAlign w:val="center"/>
          </w:tcPr>
          <w:p w:rsidR="00FB6FB8" w:rsidRDefault="009920E1">
            <w:pPr>
              <w:spacing w:line="320" w:lineRule="exact"/>
              <w:ind w:firstLine="390"/>
              <w:rPr>
                <w:rFonts w:ascii="Times New Roman" w:eastAsia="方正仿宋_GBK" w:hAnsi="Times New Roman"/>
                <w:szCs w:val="21"/>
              </w:rPr>
            </w:pPr>
            <w:r>
              <w:rPr>
                <w:rFonts w:ascii="Times New Roman" w:eastAsia="方正仿宋_GBK" w:hAnsi="Times New Roman" w:hint="eastAsia"/>
                <w:szCs w:val="21"/>
              </w:rPr>
              <w:t>对违法、违规行为依法查处、公示</w:t>
            </w:r>
          </w:p>
        </w:tc>
        <w:tc>
          <w:tcPr>
            <w:tcW w:w="586" w:type="dxa"/>
            <w:noWrap/>
            <w:vAlign w:val="center"/>
          </w:tcPr>
          <w:p w:rsidR="00FB6FB8" w:rsidRDefault="00FB6FB8">
            <w:pPr>
              <w:spacing w:line="320" w:lineRule="exact"/>
              <w:ind w:firstLine="390"/>
              <w:rPr>
                <w:rFonts w:ascii="Times New Roman" w:eastAsia="方正仿宋_GBK" w:hAnsi="Times New Roman"/>
                <w:szCs w:val="21"/>
              </w:rPr>
            </w:pPr>
          </w:p>
        </w:tc>
      </w:tr>
    </w:tbl>
    <w:p w:rsidR="00FB6FB8" w:rsidRDefault="00FB6FB8"/>
    <w:sectPr w:rsidR="00FB6FB8" w:rsidSect="00FB6FB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E1" w:rsidRDefault="009920E1" w:rsidP="009404FC">
      <w:r>
        <w:separator/>
      </w:r>
    </w:p>
  </w:endnote>
  <w:endnote w:type="continuationSeparator" w:id="1">
    <w:p w:rsidR="009920E1" w:rsidRDefault="009920E1" w:rsidP="00940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E1" w:rsidRDefault="009920E1" w:rsidP="009404FC">
      <w:r>
        <w:separator/>
      </w:r>
    </w:p>
  </w:footnote>
  <w:footnote w:type="continuationSeparator" w:id="1">
    <w:p w:rsidR="009920E1" w:rsidRDefault="009920E1" w:rsidP="00940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xODFmYTQwMDQ4YjQ0NGE0MzJkYWVkNjczNGYxM2QifQ=="/>
  </w:docVars>
  <w:rsids>
    <w:rsidRoot w:val="59060A59"/>
    <w:rsid w:val="009404FC"/>
    <w:rsid w:val="009920E1"/>
    <w:rsid w:val="00FB6FB8"/>
    <w:rsid w:val="12531D0F"/>
    <w:rsid w:val="22F2126B"/>
    <w:rsid w:val="531D3296"/>
    <w:rsid w:val="59060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FB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6FB8"/>
    <w:pPr>
      <w:tabs>
        <w:tab w:val="center" w:pos="4153"/>
        <w:tab w:val="right" w:pos="8306"/>
      </w:tabs>
      <w:snapToGrid w:val="0"/>
      <w:jc w:val="left"/>
    </w:pPr>
    <w:rPr>
      <w:sz w:val="18"/>
    </w:rPr>
  </w:style>
  <w:style w:type="paragraph" w:styleId="a4">
    <w:name w:val="header"/>
    <w:basedOn w:val="a"/>
    <w:rsid w:val="00FB6F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qFormat/>
    <w:rsid w:val="00FB6FB8"/>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2023-05-15T03:20:00Z</dcterms:created>
  <dcterms:modified xsi:type="dcterms:W3CDTF">1980-04-09T16:52:00Z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046434A9BB06497BA8784AEEEC11B5C7_12</vt:lpwstr>
  </property>
</Properties>
</file>