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jc w:val="center"/>
        <w:textAlignment w:val="auto"/>
        <w:outlineLvl w:val="9"/>
        <w:rPr>
          <w:rStyle w:val="20"/>
          <w:rFonts w:hint="eastAsia" w:ascii="Times New Roman" w:hAnsi="Times New Roman" w:eastAsia="方正小标宋_GBK" w:cs="方正小标宋_GBK"/>
          <w:b/>
          <w:bCs w:val="0"/>
          <w:i w:val="0"/>
          <w:caps w:val="0"/>
          <w:color w:val="000000"/>
          <w:spacing w:val="0"/>
          <w:sz w:val="44"/>
          <w:szCs w:val="44"/>
          <w:highlight w:val="none"/>
          <w:shd w:val="clear" w:color="auto" w:fill="FFFFFF"/>
          <w:lang w:eastAsia="zh-CN"/>
        </w:rPr>
      </w:pP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leftChars="0" w:right="0" w:rightChars="0"/>
        <w:jc w:val="center"/>
        <w:textAlignment w:val="auto"/>
        <w:outlineLvl w:val="9"/>
        <w:rPr>
          <w:rStyle w:val="20"/>
          <w:rFonts w:hint="eastAsia" w:ascii="Times New Roman" w:hAnsi="Times New Roman" w:eastAsia="方正小标宋_GBK" w:cs="方正小标宋_GBK"/>
          <w:b/>
          <w:bCs w:val="0"/>
          <w:i w:val="0"/>
          <w:caps w:val="0"/>
          <w:color w:val="000000"/>
          <w:spacing w:val="0"/>
          <w:sz w:val="44"/>
          <w:szCs w:val="44"/>
          <w:highlight w:val="none"/>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ascii="Times New Roman" w:hAnsi="Times New Roman" w:eastAsia="方正小标宋_GBK" w:cs="方正小标宋_GBK"/>
          <w:b/>
          <w:bCs/>
          <w:sz w:val="40"/>
          <w:szCs w:val="40"/>
        </w:rPr>
      </w:pPr>
      <w:r>
        <w:rPr>
          <w:rFonts w:hint="eastAsia" w:ascii="Times New Roman" w:hAnsi="Times New Roman" w:eastAsia="方正小标宋_GBK" w:cs="方正小标宋_GBK"/>
          <w:b/>
          <w:bCs/>
          <w:sz w:val="40"/>
          <w:szCs w:val="40"/>
        </w:rPr>
        <w:t>关于重庆市长寿区2021年国民经济和社会发展</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ascii="Times New Roman" w:hAnsi="Times New Roman" w:eastAsia="方正小标宋_GBK" w:cs="方正小标宋_GBK"/>
          <w:b/>
          <w:bCs/>
          <w:sz w:val="40"/>
          <w:szCs w:val="40"/>
        </w:rPr>
      </w:pPr>
      <w:r>
        <w:rPr>
          <w:rFonts w:hint="eastAsia" w:ascii="Times New Roman" w:hAnsi="Times New Roman" w:eastAsia="方正小标宋_GBK" w:cs="方正小标宋_GBK"/>
          <w:b/>
          <w:bCs/>
          <w:sz w:val="40"/>
          <w:szCs w:val="40"/>
        </w:rPr>
        <w:t>计划执行情况及2022年计划草案的报告</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ascii="Times New Roman" w:hAnsi="Times New Roman" w:eastAsia="方正楷体_GBK"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重庆市长寿区发展和改革委员会</w:t>
      </w:r>
    </w:p>
    <w:p>
      <w:pPr>
        <w:pStyle w:val="13"/>
        <w:keepNext w:val="0"/>
        <w:keepLines w:val="0"/>
        <w:pageBreakBefore w:val="0"/>
        <w:widowControl w:val="0"/>
        <w:kinsoku/>
        <w:wordWrap/>
        <w:overflowPunct/>
        <w:topLinePunct w:val="0"/>
        <w:autoSpaceDE/>
        <w:autoSpaceDN/>
        <w:bidi w:val="0"/>
        <w:spacing w:line="594" w:lineRule="exact"/>
        <w:ind w:left="840" w:hanging="420"/>
        <w:textAlignment w:val="auto"/>
        <w:rPr>
          <w:rFonts w:ascii="Times New Roman" w:hAnsi="Times New Roman"/>
        </w:rPr>
      </w:pPr>
    </w:p>
    <w:p>
      <w:pPr>
        <w:keepNext w:val="0"/>
        <w:keepLines w:val="0"/>
        <w:pageBreakBefore w:val="0"/>
        <w:widowControl w:val="0"/>
        <w:kinsoku/>
        <w:wordWrap/>
        <w:overflowPunct/>
        <w:topLinePunct w:val="0"/>
        <w:autoSpaceDE/>
        <w:autoSpaceDN/>
        <w:bidi w:val="0"/>
        <w:spacing w:line="594" w:lineRule="exact"/>
        <w:textAlignment w:val="auto"/>
        <w:rPr>
          <w:rFonts w:ascii="Times New Roman" w:hAnsi="Times New Roman" w:eastAsia="方正仿宋_GBK"/>
          <w:sz w:val="32"/>
        </w:rPr>
      </w:pPr>
      <w:r>
        <w:rPr>
          <w:rFonts w:ascii="Times New Roman" w:hAnsi="Times New Roman" w:eastAsia="方正仿宋_GBK"/>
          <w:sz w:val="32"/>
        </w:rPr>
        <w:t>各位代表：</w:t>
      </w:r>
      <w:r>
        <w:rPr>
          <w:rFonts w:ascii="Times New Roman" w:hAnsi="Times New Roman" w:eastAsia="方正仿宋_GBK"/>
          <w:sz w:val="32"/>
        </w:rPr>
        <w:tab/>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rPr>
      </w:pPr>
      <w:r>
        <w:rPr>
          <w:rFonts w:ascii="Times New Roman" w:hAnsi="Times New Roman" w:eastAsia="方正仿宋_GBK"/>
          <w:sz w:val="32"/>
        </w:rPr>
        <w:t>受区人民政府委托，现将我区202</w:t>
      </w:r>
      <w:r>
        <w:rPr>
          <w:rFonts w:hint="eastAsia" w:ascii="Times New Roman" w:hAnsi="Times New Roman" w:eastAsia="方正仿宋_GBK"/>
          <w:sz w:val="32"/>
        </w:rPr>
        <w:t>1</w:t>
      </w:r>
      <w:r>
        <w:rPr>
          <w:rFonts w:ascii="Times New Roman" w:hAnsi="Times New Roman" w:eastAsia="方正仿宋_GBK"/>
          <w:sz w:val="32"/>
        </w:rPr>
        <w:t>年国民经济和社会发展计划执行情况及202</w:t>
      </w:r>
      <w:r>
        <w:rPr>
          <w:rFonts w:hint="eastAsia" w:ascii="Times New Roman" w:hAnsi="Times New Roman" w:eastAsia="方正仿宋_GBK"/>
          <w:sz w:val="32"/>
        </w:rPr>
        <w:t>2</w:t>
      </w:r>
      <w:r>
        <w:rPr>
          <w:rFonts w:ascii="Times New Roman" w:hAnsi="Times New Roman" w:eastAsia="方正仿宋_GBK"/>
          <w:sz w:val="32"/>
        </w:rPr>
        <w:t>年计划草案的报告提请大会审查，并请各位政协委员提出意见。</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黑体_GBK" w:cs="方正黑体_GBK"/>
          <w:sz w:val="32"/>
        </w:rPr>
      </w:pPr>
      <w:r>
        <w:rPr>
          <w:rFonts w:hint="eastAsia" w:ascii="Times New Roman" w:hAnsi="Times New Roman" w:eastAsia="方正黑体_GBK" w:cs="方正黑体_GBK"/>
          <w:sz w:val="32"/>
        </w:rPr>
        <w:t>一、</w:t>
      </w:r>
      <w:r>
        <w:rPr>
          <w:rFonts w:ascii="Times New Roman" w:hAnsi="Times New Roman" w:eastAsia="方正黑体_GBK" w:cs="Times New Roman"/>
          <w:sz w:val="32"/>
        </w:rPr>
        <w:t>202</w:t>
      </w:r>
      <w:r>
        <w:rPr>
          <w:rFonts w:hint="eastAsia" w:ascii="Times New Roman" w:hAnsi="Times New Roman" w:eastAsia="方正黑体_GBK" w:cs="Times New Roman"/>
          <w:sz w:val="32"/>
        </w:rPr>
        <w:t>1</w:t>
      </w:r>
      <w:r>
        <w:rPr>
          <w:rFonts w:ascii="Times New Roman" w:hAnsi="Times New Roman" w:eastAsia="方正黑体_GBK" w:cs="Times New Roman"/>
          <w:sz w:val="32"/>
        </w:rPr>
        <w:t>年</w:t>
      </w:r>
      <w:r>
        <w:rPr>
          <w:rFonts w:hint="eastAsia" w:ascii="Times New Roman" w:hAnsi="Times New Roman" w:eastAsia="方正黑体_GBK" w:cs="Times New Roman"/>
          <w:sz w:val="32"/>
        </w:rPr>
        <w:t>国民经济和社会发展</w:t>
      </w:r>
      <w:r>
        <w:rPr>
          <w:rFonts w:hint="eastAsia" w:ascii="Times New Roman" w:hAnsi="Times New Roman" w:eastAsia="方正黑体_GBK" w:cs="方正黑体_GBK"/>
          <w:sz w:val="32"/>
        </w:rPr>
        <w:t>计划执行情况</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今年以来，全区上下坚持以习近平新时代中国特色社会主义思想为指导，认真落实市委市政府、区委各项决策部署和“十四五”规划纲要、2021年政府工作报告各项目标任务，准确把握新发展阶段，全面贯彻新发展理念，加快构建新发展格局，着力推动高质量发展，持续巩固拓展疫情防控和经济社会发展成果，牢记“国之大者”，国民经济运行稳中加固、稳中向好，社会发展大局延续了好势头，凸显了高质量，全年主要经济社会发展目标顺利实现，地区生产总值实现820亿元、同比增长8%以上（以下简称增长），“十四五”规划实现良好开局。一年来，重点抓了以下工作：</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楷体_GBK" w:cs="方正楷体_GBK"/>
          <w:sz w:val="32"/>
        </w:rPr>
      </w:pPr>
      <w:r>
        <w:rPr>
          <w:rFonts w:hint="eastAsia" w:ascii="Times New Roman" w:hAnsi="Times New Roman" w:eastAsia="方正楷体_GBK" w:cs="方正楷体_GBK"/>
          <w:sz w:val="32"/>
        </w:rPr>
        <w:t>（一）落实区域协调发展战略，融入主城、联动双城。</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sz w:val="32"/>
        </w:rPr>
        <w:t>全面开启先行区建设新征程。</w:t>
      </w:r>
      <w:r>
        <w:rPr>
          <w:rFonts w:ascii="Times New Roman" w:hAnsi="Times New Roman" w:eastAsia="方正仿宋_GBK"/>
          <w:sz w:val="32"/>
        </w:rPr>
        <w:t>两江新区至长寿快速通道</w:t>
      </w:r>
      <w:r>
        <w:rPr>
          <w:rFonts w:hint="eastAsia" w:ascii="Times New Roman" w:hAnsi="Times New Roman" w:eastAsia="方正仿宋_GBK"/>
          <w:sz w:val="32"/>
        </w:rPr>
        <w:t>开工建设，</w:t>
      </w:r>
      <w:r>
        <w:rPr>
          <w:rFonts w:ascii="Times New Roman" w:hAnsi="Times New Roman" w:eastAsia="方正仿宋_GBK"/>
          <w:sz w:val="32"/>
        </w:rPr>
        <w:t>渝宜高铁确定在长设站</w:t>
      </w:r>
      <w:r>
        <w:rPr>
          <w:rFonts w:hint="eastAsia" w:ascii="Times New Roman" w:hAnsi="Times New Roman" w:eastAsia="方正仿宋_GBK"/>
          <w:sz w:val="32"/>
        </w:rPr>
        <w:t>，</w:t>
      </w:r>
      <w:r>
        <w:rPr>
          <w:rFonts w:ascii="Times New Roman" w:hAnsi="Times New Roman" w:eastAsia="方正仿宋_GBK"/>
          <w:sz w:val="32"/>
        </w:rPr>
        <w:t>长寿经开区大桥</w:t>
      </w:r>
      <w:r>
        <w:rPr>
          <w:rFonts w:hint="eastAsia" w:ascii="Times New Roman" w:hAnsi="Times New Roman" w:eastAsia="方正仿宋_GBK"/>
          <w:sz w:val="32"/>
        </w:rPr>
        <w:t>、</w:t>
      </w:r>
      <w:r>
        <w:rPr>
          <w:rFonts w:ascii="Times New Roman" w:hAnsi="Times New Roman" w:eastAsia="方正仿宋_GBK"/>
          <w:sz w:val="32"/>
        </w:rPr>
        <w:t>渝长高速</w:t>
      </w:r>
      <w:r>
        <w:rPr>
          <w:rFonts w:hint="eastAsia" w:ascii="Times New Roman" w:hAnsi="Times New Roman" w:eastAsia="方正仿宋_GBK"/>
          <w:sz w:val="32"/>
        </w:rPr>
        <w:t>复线通车，市域铁路C7线前期工作取得重大进展，同城化交通骨架体系基本建立。两江长涪先进制造业产业带、长垫梁绿色经济走廊纳入市级规划，54个重大项目纳入全市“十四五”规划，数量全市领先。深度融入中心城区产业链供应链，三科农商城圆满完成全市疫情应急保供任务，伏牛溪油库搬迁加快推进，加快打造中心城区重要的产业配套、粮油保供和能源储备基地</w:t>
      </w:r>
      <w:r>
        <w:rPr>
          <w:rFonts w:ascii="Times New Roman" w:hAnsi="Times New Roman" w:eastAsia="方正仿宋_GBK"/>
          <w:sz w:val="32"/>
        </w:rPr>
        <w:t>。</w:t>
      </w:r>
      <w:r>
        <w:rPr>
          <w:rFonts w:hint="eastAsia" w:ascii="Times New Roman" w:hAnsi="Times New Roman" w:eastAsia="方正仿宋_GBK" w:cs="方正仿宋_GBK"/>
          <w:sz w:val="32"/>
          <w:szCs w:val="32"/>
        </w:rPr>
        <w:t>积极推进多层次交流，与四川省各区市县合作交</w:t>
      </w:r>
      <w:r>
        <w:rPr>
          <w:rFonts w:ascii="Times New Roman" w:hAnsi="Times New Roman" w:eastAsia="方正仿宋_GBK" w:cs="方正仿宋_GBK"/>
          <w:sz w:val="32"/>
          <w:szCs w:val="32"/>
        </w:rPr>
        <w:t>流</w:t>
      </w:r>
      <w:r>
        <w:rPr>
          <w:rFonts w:hint="eastAsia" w:ascii="Times New Roman" w:hAnsi="Times New Roman" w:eastAsia="方正仿宋_GBK" w:cs="方正仿宋_GBK"/>
          <w:sz w:val="32"/>
          <w:szCs w:val="32"/>
        </w:rPr>
        <w:t>30</w:t>
      </w:r>
      <w:r>
        <w:rPr>
          <w:rFonts w:ascii="Times New Roman" w:hAnsi="Times New Roman" w:eastAsia="方正仿宋_GBK" w:cs="方正仿宋_GBK"/>
          <w:sz w:val="32"/>
          <w:szCs w:val="32"/>
        </w:rPr>
        <w:t>次，签订合作协议20份，210个</w:t>
      </w:r>
      <w:r>
        <w:rPr>
          <w:rFonts w:hint="eastAsia" w:ascii="Times New Roman" w:hAnsi="Times New Roman" w:eastAsia="方正仿宋_GBK" w:cs="方正仿宋_GBK"/>
          <w:sz w:val="32"/>
          <w:szCs w:val="32"/>
        </w:rPr>
        <w:t>事项实现川渝通办</w:t>
      </w:r>
      <w:r>
        <w:rPr>
          <w:rFonts w:ascii="Times New Roman" w:hAnsi="Times New Roman" w:eastAsia="方正仿宋_GBK" w:cs="方正仿宋_GBK"/>
          <w:sz w:val="32"/>
          <w:szCs w:val="32"/>
        </w:rPr>
        <w:t>，办理跨省</w:t>
      </w:r>
      <w:r>
        <w:rPr>
          <w:rFonts w:hint="eastAsia" w:ascii="Times New Roman" w:hAnsi="Times New Roman" w:eastAsia="方正仿宋_GBK" w:cs="方正仿宋_GBK"/>
          <w:sz w:val="32"/>
          <w:szCs w:val="32"/>
          <w:lang w:eastAsia="zh-CN"/>
        </w:rPr>
        <w:t>跨区</w:t>
      </w:r>
      <w:r>
        <w:rPr>
          <w:rFonts w:ascii="Times New Roman" w:hAnsi="Times New Roman" w:eastAsia="方正仿宋_GBK" w:cs="方正仿宋_GBK"/>
          <w:sz w:val="32"/>
          <w:szCs w:val="32"/>
        </w:rPr>
        <w:t>行政审批</w:t>
      </w:r>
      <w:r>
        <w:rPr>
          <w:rFonts w:hint="eastAsia" w:ascii="Times New Roman" w:hAnsi="Times New Roman" w:eastAsia="方正仿宋_GBK" w:cs="方正仿宋_GBK"/>
          <w:sz w:val="32"/>
          <w:szCs w:val="32"/>
        </w:rPr>
        <w:t>3000</w:t>
      </w:r>
      <w:r>
        <w:rPr>
          <w:rFonts w:ascii="Times New Roman" w:hAnsi="Times New Roman" w:eastAsia="方正仿宋_GBK" w:cs="方正仿宋_GBK"/>
          <w:sz w:val="32"/>
          <w:szCs w:val="32"/>
        </w:rPr>
        <w:t>件</w:t>
      </w:r>
      <w:r>
        <w:rPr>
          <w:rFonts w:hint="eastAsia" w:ascii="Times New Roman" w:hAnsi="Times New Roman" w:eastAsia="方正仿宋_GBK" w:cs="方正仿宋_GBK"/>
          <w:sz w:val="32"/>
          <w:szCs w:val="32"/>
        </w:rPr>
        <w:t>次</w:t>
      </w:r>
      <w:r>
        <w:rPr>
          <w:rFonts w:ascii="Times New Roman" w:hAnsi="Times New Roman" w:eastAsia="方正仿宋_GBK" w:cs="方正仿宋_GBK"/>
          <w:sz w:val="32"/>
          <w:szCs w:val="32"/>
        </w:rPr>
        <w:t>。协同推进</w:t>
      </w:r>
      <w:r>
        <w:rPr>
          <w:rFonts w:hint="eastAsia" w:ascii="Times New Roman" w:hAnsi="Times New Roman" w:eastAsia="方正仿宋_GBK" w:cs="方正仿宋_GBK"/>
          <w:sz w:val="32"/>
          <w:szCs w:val="32"/>
        </w:rPr>
        <w:t>合作</w:t>
      </w:r>
      <w:r>
        <w:rPr>
          <w:rFonts w:ascii="Times New Roman" w:hAnsi="Times New Roman" w:eastAsia="方正仿宋_GBK" w:cs="方正仿宋_GBK"/>
          <w:sz w:val="32"/>
          <w:szCs w:val="32"/>
        </w:rPr>
        <w:t>平台建设</w:t>
      </w:r>
      <w:r>
        <w:rPr>
          <w:rFonts w:hint="eastAsia" w:ascii="Times New Roman" w:hAnsi="Times New Roman" w:eastAsia="方正仿宋_GBK" w:cs="方正仿宋_GBK"/>
          <w:sz w:val="32"/>
          <w:szCs w:val="32"/>
        </w:rPr>
        <w:t>，明月山绿色发展示范带总体方案获批印发，合广长经济协同发展示范区总体方案已</w:t>
      </w:r>
      <w:r>
        <w:rPr>
          <w:rFonts w:hint="eastAsia" w:ascii="Times New Roman" w:hAnsi="Times New Roman" w:eastAsia="方正仿宋_GBK" w:cs="方正仿宋_GBK"/>
          <w:sz w:val="32"/>
          <w:szCs w:val="32"/>
          <w:lang w:eastAsia="zh-CN"/>
        </w:rPr>
        <w:t>获</w:t>
      </w:r>
      <w:r>
        <w:rPr>
          <w:rFonts w:hint="eastAsia" w:ascii="Times New Roman" w:hAnsi="Times New Roman" w:eastAsia="方正仿宋_GBK" w:cs="方正仿宋_GBK"/>
          <w:sz w:val="32"/>
          <w:szCs w:val="32"/>
        </w:rPr>
        <w:t>川渝两省市审定，先进制造业、文化旅游、生态环保、公共服务、科技协作等重点合作领域取得一批丰硕成果。</w:t>
      </w:r>
      <w:r>
        <w:rPr>
          <w:rFonts w:ascii="Times New Roman" w:hAnsi="Times New Roman" w:eastAsia="方正仿宋_GBK" w:cs="方正仿宋_GBK"/>
          <w:sz w:val="32"/>
          <w:szCs w:val="32"/>
        </w:rPr>
        <w:t>抓实</w:t>
      </w:r>
      <w:r>
        <w:rPr>
          <w:rFonts w:hint="eastAsia" w:ascii="Times New Roman" w:hAnsi="Times New Roman" w:eastAsia="方正仿宋_GBK" w:cs="方正仿宋_GBK"/>
          <w:sz w:val="32"/>
          <w:szCs w:val="32"/>
        </w:rPr>
        <w:t>共推重大</w:t>
      </w:r>
      <w:r>
        <w:rPr>
          <w:rFonts w:ascii="Times New Roman" w:hAnsi="Times New Roman" w:eastAsia="方正仿宋_GBK" w:cs="方正仿宋_GBK"/>
          <w:sz w:val="32"/>
          <w:szCs w:val="32"/>
        </w:rPr>
        <w:t>项目</w:t>
      </w:r>
      <w:r>
        <w:rPr>
          <w:rFonts w:hint="eastAsia" w:ascii="Times New Roman" w:hAnsi="Times New Roman" w:eastAsia="方正仿宋_GBK" w:cs="方正仿宋_GBK"/>
          <w:sz w:val="32"/>
          <w:szCs w:val="32"/>
        </w:rPr>
        <w:t>，</w:t>
      </w:r>
      <w:r>
        <w:rPr>
          <w:rFonts w:ascii="Times New Roman" w:hAnsi="Times New Roman" w:eastAsia="方正仿宋_GBK" w:cs="方正仿宋_GBK"/>
          <w:sz w:val="32"/>
          <w:szCs w:val="32"/>
        </w:rPr>
        <w:t>2021年度川渝合作</w:t>
      </w:r>
      <w:r>
        <w:rPr>
          <w:rFonts w:hint="eastAsia" w:ascii="Times New Roman" w:hAnsi="Times New Roman" w:eastAsia="方正仿宋_GBK" w:cs="方正仿宋_GBK"/>
          <w:sz w:val="32"/>
          <w:szCs w:val="32"/>
        </w:rPr>
        <w:t>共建</w:t>
      </w:r>
      <w:r>
        <w:rPr>
          <w:rFonts w:ascii="Times New Roman" w:hAnsi="Times New Roman" w:eastAsia="方正仿宋_GBK" w:cs="方正仿宋_GBK"/>
          <w:sz w:val="32"/>
          <w:szCs w:val="32"/>
        </w:rPr>
        <w:t>项目</w:t>
      </w:r>
      <w:r>
        <w:rPr>
          <w:rFonts w:hint="eastAsia" w:ascii="Times New Roman" w:hAnsi="Times New Roman" w:eastAsia="方正仿宋_GBK" w:cs="方正仿宋_GBK"/>
          <w:sz w:val="32"/>
          <w:szCs w:val="32"/>
        </w:rPr>
        <w:t>完成投资4亿元，新储备共建项目39个、总投资600亿元</w:t>
      </w:r>
      <w:r>
        <w:rPr>
          <w:rFonts w:ascii="Times New Roman" w:hAnsi="Times New Roman" w:eastAsia="方正仿宋_GBK" w:cs="方正仿宋_GBK"/>
          <w:sz w:val="32"/>
          <w:szCs w:val="32"/>
        </w:rPr>
        <w:t>。加</w:t>
      </w:r>
      <w:r>
        <w:rPr>
          <w:rFonts w:hint="eastAsia" w:ascii="Times New Roman" w:hAnsi="Times New Roman" w:eastAsia="方正仿宋_GBK" w:cs="方正仿宋_GBK"/>
          <w:sz w:val="32"/>
          <w:szCs w:val="32"/>
        </w:rPr>
        <w:t>快“一区两群”</w:t>
      </w:r>
      <w:r>
        <w:rPr>
          <w:rFonts w:ascii="Times New Roman" w:hAnsi="Times New Roman" w:eastAsia="方正仿宋_GBK" w:cs="方正仿宋_GBK"/>
          <w:sz w:val="32"/>
          <w:szCs w:val="32"/>
        </w:rPr>
        <w:t>协同发展</w:t>
      </w:r>
      <w:r>
        <w:rPr>
          <w:rFonts w:hint="eastAsia" w:ascii="Times New Roman" w:hAnsi="Times New Roman" w:eastAsia="方正仿宋_GBK" w:cs="方正仿宋_GBK"/>
          <w:sz w:val="32"/>
          <w:szCs w:val="32"/>
        </w:rPr>
        <w:t>，高质量完成与垫江县</w:t>
      </w:r>
      <w:r>
        <w:rPr>
          <w:rFonts w:hint="eastAsia" w:ascii="Times New Roman" w:hAnsi="Times New Roman" w:eastAsia="方正仿宋_GBK" w:cs="方正仿宋_GBK"/>
          <w:sz w:val="32"/>
          <w:szCs w:val="32"/>
          <w:lang w:eastAsia="zh-CN"/>
        </w:rPr>
        <w:t>协调</w:t>
      </w:r>
      <w:r>
        <w:rPr>
          <w:rFonts w:hint="eastAsia" w:ascii="Times New Roman" w:hAnsi="Times New Roman" w:eastAsia="方正仿宋_GBK" w:cs="方正仿宋_GBK"/>
          <w:sz w:val="32"/>
          <w:szCs w:val="32"/>
        </w:rPr>
        <w:t>发展年度任务，消费帮扶实际完成量超过市下达任务的13%，携手高起点</w:t>
      </w:r>
      <w:r>
        <w:rPr>
          <w:rFonts w:hint="eastAsia" w:ascii="Times New Roman" w:hAnsi="Times New Roman" w:eastAsia="方正仿宋_GBK" w:cs="方正仿宋_GBK"/>
          <w:sz w:val="32"/>
          <w:szCs w:val="32"/>
          <w:lang w:eastAsia="zh-CN"/>
        </w:rPr>
        <w:t>开展</w:t>
      </w:r>
      <w:r>
        <w:rPr>
          <w:rFonts w:hint="eastAsia" w:ascii="Times New Roman" w:hAnsi="Times New Roman" w:eastAsia="方正仿宋_GBK" w:cs="方正仿宋_GBK"/>
          <w:sz w:val="32"/>
          <w:szCs w:val="32"/>
        </w:rPr>
        <w:t>澄（溪）海（棠）新区规划编制。</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楷体_GBK" w:cs="方正楷体_GBK"/>
          <w:sz w:val="32"/>
        </w:rPr>
      </w:pPr>
      <w:r>
        <w:rPr>
          <w:rFonts w:hint="eastAsia" w:ascii="Times New Roman" w:hAnsi="Times New Roman" w:eastAsia="方正楷体_GBK" w:cs="方正楷体_GBK"/>
          <w:sz w:val="32"/>
        </w:rPr>
        <w:t>（二）筑牢工业经济发展根基，产销稳健、效益提升。</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rPr>
      </w:pPr>
      <w:r>
        <w:rPr>
          <w:rFonts w:ascii="Times New Roman" w:hAnsi="Times New Roman" w:eastAsia="方正仿宋_GBK"/>
          <w:sz w:val="32"/>
        </w:rPr>
        <w:t>加快工业集群化、智能化、绿色化、融合化发展。</w:t>
      </w:r>
      <w:r>
        <w:rPr>
          <w:rFonts w:hint="eastAsia" w:ascii="Times New Roman" w:hAnsi="Times New Roman" w:eastAsia="方正仿宋_GBK"/>
          <w:sz w:val="32"/>
        </w:rPr>
        <w:t>主导产业较快发展，规上工业总产值实现1410亿元、增长27.6%，六大支柱产业实现产值1387.5亿元、增长28.8%，占全区工业产值的98.4%，产业集中度稳步提升，其中钢铁冶金行业实现产值472亿元、增长40.6%。获批欧洲重庆中心新材料产业基地，</w:t>
      </w:r>
      <w:r>
        <w:rPr>
          <w:rFonts w:ascii="Times New Roman" w:hAnsi="Times New Roman" w:eastAsia="方正仿宋_GBK"/>
          <w:sz w:val="32"/>
        </w:rPr>
        <w:t>新材料新能源行业实现产值</w:t>
      </w:r>
      <w:r>
        <w:rPr>
          <w:rFonts w:hint="eastAsia" w:ascii="Times New Roman" w:hAnsi="Times New Roman" w:eastAsia="方正仿宋_GBK"/>
          <w:sz w:val="32"/>
        </w:rPr>
        <w:t>311</w:t>
      </w:r>
      <w:r>
        <w:rPr>
          <w:rFonts w:ascii="Times New Roman" w:hAnsi="Times New Roman" w:eastAsia="方正仿宋_GBK"/>
          <w:sz w:val="32"/>
        </w:rPr>
        <w:t>亿元、增长</w:t>
      </w:r>
      <w:r>
        <w:rPr>
          <w:rFonts w:hint="eastAsia" w:ascii="Times New Roman" w:hAnsi="Times New Roman" w:eastAsia="方正仿宋_GBK"/>
          <w:sz w:val="32"/>
        </w:rPr>
        <w:t>22.3</w:t>
      </w:r>
      <w:r>
        <w:rPr>
          <w:rFonts w:ascii="Times New Roman" w:hAnsi="Times New Roman" w:eastAsia="方正仿宋_GBK"/>
          <w:sz w:val="32"/>
        </w:rPr>
        <w:t>%</w:t>
      </w:r>
      <w:r>
        <w:rPr>
          <w:rFonts w:hint="eastAsia" w:ascii="Times New Roman" w:hAnsi="Times New Roman" w:eastAsia="方正仿宋_GBK"/>
          <w:sz w:val="32"/>
        </w:rPr>
        <w:t>。</w:t>
      </w:r>
      <w:r>
        <w:rPr>
          <w:rFonts w:ascii="Times New Roman" w:hAnsi="Times New Roman" w:eastAsia="方正仿宋_GBK"/>
          <w:sz w:val="32"/>
        </w:rPr>
        <w:t>新兴产业加快壮大</w:t>
      </w:r>
      <w:r>
        <w:rPr>
          <w:rFonts w:hint="eastAsia" w:ascii="Times New Roman" w:hAnsi="Times New Roman" w:eastAsia="方正仿宋_GBK"/>
          <w:sz w:val="32"/>
        </w:rPr>
        <w:t>，</w:t>
      </w:r>
      <w:r>
        <w:rPr>
          <w:rFonts w:ascii="Times New Roman" w:hAnsi="Times New Roman" w:eastAsia="方正仿宋_GBK"/>
          <w:sz w:val="32"/>
        </w:rPr>
        <w:t>战新产业实现</w:t>
      </w:r>
      <w:r>
        <w:rPr>
          <w:rFonts w:hint="eastAsia" w:ascii="Times New Roman" w:hAnsi="Times New Roman" w:eastAsia="方正仿宋_GBK"/>
          <w:sz w:val="32"/>
        </w:rPr>
        <w:t>增加值</w:t>
      </w:r>
      <w:r>
        <w:rPr>
          <w:rFonts w:hint="eastAsia" w:ascii="Times New Roman" w:hAnsi="Times New Roman" w:eastAsia="方正仿宋_GBK"/>
          <w:sz w:val="32"/>
          <w:lang w:val="en-US" w:eastAsia="zh-CN"/>
        </w:rPr>
        <w:t>83</w:t>
      </w:r>
      <w:r>
        <w:rPr>
          <w:rFonts w:ascii="Times New Roman" w:hAnsi="Times New Roman" w:eastAsia="方正仿宋_GBK"/>
          <w:sz w:val="32"/>
        </w:rPr>
        <w:t>亿元、增长</w:t>
      </w:r>
      <w:r>
        <w:rPr>
          <w:rFonts w:hint="eastAsia" w:ascii="Times New Roman" w:hAnsi="Times New Roman" w:eastAsia="方正仿宋_GBK"/>
          <w:sz w:val="32"/>
        </w:rPr>
        <w:t>1</w:t>
      </w:r>
      <w:r>
        <w:rPr>
          <w:rFonts w:hint="eastAsia" w:ascii="Times New Roman" w:hAnsi="Times New Roman" w:eastAsia="方正仿宋_GBK"/>
          <w:sz w:val="32"/>
          <w:lang w:val="en-US" w:eastAsia="zh-CN"/>
        </w:rPr>
        <w:t>5</w:t>
      </w:r>
      <w:r>
        <w:rPr>
          <w:rFonts w:ascii="Times New Roman" w:hAnsi="Times New Roman" w:eastAsia="方正仿宋_GBK"/>
          <w:sz w:val="32"/>
        </w:rPr>
        <w:t>%</w:t>
      </w:r>
      <w:r>
        <w:rPr>
          <w:rFonts w:hint="eastAsia" w:ascii="Times New Roman" w:hAnsi="Times New Roman" w:eastAsia="方正仿宋_GBK"/>
          <w:sz w:val="32"/>
        </w:rPr>
        <w:t>，</w:t>
      </w:r>
      <w:r>
        <w:rPr>
          <w:rFonts w:ascii="Times New Roman" w:hAnsi="Times New Roman" w:eastAsia="方正仿宋_GBK"/>
          <w:sz w:val="32"/>
        </w:rPr>
        <w:t>高技术产业实现产值</w:t>
      </w:r>
      <w:r>
        <w:rPr>
          <w:rFonts w:hint="eastAsia" w:ascii="Times New Roman" w:hAnsi="Times New Roman" w:eastAsia="方正仿宋_GBK"/>
          <w:sz w:val="32"/>
        </w:rPr>
        <w:t>93</w:t>
      </w:r>
      <w:r>
        <w:rPr>
          <w:rFonts w:ascii="Times New Roman" w:hAnsi="Times New Roman" w:eastAsia="方正仿宋_GBK"/>
          <w:sz w:val="32"/>
        </w:rPr>
        <w:t>亿元、增长</w:t>
      </w:r>
      <w:r>
        <w:rPr>
          <w:rFonts w:hint="eastAsia" w:ascii="Times New Roman" w:hAnsi="Times New Roman" w:eastAsia="方正仿宋_GBK"/>
          <w:sz w:val="32"/>
        </w:rPr>
        <w:t>21</w:t>
      </w:r>
      <w:r>
        <w:rPr>
          <w:rFonts w:ascii="Times New Roman" w:hAnsi="Times New Roman" w:eastAsia="方正仿宋_GBK"/>
          <w:sz w:val="32"/>
        </w:rPr>
        <w:t>%</w:t>
      </w:r>
      <w:r>
        <w:rPr>
          <w:rFonts w:hint="eastAsia" w:ascii="Times New Roman" w:hAnsi="Times New Roman" w:eastAsia="方正仿宋_GBK"/>
          <w:sz w:val="32"/>
        </w:rPr>
        <w:t>，</w:t>
      </w:r>
      <w:r>
        <w:rPr>
          <w:rFonts w:ascii="Times New Roman" w:hAnsi="Times New Roman" w:eastAsia="方正仿宋_GBK"/>
          <w:sz w:val="32"/>
        </w:rPr>
        <w:t>数字产业实现增加值</w:t>
      </w:r>
      <w:r>
        <w:rPr>
          <w:rFonts w:hint="eastAsia" w:ascii="Times New Roman" w:hAnsi="Times New Roman" w:eastAsia="方正仿宋_GBK"/>
          <w:sz w:val="32"/>
        </w:rPr>
        <w:t>43</w:t>
      </w:r>
      <w:r>
        <w:rPr>
          <w:rFonts w:ascii="Times New Roman" w:hAnsi="Times New Roman" w:eastAsia="方正仿宋_GBK"/>
          <w:sz w:val="32"/>
        </w:rPr>
        <w:t>亿元、增长</w:t>
      </w:r>
      <w:r>
        <w:rPr>
          <w:rFonts w:hint="eastAsia" w:ascii="Times New Roman" w:hAnsi="Times New Roman" w:eastAsia="方正仿宋_GBK"/>
          <w:sz w:val="32"/>
        </w:rPr>
        <w:t>25</w:t>
      </w:r>
      <w:r>
        <w:rPr>
          <w:rFonts w:ascii="Times New Roman" w:hAnsi="Times New Roman" w:eastAsia="方正仿宋_GBK"/>
          <w:sz w:val="32"/>
        </w:rPr>
        <w:t>%</w:t>
      </w:r>
      <w:r>
        <w:rPr>
          <w:rFonts w:hint="eastAsia" w:ascii="Times New Roman" w:hAnsi="Times New Roman" w:eastAsia="方正仿宋_GBK"/>
          <w:sz w:val="32"/>
        </w:rPr>
        <w:t>。科技水平不断提升，</w:t>
      </w:r>
      <w:r>
        <w:rPr>
          <w:rFonts w:ascii="Times New Roman" w:hAnsi="Times New Roman" w:eastAsia="方正仿宋_GBK"/>
          <w:sz w:val="32"/>
        </w:rPr>
        <w:t>组织4家企业申报市级智能工厂</w:t>
      </w:r>
      <w:r>
        <w:rPr>
          <w:rFonts w:hint="eastAsia" w:ascii="Times New Roman" w:hAnsi="Times New Roman" w:eastAsia="方正仿宋_GBK"/>
          <w:sz w:val="32"/>
        </w:rPr>
        <w:t>，推动</w:t>
      </w:r>
      <w:r>
        <w:rPr>
          <w:rFonts w:ascii="Times New Roman" w:hAnsi="Times New Roman" w:eastAsia="方正仿宋_GBK"/>
          <w:sz w:val="32"/>
        </w:rPr>
        <w:t>32家企业申报市级数字化车间，</w:t>
      </w:r>
      <w:r>
        <w:rPr>
          <w:rFonts w:hint="eastAsia" w:ascii="Times New Roman" w:hAnsi="Times New Roman" w:eastAsia="方正仿宋_GBK"/>
          <w:sz w:val="32"/>
        </w:rPr>
        <w:t>规上工业企业研发支出22亿元</w:t>
      </w:r>
      <w:r>
        <w:rPr>
          <w:rFonts w:ascii="Times New Roman" w:hAnsi="Times New Roman" w:eastAsia="方正仿宋_GBK"/>
          <w:sz w:val="32"/>
        </w:rPr>
        <w:t>。质量效益显著提升</w:t>
      </w:r>
      <w:r>
        <w:rPr>
          <w:rFonts w:hint="eastAsia" w:ascii="Times New Roman" w:hAnsi="Times New Roman" w:eastAsia="方正仿宋_GBK"/>
          <w:sz w:val="32"/>
        </w:rPr>
        <w:t>，</w:t>
      </w:r>
      <w:r>
        <w:rPr>
          <w:rFonts w:ascii="Times New Roman" w:hAnsi="Times New Roman" w:eastAsia="方正仿宋_GBK"/>
          <w:sz w:val="32"/>
        </w:rPr>
        <w:t>规上工业企业</w:t>
      </w:r>
      <w:r>
        <w:rPr>
          <w:rFonts w:hint="eastAsia" w:ascii="Times New Roman" w:hAnsi="Times New Roman" w:eastAsia="方正仿宋_GBK"/>
          <w:sz w:val="32"/>
        </w:rPr>
        <w:t>产销率同比提高1个百分点，税后利润</w:t>
      </w:r>
      <w:r>
        <w:rPr>
          <w:rFonts w:ascii="Times New Roman" w:hAnsi="Times New Roman" w:eastAsia="方正仿宋_GBK"/>
          <w:sz w:val="32"/>
        </w:rPr>
        <w:t>增长</w:t>
      </w:r>
      <w:r>
        <w:rPr>
          <w:rFonts w:hint="eastAsia" w:ascii="Times New Roman" w:hAnsi="Times New Roman" w:eastAsia="方正仿宋_GBK"/>
          <w:sz w:val="32"/>
        </w:rPr>
        <w:t>1.8</w:t>
      </w:r>
      <w:r>
        <w:rPr>
          <w:rFonts w:ascii="Times New Roman" w:hAnsi="Times New Roman" w:eastAsia="方正仿宋_GBK"/>
          <w:sz w:val="32"/>
        </w:rPr>
        <w:t>倍，</w:t>
      </w:r>
      <w:r>
        <w:rPr>
          <w:rFonts w:hint="eastAsia" w:ascii="Times New Roman" w:hAnsi="Times New Roman" w:eastAsia="方正仿宋_GBK"/>
          <w:sz w:val="32"/>
        </w:rPr>
        <w:t>主营业务利润率提高5.7个百分点，在岗职工人均产值增长35%</w:t>
      </w:r>
      <w:r>
        <w:rPr>
          <w:rFonts w:ascii="Times New Roman" w:hAnsi="Times New Roman" w:eastAsia="方正仿宋_GBK"/>
          <w:sz w:val="32"/>
        </w:rPr>
        <w:t>。要素保障坚实有力</w:t>
      </w:r>
      <w:r>
        <w:rPr>
          <w:rFonts w:hint="eastAsia" w:ascii="Times New Roman" w:hAnsi="Times New Roman" w:eastAsia="方正仿宋_GBK"/>
          <w:sz w:val="32"/>
        </w:rPr>
        <w:t>，</w:t>
      </w:r>
      <w:r>
        <w:rPr>
          <w:rFonts w:ascii="Times New Roman" w:hAnsi="Times New Roman" w:eastAsia="方正仿宋_GBK"/>
          <w:sz w:val="32"/>
        </w:rPr>
        <w:t>与中石油签订天然气保供战略合作协议，黄草峡储气库</w:t>
      </w:r>
      <w:r>
        <w:rPr>
          <w:rFonts w:hint="eastAsia" w:ascii="Times New Roman" w:hAnsi="Times New Roman" w:eastAsia="方正仿宋_GBK"/>
          <w:sz w:val="32"/>
        </w:rPr>
        <w:t>开始先导性储气实验，中国航油西南战略储运基地项目开工</w:t>
      </w:r>
      <w:r>
        <w:rPr>
          <w:rFonts w:ascii="Times New Roman" w:hAnsi="Times New Roman" w:eastAsia="方正仿宋_GBK"/>
          <w:sz w:val="32"/>
        </w:rPr>
        <w:t>，规上工业能源消费增长</w:t>
      </w:r>
      <w:r>
        <w:rPr>
          <w:rFonts w:hint="eastAsia" w:ascii="Times New Roman" w:hAnsi="Times New Roman" w:eastAsia="方正仿宋_GBK"/>
          <w:sz w:val="32"/>
        </w:rPr>
        <w:t>5.1</w:t>
      </w:r>
      <w:r>
        <w:rPr>
          <w:rFonts w:ascii="Times New Roman" w:hAnsi="Times New Roman" w:eastAsia="方正仿宋_GBK"/>
          <w:sz w:val="32"/>
        </w:rPr>
        <w:t>%。</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楷体_GBK" w:cs="方正楷体_GBK"/>
          <w:sz w:val="32"/>
        </w:rPr>
      </w:pPr>
      <w:r>
        <w:rPr>
          <w:rFonts w:hint="eastAsia" w:ascii="Times New Roman" w:hAnsi="Times New Roman" w:eastAsia="方正楷体_GBK" w:cs="方正楷体_GBK"/>
          <w:sz w:val="32"/>
        </w:rPr>
        <w:t>（三）强化重大项目带动牵引，支撑有力、后劲充足。</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rPr>
      </w:pPr>
      <w:r>
        <w:rPr>
          <w:rFonts w:ascii="Times New Roman" w:hAnsi="Times New Roman" w:eastAsia="方正仿宋_GBK"/>
          <w:sz w:val="32"/>
        </w:rPr>
        <w:t>坚</w:t>
      </w:r>
      <w:r>
        <w:rPr>
          <w:rFonts w:hint="eastAsia" w:ascii="Times New Roman" w:hAnsi="Times New Roman" w:eastAsia="方正仿宋_GBK" w:cs="方正仿宋_GBK"/>
          <w:sz w:val="32"/>
        </w:rPr>
        <w:t>持“项目跟着规划走、要素跟着项目走”</w:t>
      </w:r>
      <w:r>
        <w:rPr>
          <w:rFonts w:ascii="Times New Roman" w:hAnsi="Times New Roman" w:eastAsia="方正仿宋_GBK"/>
          <w:sz w:val="32"/>
        </w:rPr>
        <w:t>，不断增强稳投资、保发展、惠民生的能力。牵住重大项目牛鼻子</w:t>
      </w:r>
      <w:r>
        <w:rPr>
          <w:rFonts w:hint="eastAsia" w:ascii="Times New Roman" w:hAnsi="Times New Roman" w:eastAsia="方正仿宋_GBK"/>
          <w:sz w:val="32"/>
        </w:rPr>
        <w:t>，</w:t>
      </w:r>
      <w:r>
        <w:rPr>
          <w:rFonts w:ascii="Times New Roman" w:hAnsi="Times New Roman" w:eastAsia="方正仿宋_GBK"/>
          <w:sz w:val="32"/>
        </w:rPr>
        <w:t>创新竞进拉练、视频调度等新模式新方法，</w:t>
      </w:r>
      <w:r>
        <w:rPr>
          <w:rFonts w:hint="eastAsia" w:ascii="Times New Roman" w:hAnsi="Times New Roman" w:eastAsia="方正仿宋_GBK"/>
          <w:sz w:val="32"/>
        </w:rPr>
        <w:t>提高重大项目建设速率，</w:t>
      </w:r>
      <w:r>
        <w:rPr>
          <w:rFonts w:ascii="Times New Roman" w:hAnsi="Times New Roman" w:eastAsia="方正仿宋_GBK"/>
          <w:sz w:val="32"/>
        </w:rPr>
        <w:t>40个竞进拉练项目完成投资</w:t>
      </w:r>
      <w:r>
        <w:rPr>
          <w:rFonts w:hint="eastAsia" w:ascii="Times New Roman" w:hAnsi="Times New Roman" w:eastAsia="方正仿宋_GBK"/>
          <w:sz w:val="32"/>
        </w:rPr>
        <w:t>106</w:t>
      </w:r>
      <w:r>
        <w:rPr>
          <w:rFonts w:ascii="Times New Roman" w:hAnsi="Times New Roman" w:eastAsia="方正仿宋_GBK"/>
          <w:sz w:val="32"/>
        </w:rPr>
        <w:t>亿元</w:t>
      </w:r>
      <w:r>
        <w:rPr>
          <w:rFonts w:hint="eastAsia" w:ascii="Times New Roman" w:hAnsi="Times New Roman" w:eastAsia="方正仿宋_GBK"/>
          <w:sz w:val="32"/>
        </w:rPr>
        <w:t>，投资完成率94%，</w:t>
      </w:r>
      <w:r>
        <w:rPr>
          <w:rFonts w:ascii="Times New Roman" w:hAnsi="Times New Roman" w:eastAsia="方正仿宋_GBK"/>
          <w:sz w:val="32"/>
        </w:rPr>
        <w:t>19个市级重大建设项目完成投资</w:t>
      </w:r>
      <w:r>
        <w:rPr>
          <w:rFonts w:hint="eastAsia" w:ascii="Times New Roman" w:hAnsi="Times New Roman" w:eastAsia="方正仿宋_GBK"/>
          <w:sz w:val="32"/>
        </w:rPr>
        <w:t>80</w:t>
      </w:r>
      <w:r>
        <w:rPr>
          <w:rFonts w:ascii="Times New Roman" w:hAnsi="Times New Roman" w:eastAsia="方正仿宋_GBK"/>
          <w:sz w:val="32"/>
        </w:rPr>
        <w:t>亿元</w:t>
      </w:r>
      <w:r>
        <w:rPr>
          <w:rFonts w:hint="eastAsia" w:ascii="Times New Roman" w:hAnsi="Times New Roman" w:eastAsia="方正仿宋_GBK"/>
          <w:sz w:val="32"/>
        </w:rPr>
        <w:t>，投资完成率127%。全区“十四五”规划布局的重大项目已开工建设122个、完成投资305亿元。纳入全市“十四五”规划的54项重大项目有35项实现落地建设</w:t>
      </w:r>
      <w:r>
        <w:rPr>
          <w:rFonts w:ascii="Times New Roman" w:hAnsi="Times New Roman" w:eastAsia="方正仿宋_GBK"/>
          <w:sz w:val="32"/>
        </w:rPr>
        <w:t>。强化工业投资主力军</w:t>
      </w:r>
      <w:r>
        <w:rPr>
          <w:rFonts w:hint="eastAsia" w:ascii="Times New Roman" w:hAnsi="Times New Roman" w:eastAsia="方正仿宋_GBK"/>
          <w:sz w:val="32"/>
        </w:rPr>
        <w:t>，</w:t>
      </w:r>
      <w:r>
        <w:rPr>
          <w:rFonts w:ascii="Times New Roman" w:hAnsi="Times New Roman" w:eastAsia="方正仿宋_GBK"/>
          <w:sz w:val="32"/>
        </w:rPr>
        <w:t>举行两次工业项目</w:t>
      </w:r>
      <w:r>
        <w:rPr>
          <w:rFonts w:hint="eastAsia" w:ascii="方正仿宋_GBK" w:hAnsi="方正仿宋_GBK" w:eastAsia="方正仿宋_GBK" w:cs="方正仿宋_GBK"/>
          <w:sz w:val="32"/>
        </w:rPr>
        <w:t>“三集中”活</w:t>
      </w:r>
      <w:r>
        <w:rPr>
          <w:rFonts w:ascii="Times New Roman" w:hAnsi="Times New Roman" w:eastAsia="方正仿宋_GBK"/>
          <w:sz w:val="32"/>
        </w:rPr>
        <w:t>动，共签约、开工、投产项目131个，预计新增产能11</w:t>
      </w:r>
      <w:r>
        <w:rPr>
          <w:rFonts w:hint="eastAsia" w:ascii="Times New Roman" w:hAnsi="Times New Roman" w:eastAsia="方正仿宋_GBK"/>
          <w:sz w:val="32"/>
        </w:rPr>
        <w:t>59</w:t>
      </w:r>
      <w:r>
        <w:rPr>
          <w:rFonts w:ascii="Times New Roman" w:hAnsi="Times New Roman" w:eastAsia="方正仿宋_GBK"/>
          <w:sz w:val="32"/>
        </w:rPr>
        <w:t>亿元</w:t>
      </w:r>
      <w:r>
        <w:rPr>
          <w:rFonts w:hint="eastAsia" w:ascii="Times New Roman" w:hAnsi="Times New Roman" w:eastAsia="方正仿宋_GBK"/>
          <w:sz w:val="32"/>
        </w:rPr>
        <w:t>，大力推进工业技改，完工</w:t>
      </w:r>
      <w:r>
        <w:rPr>
          <w:rFonts w:ascii="Times New Roman" w:hAnsi="Times New Roman" w:eastAsia="方正仿宋_GBK"/>
          <w:sz w:val="32"/>
        </w:rPr>
        <w:t>技改项目</w:t>
      </w:r>
      <w:r>
        <w:rPr>
          <w:rFonts w:hint="eastAsia" w:ascii="Times New Roman" w:hAnsi="Times New Roman" w:eastAsia="方正仿宋_GBK"/>
          <w:sz w:val="32"/>
        </w:rPr>
        <w:t>51个</w:t>
      </w:r>
      <w:r>
        <w:rPr>
          <w:rFonts w:ascii="Times New Roman" w:hAnsi="Times New Roman" w:eastAsia="方正仿宋_GBK"/>
          <w:sz w:val="32"/>
        </w:rPr>
        <w:t>，完成</w:t>
      </w:r>
      <w:r>
        <w:rPr>
          <w:rFonts w:hint="eastAsia" w:ascii="Times New Roman" w:hAnsi="Times New Roman" w:eastAsia="方正仿宋_GBK"/>
          <w:sz w:val="32"/>
        </w:rPr>
        <w:t>技改</w:t>
      </w:r>
      <w:r>
        <w:rPr>
          <w:rFonts w:ascii="Times New Roman" w:hAnsi="Times New Roman" w:eastAsia="方正仿宋_GBK"/>
          <w:sz w:val="32"/>
        </w:rPr>
        <w:t>投资</w:t>
      </w:r>
      <w:r>
        <w:rPr>
          <w:rFonts w:hint="eastAsia" w:ascii="Times New Roman" w:hAnsi="Times New Roman" w:eastAsia="方正仿宋_GBK"/>
          <w:sz w:val="32"/>
        </w:rPr>
        <w:t>66</w:t>
      </w:r>
      <w:r>
        <w:rPr>
          <w:rFonts w:ascii="Times New Roman" w:hAnsi="Times New Roman" w:eastAsia="方正仿宋_GBK"/>
          <w:sz w:val="32"/>
        </w:rPr>
        <w:t>亿元，占工业投资比重达</w:t>
      </w:r>
      <w:r>
        <w:rPr>
          <w:rFonts w:hint="eastAsia" w:ascii="Times New Roman" w:hAnsi="Times New Roman" w:eastAsia="方正仿宋_GBK"/>
          <w:sz w:val="32"/>
        </w:rPr>
        <w:t>40</w:t>
      </w:r>
      <w:r>
        <w:rPr>
          <w:rFonts w:ascii="Times New Roman" w:hAnsi="Times New Roman" w:eastAsia="方正仿宋_GBK"/>
          <w:sz w:val="32"/>
        </w:rPr>
        <w:t>%。握紧招商引资生命线</w:t>
      </w:r>
      <w:r>
        <w:rPr>
          <w:rFonts w:hint="eastAsia" w:ascii="Times New Roman" w:hAnsi="Times New Roman" w:eastAsia="方正仿宋_GBK"/>
          <w:sz w:val="32"/>
        </w:rPr>
        <w:t>，</w:t>
      </w:r>
      <w:r>
        <w:rPr>
          <w:rFonts w:ascii="Times New Roman" w:hAnsi="Times New Roman" w:eastAsia="方正仿宋_GBK"/>
          <w:sz w:val="32"/>
        </w:rPr>
        <w:t>签约项目</w:t>
      </w:r>
      <w:r>
        <w:rPr>
          <w:rFonts w:hint="eastAsia" w:ascii="Times New Roman" w:hAnsi="Times New Roman" w:eastAsia="方正仿宋_GBK"/>
          <w:sz w:val="32"/>
        </w:rPr>
        <w:t>107</w:t>
      </w:r>
      <w:r>
        <w:rPr>
          <w:rFonts w:ascii="Times New Roman" w:hAnsi="Times New Roman" w:eastAsia="方正仿宋_GBK"/>
          <w:sz w:val="32"/>
        </w:rPr>
        <w:t>个、合同引资</w:t>
      </w:r>
      <w:r>
        <w:rPr>
          <w:rFonts w:hint="eastAsia" w:ascii="Times New Roman" w:hAnsi="Times New Roman" w:eastAsia="方正仿宋_GBK"/>
          <w:sz w:val="32"/>
        </w:rPr>
        <w:t>650</w:t>
      </w:r>
      <w:r>
        <w:rPr>
          <w:rFonts w:ascii="Times New Roman" w:hAnsi="Times New Roman" w:eastAsia="方正仿宋_GBK"/>
          <w:sz w:val="32"/>
        </w:rPr>
        <w:t>亿元，市外项目到位资金</w:t>
      </w:r>
      <w:r>
        <w:rPr>
          <w:rFonts w:hint="eastAsia" w:ascii="Times New Roman" w:hAnsi="Times New Roman" w:eastAsia="方正仿宋_GBK"/>
          <w:sz w:val="32"/>
        </w:rPr>
        <w:t>150</w:t>
      </w:r>
      <w:r>
        <w:rPr>
          <w:rFonts w:ascii="Times New Roman" w:hAnsi="Times New Roman" w:eastAsia="方正仿宋_GBK"/>
          <w:sz w:val="32"/>
        </w:rPr>
        <w:t>亿元。招大引新、补链增智成效明显，引进</w:t>
      </w:r>
      <w:r>
        <w:rPr>
          <w:rFonts w:hint="eastAsia" w:ascii="Times New Roman" w:hAnsi="Times New Roman" w:eastAsia="方正仿宋_GBK"/>
          <w:sz w:val="32"/>
        </w:rPr>
        <w:t>百亿级项目1个、</w:t>
      </w:r>
      <w:r>
        <w:rPr>
          <w:rFonts w:ascii="Times New Roman" w:hAnsi="Times New Roman" w:eastAsia="方正仿宋_GBK"/>
          <w:sz w:val="32"/>
        </w:rPr>
        <w:t>十亿级项目</w:t>
      </w:r>
      <w:r>
        <w:rPr>
          <w:rFonts w:hint="eastAsia" w:ascii="Times New Roman" w:hAnsi="Times New Roman" w:eastAsia="方正仿宋_GBK"/>
          <w:sz w:val="32"/>
        </w:rPr>
        <w:t>17</w:t>
      </w:r>
      <w:r>
        <w:rPr>
          <w:rFonts w:ascii="Times New Roman" w:hAnsi="Times New Roman" w:eastAsia="方正仿宋_GBK"/>
          <w:sz w:val="32"/>
        </w:rPr>
        <w:t>个、亿元级项目</w:t>
      </w:r>
      <w:r>
        <w:rPr>
          <w:rFonts w:hint="eastAsia" w:ascii="Times New Roman" w:hAnsi="Times New Roman" w:eastAsia="方正仿宋_GBK"/>
          <w:sz w:val="32"/>
        </w:rPr>
        <w:t>59</w:t>
      </w:r>
      <w:r>
        <w:rPr>
          <w:rFonts w:ascii="Times New Roman" w:hAnsi="Times New Roman" w:eastAsia="方正仿宋_GBK"/>
          <w:sz w:val="32"/>
        </w:rPr>
        <w:t>个，引进战新产业项目</w:t>
      </w:r>
      <w:r>
        <w:rPr>
          <w:rFonts w:hint="eastAsia" w:ascii="Times New Roman" w:hAnsi="Times New Roman" w:eastAsia="方正仿宋_GBK"/>
          <w:sz w:val="32"/>
        </w:rPr>
        <w:t>25</w:t>
      </w:r>
      <w:r>
        <w:rPr>
          <w:rFonts w:ascii="Times New Roman" w:hAnsi="Times New Roman" w:eastAsia="方正仿宋_GBK"/>
          <w:sz w:val="32"/>
        </w:rPr>
        <w:t>个，</w:t>
      </w:r>
      <w:r>
        <w:rPr>
          <w:rFonts w:hint="eastAsia" w:ascii="Times New Roman" w:hAnsi="Times New Roman" w:eastAsia="方正仿宋_GBK"/>
          <w:sz w:val="32"/>
        </w:rPr>
        <w:t>引资额</w:t>
      </w:r>
      <w:r>
        <w:rPr>
          <w:rFonts w:ascii="Times New Roman" w:hAnsi="Times New Roman" w:eastAsia="方正仿宋_GBK"/>
          <w:sz w:val="32"/>
        </w:rPr>
        <w:t>占工业引资</w:t>
      </w:r>
      <w:r>
        <w:rPr>
          <w:rFonts w:hint="eastAsia" w:ascii="Times New Roman" w:hAnsi="Times New Roman" w:eastAsia="方正仿宋_GBK"/>
          <w:sz w:val="32"/>
        </w:rPr>
        <w:t>总量</w:t>
      </w:r>
      <w:r>
        <w:rPr>
          <w:rFonts w:ascii="Times New Roman" w:hAnsi="Times New Roman" w:eastAsia="方正仿宋_GBK"/>
          <w:sz w:val="32"/>
        </w:rPr>
        <w:t>的</w:t>
      </w:r>
      <w:r>
        <w:rPr>
          <w:rFonts w:hint="eastAsia" w:ascii="Times New Roman" w:hAnsi="Times New Roman" w:eastAsia="方正仿宋_GBK"/>
          <w:sz w:val="32"/>
        </w:rPr>
        <w:t>47</w:t>
      </w:r>
      <w:r>
        <w:rPr>
          <w:rFonts w:ascii="Times New Roman" w:hAnsi="Times New Roman" w:eastAsia="方正仿宋_GBK"/>
          <w:sz w:val="32"/>
        </w:rPr>
        <w:t>%。增强资金资源保障力</w:t>
      </w:r>
      <w:r>
        <w:rPr>
          <w:rFonts w:hint="eastAsia" w:ascii="Times New Roman" w:hAnsi="Times New Roman" w:eastAsia="方正仿宋_GBK"/>
          <w:sz w:val="32"/>
        </w:rPr>
        <w:t>，</w:t>
      </w:r>
      <w:r>
        <w:rPr>
          <w:rFonts w:ascii="Times New Roman" w:hAnsi="Times New Roman" w:eastAsia="方正仿宋_GBK"/>
          <w:sz w:val="32"/>
        </w:rPr>
        <w:t>新获批中央预算内资金</w:t>
      </w:r>
      <w:r>
        <w:rPr>
          <w:rFonts w:hint="eastAsia" w:ascii="Times New Roman" w:hAnsi="Times New Roman" w:eastAsia="方正仿宋_GBK"/>
          <w:sz w:val="32"/>
        </w:rPr>
        <w:t>2.3</w:t>
      </w:r>
      <w:r>
        <w:rPr>
          <w:rFonts w:ascii="Times New Roman" w:hAnsi="Times New Roman" w:eastAsia="方正仿宋_GBK"/>
          <w:sz w:val="32"/>
        </w:rPr>
        <w:t>亿元</w:t>
      </w:r>
      <w:r>
        <w:rPr>
          <w:rFonts w:hint="eastAsia" w:ascii="Times New Roman" w:hAnsi="Times New Roman" w:eastAsia="方正仿宋_GBK"/>
          <w:sz w:val="32"/>
        </w:rPr>
        <w:t>、</w:t>
      </w:r>
      <w:r>
        <w:rPr>
          <w:rFonts w:ascii="Times New Roman" w:hAnsi="Times New Roman" w:eastAsia="方正仿宋_GBK"/>
          <w:sz w:val="32"/>
        </w:rPr>
        <w:t>专项债</w:t>
      </w:r>
      <w:r>
        <w:rPr>
          <w:rFonts w:hint="eastAsia" w:ascii="Times New Roman" w:hAnsi="Times New Roman" w:eastAsia="方正仿宋_GBK"/>
          <w:sz w:val="32"/>
        </w:rPr>
        <w:t>8</w:t>
      </w:r>
      <w:r>
        <w:rPr>
          <w:rFonts w:ascii="Times New Roman" w:hAnsi="Times New Roman" w:eastAsia="方正仿宋_GBK"/>
          <w:sz w:val="32"/>
        </w:rPr>
        <w:t>亿元，</w:t>
      </w:r>
      <w:r>
        <w:rPr>
          <w:rFonts w:hint="eastAsia" w:ascii="Times New Roman" w:hAnsi="Times New Roman" w:eastAsia="方正仿宋_GBK"/>
          <w:sz w:val="32"/>
        </w:rPr>
        <w:t>新获金融机构授信380亿元</w:t>
      </w:r>
      <w:r>
        <w:rPr>
          <w:rFonts w:ascii="Times New Roman" w:hAnsi="Times New Roman" w:eastAsia="方正仿宋_GBK"/>
          <w:sz w:val="32"/>
        </w:rPr>
        <w:t>。</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今年以来，区政府坚决</w:t>
      </w:r>
      <w:r>
        <w:rPr>
          <w:rFonts w:ascii="Times New Roman" w:hAnsi="Times New Roman" w:eastAsia="方正仿宋_GBK"/>
          <w:sz w:val="32"/>
        </w:rPr>
        <w:t>把狠抓</w:t>
      </w:r>
      <w:r>
        <w:rPr>
          <w:rFonts w:hint="eastAsia" w:ascii="方正仿宋_GBK" w:hAnsi="方正仿宋_GBK" w:eastAsia="方正仿宋_GBK" w:cs="方正仿宋_GBK"/>
          <w:sz w:val="32"/>
        </w:rPr>
        <w:t>“四重”</w:t>
      </w:r>
      <w:r>
        <w:rPr>
          <w:rFonts w:ascii="Times New Roman" w:hAnsi="Times New Roman" w:eastAsia="方正仿宋_GBK"/>
          <w:sz w:val="32"/>
        </w:rPr>
        <w:t>项目建设作为落实人大决定、接受人大监督、回应民生关切的重要工作，2021年</w:t>
      </w:r>
      <w:r>
        <w:rPr>
          <w:rFonts w:hint="eastAsia" w:ascii="方正仿宋_GBK" w:hAnsi="方正仿宋_GBK" w:eastAsia="方正仿宋_GBK" w:cs="方正仿宋_GBK"/>
          <w:sz w:val="32"/>
        </w:rPr>
        <w:t>安排“四重”</w:t>
      </w:r>
      <w:r>
        <w:rPr>
          <w:rFonts w:ascii="Times New Roman" w:hAnsi="Times New Roman" w:eastAsia="方正仿宋_GBK"/>
          <w:sz w:val="32"/>
        </w:rPr>
        <w:t>项目27个，总投资49.2亿元，年度计划投资15.9亿元</w:t>
      </w:r>
      <w:r>
        <w:rPr>
          <w:rFonts w:hint="eastAsia" w:ascii="Times New Roman" w:hAnsi="Times New Roman" w:eastAsia="方正仿宋_GBK"/>
          <w:sz w:val="32"/>
        </w:rPr>
        <w:t>，竣工8</w:t>
      </w:r>
      <w:r>
        <w:rPr>
          <w:rFonts w:ascii="Times New Roman" w:hAnsi="Times New Roman" w:eastAsia="方正仿宋_GBK"/>
          <w:sz w:val="32"/>
        </w:rPr>
        <w:t>个、在建</w:t>
      </w:r>
      <w:r>
        <w:rPr>
          <w:rFonts w:hint="eastAsia" w:ascii="Times New Roman" w:hAnsi="Times New Roman" w:eastAsia="方正仿宋_GBK"/>
          <w:sz w:val="32"/>
        </w:rPr>
        <w:t>17</w:t>
      </w:r>
      <w:r>
        <w:rPr>
          <w:rFonts w:ascii="Times New Roman" w:hAnsi="Times New Roman" w:eastAsia="方正仿宋_GBK"/>
          <w:sz w:val="32"/>
        </w:rPr>
        <w:t>个</w:t>
      </w:r>
      <w:r>
        <w:rPr>
          <w:rFonts w:hint="eastAsia" w:ascii="Times New Roman" w:hAnsi="Times New Roman" w:eastAsia="方正仿宋_GBK"/>
          <w:sz w:val="32"/>
        </w:rPr>
        <w:t>，处于前期工作阶段2个</w:t>
      </w:r>
      <w:r>
        <w:rPr>
          <w:rFonts w:ascii="Times New Roman" w:hAnsi="Times New Roman" w:eastAsia="方正仿宋_GBK"/>
          <w:sz w:val="32"/>
        </w:rPr>
        <w:t>，完成投资</w:t>
      </w:r>
      <w:r>
        <w:rPr>
          <w:rFonts w:hint="eastAsia" w:ascii="Times New Roman" w:hAnsi="Times New Roman" w:eastAsia="方正仿宋_GBK"/>
          <w:sz w:val="32"/>
        </w:rPr>
        <w:t>16.</w:t>
      </w:r>
      <w:r>
        <w:rPr>
          <w:rFonts w:hint="eastAsia" w:ascii="Times New Roman" w:hAnsi="Times New Roman" w:eastAsia="方正仿宋_GBK"/>
          <w:sz w:val="32"/>
          <w:lang w:val="en-US" w:eastAsia="zh-CN"/>
        </w:rPr>
        <w:t>66</w:t>
      </w:r>
      <w:r>
        <w:rPr>
          <w:rFonts w:ascii="Times New Roman" w:hAnsi="Times New Roman" w:eastAsia="方正仿宋_GBK"/>
          <w:sz w:val="32"/>
        </w:rPr>
        <w:t>亿元</w:t>
      </w:r>
      <w:r>
        <w:rPr>
          <w:rFonts w:hint="eastAsia" w:ascii="Times New Roman" w:hAnsi="Times New Roman" w:eastAsia="方正仿宋_GBK"/>
          <w:sz w:val="32"/>
        </w:rPr>
        <w:t>，计划投资完成率105%</w:t>
      </w:r>
      <w:r>
        <w:rPr>
          <w:rFonts w:ascii="Times New Roman" w:hAnsi="Times New Roman" w:eastAsia="方正仿宋_GBK"/>
          <w:sz w:val="32"/>
        </w:rPr>
        <w:t>。</w:t>
      </w:r>
      <w:r>
        <w:rPr>
          <w:rFonts w:hint="eastAsia" w:ascii="Times New Roman" w:hAnsi="Times New Roman" w:eastAsia="方正仿宋_GBK"/>
          <w:sz w:val="32"/>
        </w:rPr>
        <w:t>分领域看</w:t>
      </w:r>
      <w:r>
        <w:rPr>
          <w:rFonts w:ascii="Times New Roman" w:hAnsi="Times New Roman" w:eastAsia="方正仿宋_GBK"/>
          <w:sz w:val="32"/>
        </w:rPr>
        <w:t>，重大民生工程完成投资</w:t>
      </w:r>
      <w:r>
        <w:rPr>
          <w:rFonts w:hint="eastAsia" w:ascii="Times New Roman" w:hAnsi="Times New Roman" w:eastAsia="方正仿宋_GBK"/>
          <w:sz w:val="32"/>
        </w:rPr>
        <w:t>5.5</w:t>
      </w:r>
      <w:r>
        <w:rPr>
          <w:rFonts w:hint="eastAsia" w:ascii="Times New Roman" w:hAnsi="Times New Roman" w:eastAsia="方正仿宋_GBK"/>
          <w:sz w:val="32"/>
          <w:lang w:val="en-US" w:eastAsia="zh-CN"/>
        </w:rPr>
        <w:t>1</w:t>
      </w:r>
      <w:r>
        <w:rPr>
          <w:rFonts w:ascii="Times New Roman" w:hAnsi="Times New Roman" w:eastAsia="方正仿宋_GBK"/>
          <w:sz w:val="32"/>
        </w:rPr>
        <w:t>亿元，完成年度计划</w:t>
      </w:r>
      <w:r>
        <w:rPr>
          <w:rFonts w:hint="eastAsia" w:ascii="Times New Roman" w:hAnsi="Times New Roman" w:eastAsia="方正仿宋_GBK"/>
          <w:sz w:val="32"/>
        </w:rPr>
        <w:t>109</w:t>
      </w:r>
      <w:r>
        <w:rPr>
          <w:rFonts w:ascii="Times New Roman" w:hAnsi="Times New Roman" w:eastAsia="方正仿宋_GBK"/>
          <w:sz w:val="32"/>
        </w:rPr>
        <w:t>%，重大基础设施完成投资</w:t>
      </w:r>
      <w:r>
        <w:rPr>
          <w:rFonts w:hint="eastAsia" w:ascii="Times New Roman" w:hAnsi="Times New Roman" w:eastAsia="方正仿宋_GBK"/>
          <w:sz w:val="32"/>
        </w:rPr>
        <w:t>5.</w:t>
      </w:r>
      <w:r>
        <w:rPr>
          <w:rFonts w:hint="eastAsia" w:ascii="Times New Roman" w:hAnsi="Times New Roman" w:eastAsia="方正仿宋_GBK"/>
          <w:sz w:val="32"/>
          <w:lang w:val="en-US" w:eastAsia="zh-CN"/>
        </w:rPr>
        <w:t>8</w:t>
      </w:r>
      <w:r>
        <w:rPr>
          <w:rFonts w:hint="eastAsia" w:ascii="Times New Roman" w:hAnsi="Times New Roman" w:eastAsia="方正仿宋_GBK"/>
          <w:sz w:val="32"/>
        </w:rPr>
        <w:t>8</w:t>
      </w:r>
      <w:r>
        <w:rPr>
          <w:rFonts w:ascii="Times New Roman" w:hAnsi="Times New Roman" w:eastAsia="方正仿宋_GBK"/>
          <w:sz w:val="32"/>
        </w:rPr>
        <w:t>亿元，完成年度计划</w:t>
      </w:r>
      <w:r>
        <w:rPr>
          <w:rFonts w:hint="eastAsia" w:ascii="Times New Roman" w:hAnsi="Times New Roman" w:eastAsia="方正仿宋_GBK"/>
          <w:sz w:val="32"/>
        </w:rPr>
        <w:t>104</w:t>
      </w:r>
      <w:r>
        <w:rPr>
          <w:rFonts w:ascii="Times New Roman" w:hAnsi="Times New Roman" w:eastAsia="方正仿宋_GBK"/>
          <w:sz w:val="32"/>
        </w:rPr>
        <w:t>%，重点城镇建设完成投资</w:t>
      </w:r>
      <w:r>
        <w:rPr>
          <w:rFonts w:hint="eastAsia" w:ascii="Times New Roman" w:hAnsi="Times New Roman" w:eastAsia="方正仿宋_GBK"/>
          <w:sz w:val="32"/>
        </w:rPr>
        <w:t>4.3</w:t>
      </w:r>
      <w:r>
        <w:rPr>
          <w:rFonts w:hint="eastAsia" w:ascii="Times New Roman" w:hAnsi="Times New Roman" w:eastAsia="方正仿宋_GBK"/>
          <w:sz w:val="32"/>
          <w:lang w:val="en-US" w:eastAsia="zh-CN"/>
        </w:rPr>
        <w:t>2</w:t>
      </w:r>
      <w:r>
        <w:rPr>
          <w:rFonts w:ascii="Times New Roman" w:hAnsi="Times New Roman" w:eastAsia="方正仿宋_GBK"/>
          <w:sz w:val="32"/>
        </w:rPr>
        <w:t>亿元，完成年度计划</w:t>
      </w:r>
      <w:r>
        <w:rPr>
          <w:rFonts w:hint="eastAsia" w:ascii="Times New Roman" w:hAnsi="Times New Roman" w:eastAsia="方正仿宋_GBK"/>
          <w:sz w:val="32"/>
        </w:rPr>
        <w:t>100</w:t>
      </w:r>
      <w:r>
        <w:rPr>
          <w:rFonts w:ascii="Times New Roman" w:hAnsi="Times New Roman" w:eastAsia="方正仿宋_GBK"/>
          <w:sz w:val="32"/>
        </w:rPr>
        <w:t>%，重大民生事项完成投资</w:t>
      </w:r>
      <w:r>
        <w:rPr>
          <w:rFonts w:hint="eastAsia" w:ascii="Times New Roman" w:hAnsi="Times New Roman" w:eastAsia="方正仿宋_GBK"/>
          <w:sz w:val="32"/>
        </w:rPr>
        <w:t>0.9</w:t>
      </w:r>
      <w:r>
        <w:rPr>
          <w:rFonts w:hint="eastAsia" w:ascii="Times New Roman" w:hAnsi="Times New Roman" w:eastAsia="方正仿宋_GBK"/>
          <w:sz w:val="32"/>
          <w:lang w:val="en-US" w:eastAsia="zh-CN"/>
        </w:rPr>
        <w:t>5</w:t>
      </w:r>
      <w:r>
        <w:rPr>
          <w:rFonts w:ascii="Times New Roman" w:hAnsi="Times New Roman" w:eastAsia="方正仿宋_GBK"/>
          <w:sz w:val="32"/>
        </w:rPr>
        <w:t>亿元，完成年度计划的</w:t>
      </w:r>
      <w:r>
        <w:rPr>
          <w:rFonts w:hint="eastAsia" w:ascii="Times New Roman" w:hAnsi="Times New Roman" w:eastAsia="方正仿宋_GBK"/>
          <w:sz w:val="32"/>
        </w:rPr>
        <w:t>107</w:t>
      </w:r>
      <w:r>
        <w:rPr>
          <w:rFonts w:ascii="Times New Roman" w:hAnsi="Times New Roman" w:eastAsia="方正仿宋_GBK"/>
          <w:sz w:val="32"/>
        </w:rPr>
        <w:t>%</w:t>
      </w:r>
      <w:r>
        <w:rPr>
          <w:rFonts w:hint="eastAsia" w:ascii="Times New Roman" w:hAnsi="Times New Roman" w:eastAsia="方正仿宋_GBK"/>
          <w:sz w:val="32"/>
        </w:rPr>
        <w:t>，如期完成全</w:t>
      </w:r>
      <w:r>
        <w:rPr>
          <w:rFonts w:hint="eastAsia" w:ascii="方正仿宋_GBK" w:hAnsi="方正仿宋_GBK" w:eastAsia="方正仿宋_GBK" w:cs="方正仿宋_GBK"/>
          <w:sz w:val="32"/>
        </w:rPr>
        <w:t>年“四重”项</w:t>
      </w:r>
      <w:r>
        <w:rPr>
          <w:rFonts w:ascii="Times New Roman" w:hAnsi="Times New Roman" w:eastAsia="方正仿宋_GBK"/>
          <w:sz w:val="32"/>
        </w:rPr>
        <w:t>目建设</w:t>
      </w:r>
      <w:r>
        <w:rPr>
          <w:rFonts w:hint="eastAsia" w:ascii="Times New Roman" w:hAnsi="Times New Roman" w:eastAsia="方正仿宋_GBK"/>
          <w:sz w:val="32"/>
        </w:rPr>
        <w:t>任务</w:t>
      </w:r>
      <w:r>
        <w:rPr>
          <w:rFonts w:hint="eastAsia" w:ascii="Times New Roman" w:hAnsi="Times New Roman" w:eastAsia="方正仿宋_GBK"/>
          <w:sz w:val="32"/>
          <w:lang w:eastAsia="zh-CN"/>
        </w:rPr>
        <w:t>（详见附件</w:t>
      </w:r>
      <w:r>
        <w:rPr>
          <w:rFonts w:hint="eastAsia" w:ascii="Times New Roman" w:hAnsi="Times New Roman" w:eastAsia="方正仿宋_GBK"/>
          <w:sz w:val="32"/>
          <w:lang w:val="en-US" w:eastAsia="zh-CN"/>
        </w:rPr>
        <w:t>1</w:t>
      </w:r>
      <w:r>
        <w:rPr>
          <w:rFonts w:hint="eastAsia" w:ascii="Times New Roman" w:hAnsi="Times New Roman" w:eastAsia="方正仿宋_GBK"/>
          <w:sz w:val="32"/>
          <w:lang w:eastAsia="zh-CN"/>
        </w:rPr>
        <w:t>）</w:t>
      </w:r>
      <w:r>
        <w:rPr>
          <w:rFonts w:hint="eastAsia" w:ascii="Times New Roman" w:hAnsi="Times New Roman" w:eastAsia="方正仿宋_GBK"/>
          <w:sz w:val="32"/>
        </w:rPr>
        <w:t>。</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楷体_GBK" w:cs="方正楷体_GBK"/>
          <w:sz w:val="32"/>
        </w:rPr>
      </w:pPr>
      <w:r>
        <w:rPr>
          <w:rFonts w:hint="eastAsia" w:ascii="Times New Roman" w:hAnsi="Times New Roman" w:eastAsia="方正楷体_GBK" w:cs="方正楷体_GBK"/>
          <w:sz w:val="32"/>
        </w:rPr>
        <w:t>（四）狠抓服务业增量补短，加速恢复、企稳回暖。</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rPr>
      </w:pPr>
      <w:r>
        <w:rPr>
          <w:rFonts w:ascii="Times New Roman" w:hAnsi="Times New Roman" w:eastAsia="方正仿宋_GBK"/>
          <w:sz w:val="32"/>
        </w:rPr>
        <w:t>坚持抓专业市场</w:t>
      </w:r>
      <w:r>
        <w:rPr>
          <w:rFonts w:hint="eastAsia" w:ascii="Times New Roman" w:hAnsi="Times New Roman" w:eastAsia="方正仿宋_GBK"/>
          <w:sz w:val="32"/>
        </w:rPr>
        <w:t>建设</w:t>
      </w:r>
      <w:r>
        <w:rPr>
          <w:rFonts w:ascii="Times New Roman" w:hAnsi="Times New Roman" w:eastAsia="方正仿宋_GBK"/>
          <w:sz w:val="32"/>
        </w:rPr>
        <w:t>、抓消费潜力释放、抓市场主体培育，推动服务业</w:t>
      </w:r>
      <w:r>
        <w:rPr>
          <w:rFonts w:hint="eastAsia" w:ascii="Times New Roman" w:hAnsi="Times New Roman" w:eastAsia="方正仿宋_GBK"/>
          <w:sz w:val="32"/>
        </w:rPr>
        <w:t>经济在疫情后加速</w:t>
      </w:r>
      <w:r>
        <w:rPr>
          <w:rFonts w:ascii="Times New Roman" w:hAnsi="Times New Roman" w:eastAsia="方正仿宋_GBK"/>
          <w:sz w:val="32"/>
        </w:rPr>
        <w:t>恢复性发展，第三产业增加值增长</w:t>
      </w:r>
      <w:r>
        <w:rPr>
          <w:rFonts w:hint="eastAsia" w:ascii="Times New Roman" w:hAnsi="Times New Roman" w:eastAsia="方正仿宋_GBK"/>
          <w:sz w:val="32"/>
        </w:rPr>
        <w:t>8.7</w:t>
      </w:r>
      <w:r>
        <w:rPr>
          <w:rFonts w:ascii="Times New Roman" w:hAnsi="Times New Roman" w:eastAsia="方正仿宋_GBK"/>
          <w:sz w:val="32"/>
        </w:rPr>
        <w:t>%。加快专业市场建设，三科农商城</w:t>
      </w:r>
      <w:r>
        <w:rPr>
          <w:rFonts w:hint="eastAsia" w:ascii="Times New Roman" w:hAnsi="Times New Roman" w:eastAsia="方正仿宋_GBK"/>
          <w:sz w:val="32"/>
        </w:rPr>
        <w:t>全面开业</w:t>
      </w:r>
      <w:r>
        <w:rPr>
          <w:rFonts w:ascii="Times New Roman" w:hAnsi="Times New Roman" w:eastAsia="方正仿宋_GBK"/>
          <w:sz w:val="32"/>
        </w:rPr>
        <w:t>，</w:t>
      </w:r>
      <w:r>
        <w:rPr>
          <w:rFonts w:hint="eastAsia" w:ascii="Times New Roman" w:hAnsi="Times New Roman" w:eastAsia="方正仿宋_GBK"/>
          <w:sz w:val="32"/>
        </w:rPr>
        <w:t>获批全市一级农产品批发市场，</w:t>
      </w:r>
      <w:r>
        <w:rPr>
          <w:rFonts w:ascii="Times New Roman" w:hAnsi="Times New Roman" w:eastAsia="方正仿宋_GBK"/>
          <w:sz w:val="32"/>
        </w:rPr>
        <w:t>汽贸城</w:t>
      </w:r>
      <w:r>
        <w:rPr>
          <w:rFonts w:hint="eastAsia" w:ascii="Times New Roman" w:hAnsi="Times New Roman" w:eastAsia="方正仿宋_GBK"/>
          <w:sz w:val="32"/>
        </w:rPr>
        <w:t>实现开业运营，</w:t>
      </w:r>
      <w:r>
        <w:rPr>
          <w:rFonts w:ascii="Times New Roman" w:hAnsi="Times New Roman" w:eastAsia="方正仿宋_GBK"/>
          <w:sz w:val="32"/>
        </w:rPr>
        <w:t>智慧物流中心</w:t>
      </w:r>
      <w:r>
        <w:rPr>
          <w:rFonts w:hint="eastAsia" w:ascii="Times New Roman" w:hAnsi="Times New Roman" w:eastAsia="方正仿宋_GBK"/>
          <w:sz w:val="32"/>
        </w:rPr>
        <w:t>计划2022年3月份正式营业，钢材</w:t>
      </w:r>
      <w:r>
        <w:rPr>
          <w:rFonts w:ascii="Times New Roman" w:hAnsi="Times New Roman" w:eastAsia="方正仿宋_GBK"/>
          <w:sz w:val="32"/>
        </w:rPr>
        <w:t>市场交易额</w:t>
      </w:r>
      <w:r>
        <w:rPr>
          <w:rFonts w:hint="eastAsia" w:ascii="Times New Roman" w:hAnsi="Times New Roman" w:eastAsia="方正仿宋_GBK"/>
          <w:sz w:val="32"/>
        </w:rPr>
        <w:t>达到</w:t>
      </w:r>
      <w:r>
        <w:rPr>
          <w:rFonts w:ascii="Times New Roman" w:hAnsi="Times New Roman" w:eastAsia="方正仿宋_GBK"/>
          <w:sz w:val="32"/>
        </w:rPr>
        <w:t>50亿元。</w:t>
      </w:r>
      <w:r>
        <w:rPr>
          <w:rFonts w:hint="eastAsia" w:ascii="Times New Roman" w:hAnsi="Times New Roman" w:eastAsia="方正仿宋_GBK"/>
          <w:sz w:val="32"/>
        </w:rPr>
        <w:t>大力发展交通运输业，</w:t>
      </w:r>
      <w:r>
        <w:rPr>
          <w:rFonts w:ascii="Times New Roman" w:hAnsi="Times New Roman" w:eastAsia="方正仿宋_GBK"/>
          <w:sz w:val="32"/>
        </w:rPr>
        <w:t>新增注册船舶20余艘</w:t>
      </w:r>
      <w:r>
        <w:rPr>
          <w:rFonts w:hint="eastAsia" w:ascii="Times New Roman" w:hAnsi="Times New Roman" w:eastAsia="方正仿宋_GBK"/>
          <w:sz w:val="32"/>
        </w:rPr>
        <w:t>，</w:t>
      </w:r>
      <w:r>
        <w:rPr>
          <w:rFonts w:ascii="Times New Roman" w:hAnsi="Times New Roman" w:eastAsia="方正仿宋_GBK"/>
          <w:sz w:val="32"/>
        </w:rPr>
        <w:t>水运货物周转量增长</w:t>
      </w:r>
      <w:r>
        <w:rPr>
          <w:rFonts w:hint="eastAsia" w:ascii="Times New Roman" w:hAnsi="Times New Roman" w:eastAsia="方正仿宋_GBK"/>
          <w:sz w:val="32"/>
        </w:rPr>
        <w:t>30</w:t>
      </w:r>
      <w:r>
        <w:rPr>
          <w:rFonts w:ascii="Times New Roman" w:hAnsi="Times New Roman" w:eastAsia="方正仿宋_GBK"/>
          <w:sz w:val="32"/>
        </w:rPr>
        <w:t>%</w:t>
      </w:r>
      <w:r>
        <w:rPr>
          <w:rFonts w:hint="eastAsia" w:ascii="Times New Roman" w:hAnsi="Times New Roman" w:eastAsia="方正仿宋_GBK"/>
          <w:sz w:val="32"/>
        </w:rPr>
        <w:t>，</w:t>
      </w:r>
      <w:r>
        <w:rPr>
          <w:rFonts w:ascii="Times New Roman" w:hAnsi="Times New Roman" w:eastAsia="方正仿宋_GBK"/>
          <w:sz w:val="32"/>
        </w:rPr>
        <w:t>公路运输周转量增长</w:t>
      </w:r>
      <w:r>
        <w:rPr>
          <w:rFonts w:hint="eastAsia" w:ascii="Times New Roman" w:hAnsi="Times New Roman" w:eastAsia="方正仿宋_GBK"/>
          <w:sz w:val="32"/>
        </w:rPr>
        <w:t>15</w:t>
      </w:r>
      <w:r>
        <w:rPr>
          <w:rFonts w:ascii="Times New Roman" w:hAnsi="Times New Roman" w:eastAsia="方正仿宋_GBK"/>
          <w:sz w:val="32"/>
        </w:rPr>
        <w:t>%</w:t>
      </w:r>
      <w:r>
        <w:rPr>
          <w:rFonts w:hint="eastAsia" w:ascii="Times New Roman" w:hAnsi="Times New Roman" w:eastAsia="方正仿宋_GBK"/>
          <w:sz w:val="32"/>
        </w:rPr>
        <w:t>，交通运输业营业收入增长40%。推动财政事业高质量发展，一般公共预算收入完成54亿元、增长28.9%，全辖区税收收入完成57.3亿元、增长17.4%</w:t>
      </w:r>
      <w:r>
        <w:rPr>
          <w:rFonts w:ascii="Times New Roman" w:hAnsi="Times New Roman" w:eastAsia="方正仿宋_GBK"/>
          <w:sz w:val="32"/>
        </w:rPr>
        <w:t>。积极推动金融业发展，存贷款余额增长</w:t>
      </w:r>
      <w:r>
        <w:rPr>
          <w:rFonts w:hint="eastAsia" w:ascii="Times New Roman" w:hAnsi="Times New Roman" w:eastAsia="方正仿宋_GBK"/>
          <w:sz w:val="32"/>
        </w:rPr>
        <w:t>8</w:t>
      </w:r>
      <w:r>
        <w:rPr>
          <w:rFonts w:ascii="Times New Roman" w:hAnsi="Times New Roman" w:eastAsia="方正仿宋_GBK"/>
          <w:sz w:val="32"/>
        </w:rPr>
        <w:t>%，贷款余额增长</w:t>
      </w:r>
      <w:r>
        <w:rPr>
          <w:rFonts w:hint="eastAsia" w:ascii="Times New Roman" w:hAnsi="Times New Roman" w:eastAsia="方正仿宋_GBK"/>
          <w:sz w:val="32"/>
        </w:rPr>
        <w:t>13</w:t>
      </w:r>
      <w:r>
        <w:rPr>
          <w:rFonts w:ascii="Times New Roman" w:hAnsi="Times New Roman" w:eastAsia="方正仿宋_GBK"/>
          <w:sz w:val="32"/>
        </w:rPr>
        <w:t>%，其中普惠金融贷款增长</w:t>
      </w:r>
      <w:r>
        <w:rPr>
          <w:rFonts w:hint="eastAsia" w:ascii="Times New Roman" w:hAnsi="Times New Roman" w:eastAsia="方正仿宋_GBK"/>
          <w:sz w:val="32"/>
        </w:rPr>
        <w:t>20</w:t>
      </w:r>
      <w:r>
        <w:rPr>
          <w:rFonts w:ascii="Times New Roman" w:hAnsi="Times New Roman" w:eastAsia="方正仿宋_GBK"/>
          <w:sz w:val="32"/>
        </w:rPr>
        <w:t>%。提质做优</w:t>
      </w:r>
      <w:r>
        <w:rPr>
          <w:rFonts w:hint="eastAsia" w:ascii="Times New Roman" w:hAnsi="Times New Roman" w:eastAsia="方正仿宋_GBK"/>
          <w:sz w:val="32"/>
        </w:rPr>
        <w:t>文旅业，推动</w:t>
      </w:r>
      <w:r>
        <w:rPr>
          <w:rFonts w:ascii="Times New Roman" w:hAnsi="Times New Roman" w:eastAsia="方正仿宋_GBK"/>
          <w:sz w:val="32"/>
        </w:rPr>
        <w:t>长寿湖国家级旅游度假区创建</w:t>
      </w:r>
      <w:r>
        <w:rPr>
          <w:rFonts w:hint="eastAsia" w:ascii="Times New Roman" w:hAnsi="Times New Roman" w:eastAsia="方正仿宋_GBK"/>
          <w:sz w:val="32"/>
        </w:rPr>
        <w:t>，</w:t>
      </w:r>
      <w:r>
        <w:rPr>
          <w:rFonts w:ascii="Times New Roman" w:hAnsi="Times New Roman" w:eastAsia="方正仿宋_GBK"/>
          <w:sz w:val="32"/>
        </w:rPr>
        <w:t>万顺温泉</w:t>
      </w:r>
      <w:r>
        <w:rPr>
          <w:rFonts w:hint="eastAsia" w:ascii="Times New Roman" w:hAnsi="Times New Roman" w:eastAsia="方正仿宋_GBK"/>
          <w:sz w:val="32"/>
        </w:rPr>
        <w:t>、五华山蓝莓基地、长寿湖民宿文化村等重点项目进展顺利</w:t>
      </w:r>
      <w:r>
        <w:rPr>
          <w:rFonts w:ascii="Times New Roman" w:hAnsi="Times New Roman" w:eastAsia="方正仿宋_GBK"/>
          <w:sz w:val="32"/>
        </w:rPr>
        <w:t>，重点文旅项目完成投资</w:t>
      </w:r>
      <w:r>
        <w:rPr>
          <w:rFonts w:hint="eastAsia" w:ascii="Times New Roman" w:hAnsi="Times New Roman" w:eastAsia="方正仿宋_GBK"/>
          <w:sz w:val="32"/>
        </w:rPr>
        <w:t>12.5</w:t>
      </w:r>
      <w:r>
        <w:rPr>
          <w:rFonts w:ascii="Times New Roman" w:hAnsi="Times New Roman" w:eastAsia="方正仿宋_GBK"/>
          <w:sz w:val="32"/>
        </w:rPr>
        <w:t>亿元</w:t>
      </w:r>
      <w:r>
        <w:rPr>
          <w:rFonts w:hint="eastAsia" w:ascii="Times New Roman" w:hAnsi="Times New Roman" w:eastAsia="方正仿宋_GBK"/>
          <w:sz w:val="32"/>
        </w:rPr>
        <w:t>，</w:t>
      </w:r>
      <w:r>
        <w:rPr>
          <w:rFonts w:ascii="Times New Roman" w:hAnsi="Times New Roman" w:eastAsia="方正仿宋_GBK"/>
          <w:sz w:val="32"/>
        </w:rPr>
        <w:t>举办半程马拉松赛、全国超轻型飞机俱乐部联赛等热点赛事，接待游客</w:t>
      </w:r>
      <w:r>
        <w:rPr>
          <w:rFonts w:hint="eastAsia" w:ascii="Times New Roman" w:hAnsi="Times New Roman" w:eastAsia="方正仿宋_GBK"/>
          <w:sz w:val="32"/>
        </w:rPr>
        <w:t>920</w:t>
      </w:r>
      <w:r>
        <w:rPr>
          <w:rFonts w:ascii="Times New Roman" w:hAnsi="Times New Roman" w:eastAsia="方正仿宋_GBK"/>
          <w:sz w:val="32"/>
        </w:rPr>
        <w:t>万人次，实现旅游综合收入</w:t>
      </w:r>
      <w:r>
        <w:rPr>
          <w:rFonts w:hint="eastAsia" w:ascii="Times New Roman" w:hAnsi="Times New Roman" w:eastAsia="方正仿宋_GBK"/>
          <w:sz w:val="32"/>
        </w:rPr>
        <w:t>81</w:t>
      </w:r>
      <w:r>
        <w:rPr>
          <w:rFonts w:ascii="Times New Roman" w:hAnsi="Times New Roman" w:eastAsia="方正仿宋_GBK"/>
          <w:sz w:val="32"/>
        </w:rPr>
        <w:t>亿元。</w:t>
      </w:r>
      <w:r>
        <w:rPr>
          <w:rFonts w:hint="eastAsia" w:ascii="Times New Roman" w:hAnsi="Times New Roman" w:eastAsia="方正仿宋_GBK"/>
          <w:sz w:val="32"/>
        </w:rPr>
        <w:t>不断释放内需消费，大力统筹推进疫情防控和服务业经济高质量发展，新升规商贸及服务业企业58家，现代商贸物流双创孵化园正式运营，批发、零售业销售总额分别增长20%、18%，住宿、餐饮业营业额分别增长20%、25%</w:t>
      </w:r>
      <w:r>
        <w:rPr>
          <w:rFonts w:ascii="Times New Roman" w:hAnsi="Times New Roman" w:eastAsia="方正仿宋_GBK"/>
          <w:sz w:val="32"/>
        </w:rPr>
        <w:t>。做大电商交易，完成农村电商销售7000万元、产业电商销售</w:t>
      </w:r>
      <w:r>
        <w:rPr>
          <w:rFonts w:hint="eastAsia" w:ascii="Times New Roman" w:hAnsi="Times New Roman" w:eastAsia="方正仿宋_GBK"/>
          <w:sz w:val="32"/>
        </w:rPr>
        <w:t>12</w:t>
      </w:r>
      <w:r>
        <w:rPr>
          <w:rFonts w:ascii="Times New Roman" w:hAnsi="Times New Roman" w:eastAsia="方正仿宋_GBK"/>
          <w:sz w:val="32"/>
        </w:rPr>
        <w:t>0亿元</w:t>
      </w:r>
      <w:r>
        <w:rPr>
          <w:rFonts w:hint="eastAsia" w:ascii="Times New Roman" w:hAnsi="Times New Roman" w:eastAsia="方正仿宋_GBK"/>
          <w:sz w:val="32"/>
        </w:rPr>
        <w:t>，</w:t>
      </w:r>
      <w:r>
        <w:rPr>
          <w:rFonts w:hint="eastAsia" w:ascii="Times New Roman" w:hAnsi="Times New Roman" w:eastAsia="方正仿宋_GBK" w:cs="Times New Roman"/>
          <w:sz w:val="32"/>
          <w:szCs w:val="32"/>
        </w:rPr>
        <w:t>跨境电商实现“零突破”</w:t>
      </w:r>
      <w:r>
        <w:rPr>
          <w:rFonts w:ascii="Times New Roman" w:hAnsi="Times New Roman" w:eastAsia="方正仿宋_GBK"/>
          <w:sz w:val="32"/>
        </w:rPr>
        <w:t>。促进房地产市场平稳健康发展，商品房销售面积</w:t>
      </w:r>
      <w:r>
        <w:rPr>
          <w:rFonts w:hint="eastAsia" w:ascii="Times New Roman" w:hAnsi="Times New Roman" w:eastAsia="方正仿宋_GBK"/>
          <w:sz w:val="32"/>
        </w:rPr>
        <w:t>78</w:t>
      </w:r>
      <w:r>
        <w:rPr>
          <w:rFonts w:ascii="Times New Roman" w:hAnsi="Times New Roman" w:eastAsia="方正仿宋_GBK"/>
          <w:sz w:val="32"/>
        </w:rPr>
        <w:t>万</w:t>
      </w:r>
      <w:r>
        <w:rPr>
          <w:rFonts w:hint="eastAsia" w:ascii="Times New Roman" w:hAnsi="Times New Roman" w:eastAsia="方正仿宋_GBK"/>
          <w:sz w:val="32"/>
        </w:rPr>
        <w:t>平方米，拉动建筑业总产值增长15%</w:t>
      </w:r>
      <w:r>
        <w:rPr>
          <w:rFonts w:ascii="Times New Roman" w:hAnsi="Times New Roman" w:eastAsia="方正仿宋_GBK"/>
          <w:sz w:val="32"/>
        </w:rPr>
        <w:t>。</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楷体_GBK" w:cs="方正楷体_GBK"/>
          <w:sz w:val="32"/>
        </w:rPr>
      </w:pPr>
      <w:r>
        <w:rPr>
          <w:rFonts w:hint="eastAsia" w:ascii="Times New Roman" w:hAnsi="Times New Roman" w:eastAsia="方正楷体_GBK" w:cs="方正楷体_GBK"/>
          <w:sz w:val="32"/>
        </w:rPr>
        <w:t>（五）做强创新改革发展引擎，动能激发、活力释放。</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rPr>
      </w:pPr>
      <w:r>
        <w:rPr>
          <w:rFonts w:ascii="Times New Roman" w:hAnsi="Times New Roman" w:eastAsia="方正仿宋_GBK"/>
          <w:sz w:val="32"/>
        </w:rPr>
        <w:t>大力推进科技创新</w:t>
      </w:r>
      <w:r>
        <w:rPr>
          <w:rFonts w:hint="eastAsia" w:ascii="Times New Roman" w:hAnsi="Times New Roman" w:eastAsia="方正仿宋_GBK"/>
          <w:sz w:val="32"/>
        </w:rPr>
        <w:t>。完善落实推动科技创新“1+2”政策体系</w:t>
      </w:r>
      <w:r>
        <w:rPr>
          <w:rFonts w:ascii="Times New Roman" w:hAnsi="Times New Roman" w:eastAsia="方正仿宋_GBK"/>
          <w:sz w:val="32"/>
        </w:rPr>
        <w:t>，优化全</w:t>
      </w:r>
      <w:r>
        <w:rPr>
          <w:rFonts w:hint="eastAsia" w:ascii="Times New Roman" w:hAnsi="Times New Roman" w:eastAsia="方正仿宋_GBK" w:cs="方正仿宋_GBK"/>
          <w:sz w:val="32"/>
        </w:rPr>
        <w:t>区“一廊三园”</w:t>
      </w:r>
      <w:r>
        <w:rPr>
          <w:rFonts w:ascii="Times New Roman" w:hAnsi="Times New Roman" w:eastAsia="方正仿宋_GBK"/>
          <w:sz w:val="32"/>
        </w:rPr>
        <w:t>创新布局</w:t>
      </w:r>
      <w:r>
        <w:rPr>
          <w:rFonts w:hint="eastAsia" w:ascii="Times New Roman" w:hAnsi="Times New Roman" w:eastAsia="方正仿宋_GBK"/>
          <w:sz w:val="32"/>
        </w:rPr>
        <w:t>，积极</w:t>
      </w:r>
      <w:r>
        <w:rPr>
          <w:rFonts w:ascii="Times New Roman" w:hAnsi="Times New Roman" w:eastAsia="方正仿宋_GBK"/>
          <w:sz w:val="32"/>
        </w:rPr>
        <w:t>打造环大学创新生态圈</w:t>
      </w:r>
      <w:r>
        <w:rPr>
          <w:rFonts w:hint="eastAsia" w:ascii="Times New Roman" w:hAnsi="Times New Roman" w:eastAsia="方正仿宋_GBK"/>
          <w:sz w:val="32"/>
        </w:rPr>
        <w:t>，成功通过国家知识产权试点城市验收</w:t>
      </w:r>
      <w:r>
        <w:rPr>
          <w:rFonts w:ascii="Times New Roman" w:hAnsi="Times New Roman" w:eastAsia="方正仿宋_GBK"/>
          <w:sz w:val="32"/>
        </w:rPr>
        <w:t>。加快培育创新主体，新</w:t>
      </w:r>
      <w:r>
        <w:rPr>
          <w:rFonts w:hint="eastAsia" w:ascii="Times New Roman" w:hAnsi="Times New Roman" w:eastAsia="方正仿宋_GBK"/>
          <w:sz w:val="32"/>
        </w:rPr>
        <w:t>增</w:t>
      </w:r>
      <w:r>
        <w:rPr>
          <w:rFonts w:ascii="Times New Roman" w:hAnsi="Times New Roman" w:eastAsia="方正仿宋_GBK"/>
          <w:sz w:val="32"/>
        </w:rPr>
        <w:t>科技型企业</w:t>
      </w:r>
      <w:r>
        <w:rPr>
          <w:rFonts w:hint="eastAsia" w:ascii="Times New Roman" w:hAnsi="Times New Roman" w:eastAsia="方正仿宋_GBK"/>
          <w:sz w:val="32"/>
        </w:rPr>
        <w:t>106</w:t>
      </w:r>
      <w:r>
        <w:rPr>
          <w:rFonts w:ascii="Times New Roman" w:hAnsi="Times New Roman" w:eastAsia="方正仿宋_GBK"/>
          <w:sz w:val="32"/>
        </w:rPr>
        <w:t>家</w:t>
      </w:r>
      <w:r>
        <w:rPr>
          <w:rFonts w:hint="eastAsia" w:ascii="Times New Roman" w:hAnsi="Times New Roman" w:eastAsia="方正仿宋_GBK"/>
          <w:sz w:val="32"/>
        </w:rPr>
        <w:t>，有效期内高技术企业达到145家，</w:t>
      </w:r>
      <w:r>
        <w:rPr>
          <w:rFonts w:ascii="Times New Roman" w:hAnsi="Times New Roman" w:eastAsia="方正仿宋_GBK"/>
          <w:sz w:val="32"/>
        </w:rPr>
        <w:t>博腾制药创建国家企业技术中心</w:t>
      </w:r>
      <w:r>
        <w:rPr>
          <w:rFonts w:hint="eastAsia" w:ascii="Times New Roman" w:hAnsi="Times New Roman" w:eastAsia="方正仿宋_GBK"/>
          <w:sz w:val="32"/>
        </w:rPr>
        <w:t>，</w:t>
      </w:r>
      <w:r>
        <w:rPr>
          <w:rFonts w:ascii="Times New Roman" w:hAnsi="Times New Roman" w:eastAsia="方正仿宋_GBK" w:cs="Times New Roman"/>
          <w:color w:val="000000"/>
          <w:sz w:val="32"/>
          <w:szCs w:val="32"/>
        </w:rPr>
        <w:t>全区可交易发明专利</w:t>
      </w:r>
      <w:r>
        <w:rPr>
          <w:rFonts w:hint="eastAsia" w:ascii="Times New Roman" w:hAnsi="Times New Roman" w:eastAsia="方正仿宋_GBK" w:cs="Times New Roman"/>
          <w:color w:val="000000"/>
          <w:sz w:val="32"/>
          <w:szCs w:val="32"/>
        </w:rPr>
        <w:t>达到</w:t>
      </w:r>
      <w:r>
        <w:rPr>
          <w:rFonts w:ascii="Times New Roman" w:hAnsi="Times New Roman" w:eastAsia="方正仿宋_GBK" w:cs="Times New Roman"/>
          <w:color w:val="000000"/>
          <w:sz w:val="32"/>
          <w:szCs w:val="32"/>
        </w:rPr>
        <w:t>1694件</w:t>
      </w:r>
      <w:r>
        <w:rPr>
          <w:rFonts w:hint="eastAsia" w:ascii="Times New Roman" w:hAnsi="Times New Roman" w:eastAsia="方正仿宋_GBK" w:cs="Times New Roman"/>
          <w:color w:val="000000"/>
          <w:sz w:val="32"/>
          <w:szCs w:val="32"/>
        </w:rPr>
        <w:t>，</w:t>
      </w:r>
      <w:r>
        <w:rPr>
          <w:rFonts w:ascii="Times New Roman" w:hAnsi="Times New Roman" w:eastAsia="方正仿宋_GBK"/>
          <w:sz w:val="32"/>
        </w:rPr>
        <w:t>全社会</w:t>
      </w:r>
      <w:r>
        <w:rPr>
          <w:rFonts w:hint="eastAsia" w:ascii="Times New Roman" w:hAnsi="Times New Roman" w:eastAsia="方正仿宋_GBK"/>
          <w:sz w:val="32"/>
        </w:rPr>
        <w:t>研究与试验发展（R&amp;D）经费</w:t>
      </w:r>
      <w:r>
        <w:rPr>
          <w:rFonts w:hint="eastAsia" w:ascii="Times New Roman" w:hAnsi="Times New Roman" w:eastAsia="方正仿宋_GBK" w:cs="Times New Roman"/>
          <w:color w:val="000000"/>
          <w:sz w:val="32"/>
          <w:szCs w:val="32"/>
        </w:rPr>
        <w:t>投入占GDP比重达到2.9%</w:t>
      </w:r>
      <w:r>
        <w:rPr>
          <w:rFonts w:ascii="Times New Roman" w:hAnsi="Times New Roman" w:eastAsia="方正仿宋_GBK"/>
          <w:sz w:val="32"/>
        </w:rPr>
        <w:t>。经开区科技创新园正式开园，</w:t>
      </w:r>
      <w:r>
        <w:rPr>
          <w:rFonts w:ascii="Times New Roman" w:hAnsi="Times New Roman" w:eastAsia="方正仿宋_GBK" w:cs="Times New Roman"/>
          <w:kern w:val="21"/>
          <w:sz w:val="32"/>
          <w:szCs w:val="32"/>
        </w:rPr>
        <w:t>已签约</w:t>
      </w:r>
      <w:r>
        <w:rPr>
          <w:rFonts w:hint="eastAsia" w:ascii="Times New Roman" w:hAnsi="Times New Roman" w:eastAsia="方正仿宋_GBK" w:cs="Times New Roman"/>
          <w:kern w:val="21"/>
          <w:sz w:val="32"/>
          <w:szCs w:val="32"/>
        </w:rPr>
        <w:t>入驻</w:t>
      </w:r>
      <w:r>
        <w:rPr>
          <w:rFonts w:ascii="Times New Roman" w:hAnsi="Times New Roman" w:eastAsia="方正仿宋_GBK" w:cs="Times New Roman"/>
          <w:kern w:val="21"/>
          <w:sz w:val="32"/>
          <w:szCs w:val="32"/>
        </w:rPr>
        <w:t>项目10个，搭建创新平台8个</w:t>
      </w:r>
      <w:r>
        <w:rPr>
          <w:rFonts w:hint="eastAsia" w:ascii="Times New Roman" w:hAnsi="Times New Roman" w:eastAsia="方正仿宋_GBK" w:cs="Times New Roman"/>
          <w:kern w:val="21"/>
          <w:sz w:val="32"/>
          <w:szCs w:val="32"/>
        </w:rPr>
        <w:t>，与中物院共建川渝科技协同创新平台</w:t>
      </w:r>
      <w:r>
        <w:rPr>
          <w:rFonts w:hint="eastAsia" w:ascii="Times New Roman" w:hAnsi="Times New Roman" w:eastAsia="方正仿宋_GBK"/>
          <w:sz w:val="32"/>
        </w:rPr>
        <w:t>。</w:t>
      </w:r>
      <w:r>
        <w:rPr>
          <w:rFonts w:ascii="Times New Roman" w:hAnsi="Times New Roman" w:eastAsia="方正仿宋_GBK"/>
          <w:sz w:val="32"/>
        </w:rPr>
        <w:t>中科未来城凤栖科技岛、5G物联网应用示范基地</w:t>
      </w:r>
      <w:r>
        <w:rPr>
          <w:rFonts w:hint="eastAsia" w:ascii="Times New Roman" w:hAnsi="Times New Roman" w:eastAsia="方正仿宋_GBK"/>
          <w:sz w:val="32"/>
        </w:rPr>
        <w:t>竣工，</w:t>
      </w:r>
      <w:r>
        <w:rPr>
          <w:rFonts w:ascii="Times New Roman" w:hAnsi="Times New Roman" w:eastAsia="方正仿宋_GBK" w:cs="Times New Roman"/>
          <w:sz w:val="32"/>
          <w:szCs w:val="32"/>
        </w:rPr>
        <w:t>农业园区创建为国家级农业科技园区</w:t>
      </w:r>
      <w:r>
        <w:rPr>
          <w:rFonts w:ascii="Times New Roman" w:hAnsi="Times New Roman" w:eastAsia="方正仿宋_GBK"/>
          <w:sz w:val="32"/>
        </w:rPr>
        <w:t>。纵深推进重大改革。持续优化营商环境</w:t>
      </w:r>
      <w:r>
        <w:rPr>
          <w:rFonts w:hint="eastAsia" w:ascii="Times New Roman" w:hAnsi="Times New Roman" w:eastAsia="方正仿宋_GBK"/>
          <w:sz w:val="32"/>
        </w:rPr>
        <w:t>，</w:t>
      </w:r>
      <w:r>
        <w:rPr>
          <w:rFonts w:ascii="Times New Roman" w:hAnsi="Times New Roman" w:eastAsia="方正仿宋_GBK"/>
          <w:sz w:val="32"/>
        </w:rPr>
        <w:t>推进审批减材料、减环节、减时限，</w:t>
      </w:r>
      <w:r>
        <w:rPr>
          <w:rFonts w:ascii="Times New Roman" w:hAnsi="Times New Roman" w:eastAsia="方正仿宋_GBK" w:cs="Times New Roman"/>
          <w:sz w:val="32"/>
          <w:szCs w:val="32"/>
        </w:rPr>
        <w:t>139项政务</w:t>
      </w:r>
      <w:r>
        <w:rPr>
          <w:rFonts w:hint="eastAsia" w:ascii="Times New Roman" w:hAnsi="Times New Roman" w:eastAsia="方正仿宋_GBK" w:cs="Times New Roman"/>
          <w:sz w:val="32"/>
          <w:szCs w:val="32"/>
        </w:rPr>
        <w:t>事项实现“</w:t>
      </w:r>
      <w:r>
        <w:rPr>
          <w:rFonts w:ascii="Times New Roman" w:hAnsi="Times New Roman" w:eastAsia="方正仿宋_GBK" w:cs="Times New Roman"/>
          <w:sz w:val="32"/>
          <w:szCs w:val="32"/>
        </w:rPr>
        <w:t>零材料</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办理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全程网上办</w:t>
      </w:r>
      <w:r>
        <w:rPr>
          <w:rFonts w:hint="eastAsia" w:ascii="Times New Roman" w:hAnsi="Times New Roman" w:eastAsia="方正仿宋_GBK" w:cs="Times New Roman"/>
          <w:sz w:val="32"/>
          <w:szCs w:val="32"/>
        </w:rPr>
        <w:t>事项</w:t>
      </w:r>
      <w:r>
        <w:rPr>
          <w:rFonts w:ascii="Times New Roman" w:hAnsi="Times New Roman" w:eastAsia="方正仿宋_GBK" w:cs="Times New Roman"/>
          <w:sz w:val="32"/>
          <w:szCs w:val="32"/>
        </w:rPr>
        <w:t>占比</w:t>
      </w:r>
      <w:r>
        <w:rPr>
          <w:rFonts w:hint="eastAsia" w:ascii="Times New Roman" w:hAnsi="Times New Roman" w:eastAsia="方正仿宋_GBK" w:cs="Times New Roman"/>
          <w:sz w:val="32"/>
          <w:szCs w:val="32"/>
        </w:rPr>
        <w:t>达到</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7.1</w:t>
      </w:r>
      <w:r>
        <w:rPr>
          <w:rFonts w:ascii="Times New Roman" w:hAnsi="Times New Roman" w:eastAsia="方正仿宋_GBK" w:cs="Times New Roman"/>
          <w:sz w:val="32"/>
          <w:szCs w:val="32"/>
        </w:rPr>
        <w:t>%</w:t>
      </w:r>
      <w:r>
        <w:rPr>
          <w:rFonts w:ascii="Times New Roman" w:hAnsi="Times New Roman" w:eastAsia="方正仿宋_GBK"/>
          <w:sz w:val="32"/>
        </w:rPr>
        <w:t>，</w:t>
      </w:r>
      <w:r>
        <w:rPr>
          <w:rFonts w:hint="eastAsia" w:ascii="Times New Roman" w:hAnsi="Times New Roman" w:eastAsia="方正仿宋_GBK"/>
          <w:sz w:val="32"/>
        </w:rPr>
        <w:t>“交地即交证”改革得到广泛赞誉</w:t>
      </w:r>
      <w:r>
        <w:rPr>
          <w:rFonts w:ascii="Times New Roman" w:hAnsi="Times New Roman" w:eastAsia="方正仿宋_GBK"/>
          <w:sz w:val="32"/>
        </w:rPr>
        <w:t>，</w:t>
      </w:r>
      <w:r>
        <w:rPr>
          <w:rFonts w:hint="eastAsia" w:ascii="Times New Roman" w:hAnsi="Times New Roman" w:eastAsia="方正仿宋_GBK"/>
          <w:sz w:val="32"/>
        </w:rPr>
        <w:t>新增</w:t>
      </w:r>
      <w:r>
        <w:rPr>
          <w:rFonts w:ascii="Times New Roman" w:hAnsi="Times New Roman" w:eastAsia="方正仿宋_GBK"/>
          <w:sz w:val="32"/>
        </w:rPr>
        <w:t>市场主体</w:t>
      </w:r>
      <w:r>
        <w:rPr>
          <w:rFonts w:hint="eastAsia" w:ascii="Times New Roman" w:hAnsi="Times New Roman" w:eastAsia="方正仿宋_GBK"/>
          <w:sz w:val="32"/>
        </w:rPr>
        <w:t>1万</w:t>
      </w:r>
      <w:r>
        <w:rPr>
          <w:rFonts w:ascii="Times New Roman" w:hAnsi="Times New Roman" w:eastAsia="方正仿宋_GBK"/>
          <w:sz w:val="32"/>
        </w:rPr>
        <w:t>户</w:t>
      </w:r>
      <w:r>
        <w:rPr>
          <w:rFonts w:hint="eastAsia" w:ascii="Times New Roman" w:hAnsi="Times New Roman" w:eastAsia="方正仿宋_GBK"/>
          <w:sz w:val="32"/>
        </w:rPr>
        <w:t>。加快完善以信用为基础的新型事中事后监管体系，联合奖惩信用信息查询超过1万次</w:t>
      </w:r>
      <w:r>
        <w:rPr>
          <w:rFonts w:ascii="Times New Roman" w:hAnsi="Times New Roman" w:eastAsia="方正仿宋_GBK"/>
          <w:sz w:val="32"/>
        </w:rPr>
        <w:t>。深化国资国企改革，完成重点国企市场化整合</w:t>
      </w:r>
      <w:r>
        <w:rPr>
          <w:rFonts w:hint="eastAsia" w:ascii="Times New Roman" w:hAnsi="Times New Roman" w:eastAsia="方正仿宋_GBK"/>
          <w:sz w:val="32"/>
        </w:rPr>
        <w:t>运营</w:t>
      </w:r>
      <w:r>
        <w:rPr>
          <w:rFonts w:ascii="Times New Roman" w:hAnsi="Times New Roman" w:eastAsia="方正仿宋_GBK"/>
          <w:sz w:val="32"/>
        </w:rPr>
        <w:t>，战略重组2A+信用</w:t>
      </w:r>
      <w:r>
        <w:rPr>
          <w:rFonts w:hint="eastAsia" w:ascii="Times New Roman" w:hAnsi="Times New Roman" w:eastAsia="方正仿宋_GBK"/>
          <w:sz w:val="32"/>
        </w:rPr>
        <w:t>国有</w:t>
      </w:r>
      <w:r>
        <w:rPr>
          <w:rFonts w:ascii="Times New Roman" w:hAnsi="Times New Roman" w:eastAsia="方正仿宋_GBK"/>
          <w:sz w:val="32"/>
        </w:rPr>
        <w:t>企业</w:t>
      </w:r>
      <w:r>
        <w:rPr>
          <w:rFonts w:hint="eastAsia" w:ascii="Times New Roman" w:hAnsi="Times New Roman" w:eastAsia="方正仿宋_GBK"/>
          <w:sz w:val="32"/>
        </w:rPr>
        <w:t>，推进</w:t>
      </w:r>
      <w:r>
        <w:rPr>
          <w:rFonts w:ascii="Times New Roman" w:hAnsi="Times New Roman" w:eastAsia="方正仿宋_GBK"/>
          <w:sz w:val="32"/>
        </w:rPr>
        <w:t>TOT存量资产融资</w:t>
      </w:r>
      <w:r>
        <w:rPr>
          <w:rFonts w:hint="eastAsia" w:ascii="Times New Roman" w:hAnsi="Times New Roman" w:eastAsia="方正仿宋_GBK"/>
          <w:sz w:val="32"/>
        </w:rPr>
        <w:t>试点，</w:t>
      </w:r>
      <w:r>
        <w:rPr>
          <w:rFonts w:ascii="Times New Roman" w:hAnsi="Times New Roman" w:eastAsia="方正仿宋_GBK"/>
          <w:sz w:val="32"/>
        </w:rPr>
        <w:t>获批国家金融服务综合改革试点城市</w:t>
      </w:r>
      <w:r>
        <w:rPr>
          <w:rFonts w:hint="eastAsia" w:ascii="Times New Roman" w:hAnsi="Times New Roman" w:eastAsia="方正仿宋_GBK"/>
          <w:sz w:val="32"/>
        </w:rPr>
        <w:t>、</w:t>
      </w:r>
      <w:r>
        <w:rPr>
          <w:rFonts w:ascii="Times New Roman" w:hAnsi="Times New Roman" w:eastAsia="方正仿宋_GBK"/>
          <w:sz w:val="32"/>
        </w:rPr>
        <w:t>全市首个</w:t>
      </w:r>
      <w:r>
        <w:rPr>
          <w:rFonts w:hint="eastAsia" w:ascii="Times New Roman" w:hAnsi="Times New Roman" w:eastAsia="方正仿宋_GBK" w:cs="方正仿宋_GBK"/>
          <w:sz w:val="32"/>
        </w:rPr>
        <w:t>“</w:t>
      </w:r>
      <w:r>
        <w:rPr>
          <w:rFonts w:ascii="Times New Roman" w:hAnsi="Times New Roman" w:eastAsia="方正仿宋_GBK"/>
          <w:sz w:val="32"/>
        </w:rPr>
        <w:t>1+2+N普惠金融到村</w:t>
      </w:r>
      <w:r>
        <w:rPr>
          <w:rFonts w:hint="eastAsia" w:ascii="Times New Roman" w:hAnsi="Times New Roman" w:eastAsia="方正仿宋_GBK" w:cs="方正仿宋_GBK"/>
          <w:sz w:val="32"/>
        </w:rPr>
        <w:t>”</w:t>
      </w:r>
      <w:r>
        <w:rPr>
          <w:rFonts w:ascii="Times New Roman" w:hAnsi="Times New Roman" w:eastAsia="方正仿宋_GBK"/>
          <w:sz w:val="32"/>
        </w:rPr>
        <w:t>试点区县。</w:t>
      </w:r>
      <w:r>
        <w:rPr>
          <w:rFonts w:hint="eastAsia" w:ascii="Times New Roman" w:hAnsi="Times New Roman" w:eastAsia="方正仿宋_GBK"/>
          <w:sz w:val="32"/>
        </w:rPr>
        <w:t>不断扩大对外开放。</w:t>
      </w:r>
      <w:r>
        <w:rPr>
          <w:rFonts w:ascii="Times New Roman" w:hAnsi="Times New Roman" w:eastAsia="方正仿宋_GBK"/>
          <w:sz w:val="32"/>
        </w:rPr>
        <w:t>集装箱短缺等问题得到</w:t>
      </w:r>
      <w:r>
        <w:rPr>
          <w:rFonts w:hint="eastAsia" w:ascii="Times New Roman" w:hAnsi="Times New Roman" w:eastAsia="方正仿宋_GBK"/>
          <w:sz w:val="32"/>
        </w:rPr>
        <w:t>有效缓解</w:t>
      </w:r>
      <w:r>
        <w:rPr>
          <w:rFonts w:ascii="Times New Roman" w:hAnsi="Times New Roman" w:eastAsia="方正仿宋_GBK"/>
          <w:sz w:val="32"/>
        </w:rPr>
        <w:t>，外贸进出口</w:t>
      </w:r>
      <w:r>
        <w:rPr>
          <w:rFonts w:hint="eastAsia" w:ascii="Times New Roman" w:hAnsi="Times New Roman" w:eastAsia="方正仿宋_GBK"/>
          <w:sz w:val="32"/>
        </w:rPr>
        <w:t>完成72</w:t>
      </w:r>
      <w:r>
        <w:rPr>
          <w:rFonts w:ascii="Times New Roman" w:hAnsi="Times New Roman" w:eastAsia="方正仿宋_GBK"/>
          <w:sz w:val="32"/>
        </w:rPr>
        <w:t>亿元</w:t>
      </w:r>
      <w:r>
        <w:rPr>
          <w:rFonts w:hint="eastAsia" w:ascii="Times New Roman" w:hAnsi="Times New Roman" w:eastAsia="方正仿宋_GBK"/>
          <w:sz w:val="32"/>
        </w:rPr>
        <w:t>，其中进口40亿元、增长14%，</w:t>
      </w:r>
      <w:r>
        <w:rPr>
          <w:rFonts w:ascii="Times New Roman" w:hAnsi="Times New Roman" w:eastAsia="方正仿宋_GBK"/>
          <w:sz w:val="32"/>
        </w:rPr>
        <w:t>离岸服务外包执行额</w:t>
      </w:r>
      <w:r>
        <w:rPr>
          <w:rFonts w:hint="eastAsia" w:ascii="Times New Roman" w:hAnsi="Times New Roman" w:eastAsia="方正仿宋_GBK"/>
          <w:sz w:val="32"/>
        </w:rPr>
        <w:t>1.42亿</w:t>
      </w:r>
      <w:r>
        <w:rPr>
          <w:rFonts w:ascii="Times New Roman" w:hAnsi="Times New Roman" w:eastAsia="方正仿宋_GBK"/>
          <w:sz w:val="32"/>
        </w:rPr>
        <w:t>美元，实际利用外资2</w:t>
      </w:r>
      <w:r>
        <w:rPr>
          <w:rFonts w:hint="eastAsia" w:ascii="Times New Roman" w:hAnsi="Times New Roman" w:eastAsia="方正仿宋_GBK"/>
          <w:sz w:val="32"/>
        </w:rPr>
        <w:t>.5</w:t>
      </w:r>
      <w:r>
        <w:rPr>
          <w:rFonts w:ascii="Times New Roman" w:hAnsi="Times New Roman" w:eastAsia="方正仿宋_GBK"/>
          <w:sz w:val="32"/>
        </w:rPr>
        <w:t>亿美元、增长</w:t>
      </w:r>
      <w:r>
        <w:rPr>
          <w:rFonts w:hint="eastAsia" w:ascii="Times New Roman" w:hAnsi="Times New Roman" w:eastAsia="方正仿宋_GBK"/>
          <w:sz w:val="32"/>
        </w:rPr>
        <w:t>21.2%</w:t>
      </w:r>
      <w:r>
        <w:rPr>
          <w:rFonts w:ascii="Times New Roman" w:hAnsi="Times New Roman" w:eastAsia="方正仿宋_GBK"/>
          <w:sz w:val="32"/>
        </w:rPr>
        <w:t>。临港经济</w:t>
      </w:r>
      <w:r>
        <w:rPr>
          <w:rFonts w:hint="eastAsia" w:ascii="Times New Roman" w:hAnsi="Times New Roman" w:eastAsia="方正仿宋_GBK"/>
          <w:sz w:val="32"/>
        </w:rPr>
        <w:t>加快发展，</w:t>
      </w:r>
      <w:r>
        <w:rPr>
          <w:rFonts w:hint="eastAsia" w:ascii="Times New Roman" w:hAnsi="Times New Roman" w:eastAsia="方正仿宋_GBK" w:cs="Times New Roman"/>
          <w:kern w:val="0"/>
          <w:sz w:val="32"/>
          <w:szCs w:val="32"/>
        </w:rPr>
        <w:t>化工码头</w:t>
      </w:r>
      <w:r>
        <w:rPr>
          <w:rFonts w:ascii="Times New Roman" w:hAnsi="Times New Roman" w:eastAsia="方正仿宋_GBK" w:cs="Times New Roman"/>
          <w:kern w:val="0"/>
          <w:sz w:val="32"/>
          <w:szCs w:val="32"/>
        </w:rPr>
        <w:t>海关监管场所</w:t>
      </w:r>
      <w:r>
        <w:rPr>
          <w:rFonts w:hint="eastAsia" w:ascii="Times New Roman" w:hAnsi="Times New Roman" w:eastAsia="方正仿宋_GBK" w:cs="Times New Roman"/>
          <w:kern w:val="0"/>
          <w:sz w:val="32"/>
          <w:szCs w:val="32"/>
        </w:rPr>
        <w:t>即将封关运行，</w:t>
      </w:r>
      <w:r>
        <w:rPr>
          <w:rFonts w:ascii="Times New Roman" w:hAnsi="Times New Roman" w:eastAsia="方正仿宋_GBK"/>
          <w:sz w:val="32"/>
        </w:rPr>
        <w:t>兴港大道等港区</w:t>
      </w:r>
      <w:r>
        <w:rPr>
          <w:rFonts w:hint="eastAsia" w:ascii="Times New Roman" w:hAnsi="Times New Roman" w:eastAsia="方正仿宋_GBK"/>
          <w:sz w:val="32"/>
        </w:rPr>
        <w:t>重点</w:t>
      </w:r>
      <w:r>
        <w:rPr>
          <w:rFonts w:ascii="Times New Roman" w:hAnsi="Times New Roman" w:eastAsia="方正仿宋_GBK"/>
          <w:sz w:val="32"/>
        </w:rPr>
        <w:t>项目</w:t>
      </w:r>
      <w:r>
        <w:rPr>
          <w:rFonts w:hint="eastAsia" w:ascii="Times New Roman" w:hAnsi="Times New Roman" w:eastAsia="方正仿宋_GBK"/>
          <w:sz w:val="32"/>
        </w:rPr>
        <w:t>加速推进</w:t>
      </w:r>
      <w:r>
        <w:rPr>
          <w:rFonts w:ascii="Times New Roman" w:hAnsi="Times New Roman" w:eastAsia="方正仿宋_GBK"/>
          <w:sz w:val="32"/>
        </w:rPr>
        <w:t>，长寿港货物吞吐量增长</w:t>
      </w:r>
      <w:r>
        <w:rPr>
          <w:rFonts w:hint="eastAsia" w:ascii="Times New Roman" w:hAnsi="Times New Roman" w:eastAsia="方正仿宋_GBK"/>
          <w:sz w:val="32"/>
        </w:rPr>
        <w:t>50</w:t>
      </w:r>
      <w:r>
        <w:rPr>
          <w:rFonts w:ascii="Times New Roman" w:hAnsi="Times New Roman" w:eastAsia="方正仿宋_GBK"/>
          <w:sz w:val="32"/>
        </w:rPr>
        <w:t>%。</w:t>
      </w:r>
      <w:r>
        <w:rPr>
          <w:rFonts w:hint="eastAsia" w:ascii="Times New Roman" w:hAnsi="Times New Roman" w:eastAsia="方正仿宋_GBK"/>
          <w:sz w:val="32"/>
        </w:rPr>
        <w:t>深度融入国际市场，长寿经开区入选重庆首批自贸区联动创新区，</w:t>
      </w:r>
      <w:r>
        <w:rPr>
          <w:rFonts w:ascii="Times New Roman" w:hAnsi="Times New Roman" w:eastAsia="方正仿宋_GBK"/>
          <w:sz w:val="32"/>
        </w:rPr>
        <w:t>西部陆海新通道铁海联运长寿班列运输</w:t>
      </w:r>
      <w:r>
        <w:rPr>
          <w:rFonts w:hint="eastAsia" w:ascii="Times New Roman" w:hAnsi="Times New Roman" w:eastAsia="方正仿宋_GBK"/>
          <w:sz w:val="32"/>
        </w:rPr>
        <w:t>9000</w:t>
      </w:r>
      <w:r>
        <w:rPr>
          <w:rFonts w:ascii="Times New Roman" w:hAnsi="Times New Roman" w:eastAsia="方正仿宋_GBK"/>
          <w:sz w:val="32"/>
        </w:rPr>
        <w:t>标箱</w:t>
      </w:r>
      <w:r>
        <w:rPr>
          <w:rFonts w:hint="eastAsia" w:ascii="Times New Roman" w:hAnsi="Times New Roman" w:eastAsia="方正仿宋_GBK"/>
          <w:sz w:val="32"/>
        </w:rPr>
        <w:t>，</w:t>
      </w:r>
      <w:r>
        <w:rPr>
          <w:rFonts w:ascii="Times New Roman" w:hAnsi="Times New Roman" w:eastAsia="方正仿宋_GBK"/>
          <w:sz w:val="32"/>
        </w:rPr>
        <w:t>联同万州、涪陵申报</w:t>
      </w:r>
      <w:r>
        <w:rPr>
          <w:rFonts w:hint="eastAsia" w:ascii="Times New Roman" w:hAnsi="Times New Roman" w:eastAsia="方正仿宋_GBK"/>
          <w:sz w:val="32"/>
        </w:rPr>
        <w:t>创建</w:t>
      </w:r>
      <w:r>
        <w:rPr>
          <w:rFonts w:ascii="Times New Roman" w:hAnsi="Times New Roman" w:eastAsia="方正仿宋_GBK"/>
          <w:sz w:val="32"/>
        </w:rPr>
        <w:t>重庆生产服务型国家物流枢纽。</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楷体_GBK" w:cs="方正楷体_GBK"/>
          <w:sz w:val="32"/>
        </w:rPr>
      </w:pPr>
      <w:r>
        <w:rPr>
          <w:rFonts w:hint="eastAsia" w:ascii="Times New Roman" w:hAnsi="Times New Roman" w:eastAsia="方正楷体_GBK" w:cs="方正楷体_GBK"/>
          <w:sz w:val="32"/>
        </w:rPr>
        <w:t>（六）聚焦城乡融合发展方向，一体推进、提高品质。</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rPr>
      </w:pPr>
      <w:r>
        <w:rPr>
          <w:rFonts w:ascii="Times New Roman" w:hAnsi="Times New Roman" w:eastAsia="方正仿宋_GBK"/>
          <w:sz w:val="32"/>
        </w:rPr>
        <w:t>农业生产稳中有增，农业</w:t>
      </w:r>
      <w:r>
        <w:rPr>
          <w:rFonts w:hint="eastAsia" w:ascii="Times New Roman" w:hAnsi="Times New Roman" w:eastAsia="方正仿宋_GBK"/>
          <w:sz w:val="32"/>
        </w:rPr>
        <w:t>增加值</w:t>
      </w:r>
      <w:r>
        <w:rPr>
          <w:rFonts w:ascii="Times New Roman" w:hAnsi="Times New Roman" w:eastAsia="方正仿宋_GBK"/>
          <w:sz w:val="32"/>
        </w:rPr>
        <w:t>增长</w:t>
      </w:r>
      <w:r>
        <w:rPr>
          <w:rFonts w:hint="eastAsia" w:ascii="Times New Roman" w:hAnsi="Times New Roman" w:eastAsia="方正仿宋_GBK"/>
          <w:sz w:val="32"/>
        </w:rPr>
        <w:t>8</w:t>
      </w:r>
      <w:r>
        <w:rPr>
          <w:rFonts w:ascii="Times New Roman" w:hAnsi="Times New Roman" w:eastAsia="方正仿宋_GBK"/>
          <w:sz w:val="32"/>
        </w:rPr>
        <w:t>%</w:t>
      </w:r>
      <w:r>
        <w:rPr>
          <w:rFonts w:hint="eastAsia" w:ascii="Times New Roman" w:hAnsi="Times New Roman" w:eastAsia="方正仿宋_GBK"/>
          <w:sz w:val="32"/>
        </w:rPr>
        <w:t>。改造高标准农田4.5万亩，</w:t>
      </w:r>
      <w:r>
        <w:rPr>
          <w:rFonts w:ascii="Times New Roman" w:hAnsi="Times New Roman" w:eastAsia="方正仿宋_GBK"/>
          <w:sz w:val="32"/>
        </w:rPr>
        <w:t>粮食</w:t>
      </w:r>
      <w:r>
        <w:rPr>
          <w:rFonts w:hint="eastAsia" w:ascii="Times New Roman" w:hAnsi="Times New Roman" w:eastAsia="方正仿宋_GBK"/>
          <w:sz w:val="32"/>
        </w:rPr>
        <w:t>产量保持小幅增长</w:t>
      </w:r>
      <w:r>
        <w:rPr>
          <w:rFonts w:ascii="Times New Roman" w:hAnsi="Times New Roman" w:eastAsia="方正仿宋_GBK"/>
          <w:sz w:val="32"/>
        </w:rPr>
        <w:t>，区级储备粮</w:t>
      </w:r>
      <w:r>
        <w:rPr>
          <w:rFonts w:hint="eastAsia" w:ascii="Times New Roman" w:hAnsi="Times New Roman" w:eastAsia="方正仿宋_GBK"/>
          <w:sz w:val="32"/>
        </w:rPr>
        <w:t>达到1.7万</w:t>
      </w:r>
      <w:r>
        <w:rPr>
          <w:rFonts w:ascii="Times New Roman" w:hAnsi="Times New Roman" w:eastAsia="方正仿宋_GBK"/>
          <w:sz w:val="32"/>
        </w:rPr>
        <w:t>吨</w:t>
      </w:r>
      <w:r>
        <w:rPr>
          <w:rFonts w:hint="eastAsia" w:ascii="Times New Roman" w:hAnsi="Times New Roman" w:eastAsia="方正仿宋_GBK"/>
          <w:sz w:val="32"/>
        </w:rPr>
        <w:t>，口粮供给安全无虞。</w:t>
      </w:r>
      <w:r>
        <w:rPr>
          <w:rFonts w:ascii="Times New Roman" w:hAnsi="Times New Roman" w:eastAsia="方正仿宋_GBK"/>
          <w:sz w:val="32"/>
        </w:rPr>
        <w:t>水果、蔬菜和水产品产量</w:t>
      </w:r>
      <w:r>
        <w:rPr>
          <w:rFonts w:hint="eastAsia" w:ascii="Times New Roman" w:hAnsi="Times New Roman" w:eastAsia="方正仿宋_GBK"/>
          <w:sz w:val="32"/>
        </w:rPr>
        <w:t>稳定增长</w:t>
      </w:r>
      <w:r>
        <w:rPr>
          <w:rFonts w:ascii="Times New Roman" w:hAnsi="Times New Roman" w:eastAsia="方正仿宋_GBK"/>
          <w:sz w:val="32"/>
        </w:rPr>
        <w:t>，生猪出栏</w:t>
      </w:r>
      <w:r>
        <w:rPr>
          <w:rFonts w:hint="eastAsia" w:ascii="Times New Roman" w:hAnsi="Times New Roman" w:eastAsia="方正仿宋_GBK"/>
          <w:sz w:val="32"/>
        </w:rPr>
        <w:t>量</w:t>
      </w:r>
      <w:r>
        <w:rPr>
          <w:rFonts w:ascii="Times New Roman" w:hAnsi="Times New Roman" w:eastAsia="方正仿宋_GBK"/>
          <w:sz w:val="32"/>
        </w:rPr>
        <w:t>增长</w:t>
      </w:r>
      <w:r>
        <w:rPr>
          <w:rFonts w:hint="eastAsia" w:ascii="Times New Roman" w:hAnsi="Times New Roman" w:eastAsia="方正仿宋_GBK"/>
          <w:sz w:val="32"/>
        </w:rPr>
        <w:t>22.5</w:t>
      </w:r>
      <w:r>
        <w:rPr>
          <w:rFonts w:ascii="Times New Roman" w:hAnsi="Times New Roman" w:eastAsia="方正仿宋_GBK"/>
          <w:sz w:val="32"/>
        </w:rPr>
        <w:t>%，</w:t>
      </w:r>
      <w:r>
        <w:rPr>
          <w:rFonts w:hint="eastAsia" w:ascii="Times New Roman" w:hAnsi="Times New Roman" w:eastAsia="方正仿宋_GBK"/>
          <w:sz w:val="32"/>
        </w:rPr>
        <w:t>农副产品供应充足、价格稳定</w:t>
      </w:r>
      <w:r>
        <w:rPr>
          <w:rFonts w:ascii="Times New Roman" w:hAnsi="Times New Roman" w:eastAsia="方正仿宋_GBK"/>
          <w:sz w:val="32"/>
        </w:rPr>
        <w:t>。</w:t>
      </w:r>
      <w:r>
        <w:rPr>
          <w:rFonts w:hint="eastAsia" w:ascii="Times New Roman" w:hAnsi="Times New Roman" w:eastAsia="方正仿宋_GBK"/>
          <w:sz w:val="32"/>
        </w:rPr>
        <w:t>持续巩固拓展脱贫攻坚成果同乡村振兴有效衔接</w:t>
      </w:r>
      <w:bookmarkStart w:id="0" w:name="_GoBack"/>
      <w:bookmarkEnd w:id="0"/>
      <w:r>
        <w:rPr>
          <w:rFonts w:ascii="Times New Roman" w:hAnsi="Times New Roman" w:eastAsia="方正仿宋_GBK"/>
          <w:sz w:val="32"/>
        </w:rPr>
        <w:t>，</w:t>
      </w:r>
      <w:r>
        <w:rPr>
          <w:rFonts w:hint="eastAsia" w:ascii="Times New Roman" w:hAnsi="Times New Roman" w:eastAsia="方正仿宋_GBK"/>
          <w:sz w:val="32"/>
        </w:rPr>
        <w:t>对全区监测对象179户、415人加强监测</w:t>
      </w:r>
      <w:r>
        <w:rPr>
          <w:rFonts w:ascii="Times New Roman" w:hAnsi="Times New Roman" w:eastAsia="方正仿宋_GBK"/>
          <w:sz w:val="32"/>
        </w:rPr>
        <w:t>，动态消除致贫返贫风险</w:t>
      </w:r>
      <w:r>
        <w:rPr>
          <w:rFonts w:hint="eastAsia" w:ascii="Times New Roman" w:hAnsi="Times New Roman" w:eastAsia="方正仿宋_GBK"/>
          <w:sz w:val="32"/>
        </w:rPr>
        <w:t>，在</w:t>
      </w:r>
      <w:r>
        <w:rPr>
          <w:rFonts w:ascii="Times New Roman" w:hAnsi="Times New Roman" w:eastAsia="方正仿宋_GBK"/>
          <w:sz w:val="32"/>
        </w:rPr>
        <w:t>农业农村基础设施建设领域推广以工代赈</w:t>
      </w:r>
      <w:r>
        <w:rPr>
          <w:rFonts w:hint="eastAsia" w:ascii="Times New Roman" w:hAnsi="Times New Roman" w:eastAsia="方正仿宋_GBK"/>
          <w:sz w:val="32"/>
        </w:rPr>
        <w:t>，带动劳动力人均增收1000元。“三变改革”加速推进，新增区级试点27个</w:t>
      </w:r>
      <w:r>
        <w:rPr>
          <w:rFonts w:ascii="Times New Roman" w:hAnsi="Times New Roman" w:eastAsia="方正仿宋_GBK"/>
          <w:sz w:val="32"/>
        </w:rPr>
        <w:t>。</w:t>
      </w:r>
      <w:r>
        <w:rPr>
          <w:rFonts w:hint="eastAsia" w:ascii="Times New Roman" w:hAnsi="Times New Roman" w:eastAsia="方正仿宋_GBK"/>
          <w:sz w:val="32"/>
        </w:rPr>
        <w:t>加快推进美丽乡村建设，累计在</w:t>
      </w:r>
      <w:r>
        <w:rPr>
          <w:rFonts w:hint="eastAsia" w:ascii="Times New Roman" w:hAnsi="Times New Roman" w:eastAsia="方正仿宋_GBK" w:cs="Times New Roman"/>
          <w:sz w:val="32"/>
          <w:szCs w:val="32"/>
        </w:rPr>
        <w:t>72个行政村开展生活垃圾分类示范，完成“四好农村路”80公里，云台镇八字村入选中国美丽休闲乡村</w:t>
      </w:r>
      <w:r>
        <w:rPr>
          <w:rFonts w:ascii="Times New Roman" w:hAnsi="Times New Roman" w:eastAsia="方正仿宋_GBK"/>
          <w:sz w:val="32"/>
        </w:rPr>
        <w:t>。</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s="方正仿宋_GBK"/>
          <w:sz w:val="32"/>
          <w:szCs w:val="32"/>
        </w:rPr>
      </w:pPr>
      <w:r>
        <w:rPr>
          <w:rFonts w:ascii="Times New Roman" w:hAnsi="Times New Roman" w:eastAsia="方正仿宋_GBK"/>
          <w:sz w:val="32"/>
        </w:rPr>
        <w:t>城市更新</w:t>
      </w:r>
      <w:r>
        <w:rPr>
          <w:rFonts w:hint="eastAsia" w:ascii="Times New Roman" w:hAnsi="Times New Roman" w:eastAsia="方正仿宋_GBK"/>
          <w:sz w:val="32"/>
        </w:rPr>
        <w:t>加快推进</w:t>
      </w:r>
      <w:r>
        <w:rPr>
          <w:rFonts w:ascii="Times New Roman" w:hAnsi="Times New Roman" w:eastAsia="方正仿宋_GBK"/>
          <w:sz w:val="32"/>
        </w:rPr>
        <w:t>。</w:t>
      </w:r>
      <w:r>
        <w:rPr>
          <w:rFonts w:hint="eastAsia" w:ascii="Times New Roman" w:hAnsi="Times New Roman" w:eastAsia="方正仿宋_GBK" w:cs="方正仿宋_GBK"/>
          <w:sz w:val="32"/>
          <w:szCs w:val="32"/>
        </w:rPr>
        <w:t>积极打造</w:t>
      </w:r>
      <w:r>
        <w:rPr>
          <w:rFonts w:ascii="Times New Roman" w:hAnsi="Times New Roman" w:eastAsia="方正仿宋_GBK"/>
          <w:sz w:val="32"/>
        </w:rPr>
        <w:t>宜居城市</w:t>
      </w:r>
      <w:r>
        <w:rPr>
          <w:rFonts w:hint="eastAsia" w:ascii="Times New Roman" w:hAnsi="Times New Roman" w:eastAsia="方正仿宋_GBK"/>
          <w:sz w:val="32"/>
        </w:rPr>
        <w:t>，完成</w:t>
      </w:r>
      <w:r>
        <w:rPr>
          <w:rFonts w:ascii="Times New Roman" w:hAnsi="Times New Roman" w:eastAsia="方正仿宋_GBK"/>
          <w:sz w:val="32"/>
        </w:rPr>
        <w:t>中心城区功能性设施补短板、滨江区域</w:t>
      </w:r>
      <w:r>
        <w:rPr>
          <w:rFonts w:hint="eastAsia" w:ascii="Times New Roman" w:hAnsi="Times New Roman" w:eastAsia="方正仿宋_GBK"/>
          <w:sz w:val="32"/>
        </w:rPr>
        <w:t>排危</w:t>
      </w:r>
      <w:r>
        <w:rPr>
          <w:rFonts w:ascii="Times New Roman" w:hAnsi="Times New Roman" w:eastAsia="方正仿宋_GBK"/>
          <w:sz w:val="32"/>
        </w:rPr>
        <w:t>纾困调研等重大专项</w:t>
      </w:r>
      <w:r>
        <w:rPr>
          <w:rFonts w:hint="eastAsia" w:ascii="Times New Roman" w:hAnsi="Times New Roman" w:eastAsia="方正仿宋_GBK"/>
          <w:sz w:val="32"/>
        </w:rPr>
        <w:t>研究，加快补齐市政设施短板，已建成充电桩322个、5G基站1100个，可用停车位增加5%，</w:t>
      </w:r>
      <w:r>
        <w:rPr>
          <w:rFonts w:ascii="Times New Roman" w:hAnsi="Times New Roman" w:eastAsia="方正仿宋_GBK"/>
          <w:sz w:val="32"/>
        </w:rPr>
        <w:t>小石门长江水源工程</w:t>
      </w:r>
      <w:r>
        <w:rPr>
          <w:rFonts w:hint="eastAsia" w:ascii="Times New Roman" w:hAnsi="Times New Roman" w:eastAsia="方正仿宋_GBK"/>
          <w:sz w:val="32"/>
        </w:rPr>
        <w:t>即将开工，老旧小区改造</w:t>
      </w:r>
      <w:r>
        <w:rPr>
          <w:rFonts w:ascii="Times New Roman" w:hAnsi="Times New Roman" w:eastAsia="方正仿宋_GBK"/>
          <w:sz w:val="32"/>
        </w:rPr>
        <w:t>一期项目</w:t>
      </w:r>
      <w:r>
        <w:rPr>
          <w:rFonts w:hint="eastAsia" w:ascii="Times New Roman" w:hAnsi="Times New Roman" w:eastAsia="方正仿宋_GBK"/>
          <w:sz w:val="32"/>
        </w:rPr>
        <w:t>完成50%</w:t>
      </w:r>
      <w:r>
        <w:rPr>
          <w:rFonts w:ascii="Times New Roman" w:hAnsi="Times New Roman" w:eastAsia="方正仿宋_GBK"/>
          <w:sz w:val="32"/>
        </w:rPr>
        <w:t>，三峡路风貌整治等13项城市提升项目</w:t>
      </w:r>
      <w:r>
        <w:rPr>
          <w:rFonts w:hint="eastAsia" w:ascii="Times New Roman" w:hAnsi="Times New Roman" w:eastAsia="方正仿宋_GBK"/>
          <w:sz w:val="32"/>
        </w:rPr>
        <w:t>如期竣工。推进建设</w:t>
      </w:r>
      <w:r>
        <w:rPr>
          <w:rFonts w:ascii="Times New Roman" w:hAnsi="Times New Roman" w:eastAsia="方正仿宋_GBK"/>
          <w:sz w:val="32"/>
        </w:rPr>
        <w:t>畅通城市</w:t>
      </w:r>
      <w:r>
        <w:rPr>
          <w:rFonts w:hint="eastAsia" w:ascii="Times New Roman" w:hAnsi="Times New Roman" w:eastAsia="方正仿宋_GBK"/>
          <w:sz w:val="32"/>
        </w:rPr>
        <w:t>，</w:t>
      </w:r>
      <w:r>
        <w:rPr>
          <w:rFonts w:ascii="Times New Roman" w:hAnsi="Times New Roman" w:eastAsia="方正仿宋_GBK" w:cs="Times New Roman"/>
          <w:sz w:val="32"/>
          <w:szCs w:val="32"/>
        </w:rPr>
        <w:t>完工锦绣路东段、商贸中路南段</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断头路</w:t>
      </w:r>
      <w:r>
        <w:rPr>
          <w:rFonts w:hint="eastAsia" w:ascii="Times New Roman" w:hAnsi="Times New Roman" w:eastAsia="方正仿宋_GBK" w:cs="Times New Roman"/>
          <w:sz w:val="32"/>
          <w:szCs w:val="32"/>
        </w:rPr>
        <w:t>建设</w:t>
      </w:r>
      <w:r>
        <w:rPr>
          <w:rFonts w:ascii="Times New Roman" w:hAnsi="Times New Roman" w:eastAsia="方正仿宋_GBK"/>
          <w:sz w:val="32"/>
        </w:rPr>
        <w:t>，新改扩建阳鹤南北中路、阳鹤南北一路等城市道路</w:t>
      </w:r>
      <w:r>
        <w:rPr>
          <w:rFonts w:hint="eastAsia" w:ascii="Times New Roman" w:hAnsi="Times New Roman" w:eastAsia="方正仿宋_GBK"/>
          <w:sz w:val="32"/>
        </w:rPr>
        <w:t>，加快推进</w:t>
      </w:r>
      <w:r>
        <w:rPr>
          <w:rFonts w:ascii="Times New Roman" w:hAnsi="Times New Roman" w:eastAsia="方正仿宋_GBK"/>
          <w:sz w:val="32"/>
        </w:rPr>
        <w:t>城市</w:t>
      </w:r>
      <w:r>
        <w:rPr>
          <w:rFonts w:hint="eastAsia" w:ascii="Times New Roman" w:hAnsi="Times New Roman" w:eastAsia="方正仿宋_GBK"/>
          <w:sz w:val="32"/>
        </w:rPr>
        <w:t>交通</w:t>
      </w:r>
      <w:r>
        <w:rPr>
          <w:rFonts w:ascii="Times New Roman" w:hAnsi="Times New Roman" w:eastAsia="方正仿宋_GBK"/>
          <w:sz w:val="32"/>
        </w:rPr>
        <w:t>堵点纾解工程</w:t>
      </w:r>
      <w:r>
        <w:rPr>
          <w:rFonts w:hint="eastAsia" w:ascii="Times New Roman" w:hAnsi="Times New Roman" w:eastAsia="方正仿宋_GBK"/>
          <w:sz w:val="32"/>
        </w:rPr>
        <w:t>。推进</w:t>
      </w:r>
      <w:r>
        <w:rPr>
          <w:rFonts w:ascii="Times New Roman" w:hAnsi="Times New Roman" w:eastAsia="方正仿宋_GBK"/>
          <w:sz w:val="32"/>
        </w:rPr>
        <w:t>绿色城市</w:t>
      </w:r>
      <w:r>
        <w:rPr>
          <w:rFonts w:hint="eastAsia" w:ascii="Times New Roman" w:hAnsi="Times New Roman" w:eastAsia="方正仿宋_GBK"/>
          <w:sz w:val="32"/>
        </w:rPr>
        <w:t>建设，新建绿色建筑占比提升到57.2%，投用</w:t>
      </w:r>
      <w:r>
        <w:rPr>
          <w:rFonts w:ascii="Times New Roman" w:hAnsi="Times New Roman" w:eastAsia="方正仿宋_GBK"/>
          <w:sz w:val="32"/>
        </w:rPr>
        <w:t>云峰寺</w:t>
      </w:r>
      <w:r>
        <w:rPr>
          <w:rFonts w:hint="eastAsia" w:ascii="Times New Roman" w:hAnsi="Times New Roman" w:eastAsia="方正仿宋_GBK"/>
          <w:sz w:val="32"/>
        </w:rPr>
        <w:t>、圣天、凤栖岛城市</w:t>
      </w:r>
      <w:r>
        <w:rPr>
          <w:rFonts w:ascii="Times New Roman" w:hAnsi="Times New Roman" w:eastAsia="方正仿宋_GBK"/>
          <w:sz w:val="32"/>
        </w:rPr>
        <w:t>公园</w:t>
      </w:r>
      <w:r>
        <w:rPr>
          <w:rFonts w:hint="eastAsia" w:ascii="Times New Roman" w:hAnsi="Times New Roman" w:eastAsia="方正仿宋_GBK"/>
          <w:sz w:val="32"/>
        </w:rPr>
        <w:t>，大力推进城市中轴线景观改造提升</w:t>
      </w:r>
      <w:r>
        <w:rPr>
          <w:rFonts w:ascii="Times New Roman" w:hAnsi="Times New Roman" w:eastAsia="方正仿宋_GBK"/>
          <w:sz w:val="32"/>
        </w:rPr>
        <w:t>，新增绿地</w:t>
      </w:r>
      <w:r>
        <w:rPr>
          <w:rFonts w:hint="eastAsia" w:ascii="Times New Roman" w:hAnsi="Times New Roman" w:eastAsia="方正仿宋_GBK"/>
          <w:sz w:val="32"/>
        </w:rPr>
        <w:t>50</w:t>
      </w:r>
      <w:r>
        <w:rPr>
          <w:rFonts w:ascii="Times New Roman" w:hAnsi="Times New Roman" w:eastAsia="方正仿宋_GBK"/>
          <w:sz w:val="32"/>
        </w:rPr>
        <w:t>公顷</w:t>
      </w:r>
      <w:r>
        <w:rPr>
          <w:rFonts w:hint="eastAsia" w:ascii="Times New Roman" w:hAnsi="Times New Roman" w:eastAsia="方正仿宋_GBK"/>
          <w:sz w:val="32"/>
        </w:rPr>
        <w:t>，</w:t>
      </w:r>
      <w:r>
        <w:rPr>
          <w:rFonts w:hint="eastAsia" w:ascii="Times New Roman" w:hAnsi="Times New Roman" w:eastAsia="方正仿宋_GBK" w:cs="Times New Roman"/>
          <w:sz w:val="32"/>
          <w:szCs w:val="32"/>
        </w:rPr>
        <w:t>建成区生活垃圾分类基本全覆盖</w:t>
      </w:r>
      <w:r>
        <w:rPr>
          <w:rFonts w:hint="eastAsia" w:ascii="Times New Roman" w:hAnsi="Times New Roman" w:eastAsia="方正仿宋_GBK"/>
          <w:sz w:val="32"/>
        </w:rPr>
        <w:t>。</w:t>
      </w:r>
      <w:r>
        <w:rPr>
          <w:rFonts w:ascii="Times New Roman" w:hAnsi="Times New Roman" w:eastAsia="方正仿宋_GBK"/>
          <w:sz w:val="32"/>
        </w:rPr>
        <w:t>加快</w:t>
      </w:r>
      <w:r>
        <w:rPr>
          <w:rFonts w:hint="eastAsia" w:ascii="Times New Roman" w:hAnsi="Times New Roman" w:eastAsia="方正仿宋_GBK"/>
          <w:sz w:val="32"/>
        </w:rPr>
        <w:t>建设</w:t>
      </w:r>
      <w:r>
        <w:rPr>
          <w:rFonts w:hint="eastAsia" w:ascii="Times New Roman" w:hAnsi="Times New Roman" w:eastAsia="方正仿宋_GBK" w:cs="方正仿宋_GBK"/>
          <w:sz w:val="32"/>
          <w:szCs w:val="32"/>
        </w:rPr>
        <w:t>智慧城市运营管理中心，启动建设城市管理大数据平台，名木古树监测系统投入使用。聚力打造人文城市，编制文化体育设施空间布局规划和文物保护单位保护规划，组织建党</w:t>
      </w:r>
      <w:r>
        <w:rPr>
          <w:rFonts w:ascii="Times New Roman" w:hAnsi="Times New Roman" w:eastAsia="方正仿宋_GBK" w:cs="Times New Roman"/>
          <w:sz w:val="32"/>
          <w:szCs w:val="32"/>
        </w:rPr>
        <w:t>100周年文艺精品创作</w:t>
      </w:r>
      <w:r>
        <w:rPr>
          <w:rFonts w:hint="eastAsia" w:ascii="Times New Roman" w:hAnsi="Times New Roman" w:eastAsia="方正仿宋_GBK" w:cs="Times New Roman"/>
          <w:sz w:val="32"/>
          <w:szCs w:val="32"/>
        </w:rPr>
        <w:t>活动</w:t>
      </w:r>
      <w:r>
        <w:rPr>
          <w:rFonts w:ascii="Times New Roman" w:hAnsi="Times New Roman" w:eastAsia="方正仿宋_GBK" w:cs="Times New Roman"/>
          <w:sz w:val="32"/>
          <w:szCs w:val="32"/>
        </w:rPr>
        <w:t>，提质改造区美术馆，19</w:t>
      </w:r>
      <w:r>
        <w:rPr>
          <w:rFonts w:hint="eastAsia" w:ascii="Times New Roman" w:hAnsi="Times New Roman" w:eastAsia="方正仿宋_GBK" w:cs="方正仿宋_GBK"/>
          <w:sz w:val="32"/>
          <w:szCs w:val="32"/>
        </w:rPr>
        <w:t>个公共文化服务超市投用，8处革命文物入选全市不可移动文物名录。</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楷体_GBK" w:cs="方正楷体_GBK"/>
          <w:sz w:val="32"/>
        </w:rPr>
      </w:pPr>
      <w:r>
        <w:rPr>
          <w:rFonts w:hint="eastAsia" w:ascii="Times New Roman" w:hAnsi="Times New Roman" w:eastAsia="方正楷体_GBK" w:cs="方正楷体_GBK"/>
          <w:sz w:val="32"/>
        </w:rPr>
        <w:t>（七）守住蓝天碧水生态底线，绿色发展、低碳发展。</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rPr>
      </w:pPr>
      <w:r>
        <w:rPr>
          <w:rFonts w:ascii="Times New Roman" w:hAnsi="Times New Roman" w:eastAsia="方正仿宋_GBK"/>
          <w:sz w:val="32"/>
        </w:rPr>
        <w:t>促</w:t>
      </w:r>
      <w:r>
        <w:rPr>
          <w:rFonts w:hint="eastAsia" w:ascii="Times New Roman" w:hAnsi="Times New Roman" w:eastAsia="方正仿宋_GBK" w:cs="方正仿宋_GBK"/>
          <w:sz w:val="32"/>
        </w:rPr>
        <w:t>“双碳”遏“两高”</w:t>
      </w:r>
      <w:r>
        <w:rPr>
          <w:rFonts w:ascii="Times New Roman" w:hAnsi="Times New Roman" w:eastAsia="方正仿宋_GBK"/>
          <w:sz w:val="32"/>
        </w:rPr>
        <w:t>。开展碳达峰峰值、达峰降碳路径研究</w:t>
      </w:r>
      <w:r>
        <w:rPr>
          <w:rFonts w:hint="eastAsia" w:ascii="Times New Roman" w:hAnsi="Times New Roman" w:eastAsia="方正仿宋_GBK"/>
          <w:sz w:val="32"/>
        </w:rPr>
        <w:t>和</w:t>
      </w:r>
      <w:r>
        <w:rPr>
          <w:rFonts w:ascii="Times New Roman" w:hAnsi="Times New Roman" w:eastAsia="方正仿宋_GBK"/>
          <w:sz w:val="32"/>
        </w:rPr>
        <w:t>行动方案编制。落实中央、全市严格遏制</w:t>
      </w:r>
      <w:r>
        <w:rPr>
          <w:rFonts w:hint="eastAsia" w:ascii="Times New Roman" w:hAnsi="Times New Roman" w:eastAsia="方正仿宋_GBK" w:cs="方正仿宋_GBK"/>
          <w:sz w:val="32"/>
        </w:rPr>
        <w:t>“两高”</w:t>
      </w:r>
      <w:r>
        <w:rPr>
          <w:rFonts w:ascii="Times New Roman" w:hAnsi="Times New Roman" w:eastAsia="方正仿宋_GBK"/>
          <w:sz w:val="32"/>
        </w:rPr>
        <w:t>项目盲目发展要求，</w:t>
      </w:r>
      <w:r>
        <w:rPr>
          <w:rFonts w:hint="eastAsia" w:ascii="Times New Roman" w:hAnsi="Times New Roman" w:eastAsia="方正仿宋_GBK"/>
          <w:sz w:val="32"/>
        </w:rPr>
        <w:t>对存</w:t>
      </w:r>
      <w:r>
        <w:rPr>
          <w:rFonts w:hint="eastAsia" w:ascii="Times New Roman" w:hAnsi="Times New Roman" w:eastAsia="方正仿宋_GBK" w:cs="方正仿宋_GBK"/>
          <w:sz w:val="32"/>
        </w:rPr>
        <w:t>量“两高”项</w:t>
      </w:r>
      <w:r>
        <w:rPr>
          <w:rFonts w:ascii="Times New Roman" w:hAnsi="Times New Roman" w:eastAsia="方正仿宋_GBK"/>
          <w:sz w:val="32"/>
        </w:rPr>
        <w:t>目建立分类管理台账，</w:t>
      </w:r>
      <w:r>
        <w:rPr>
          <w:rFonts w:hint="eastAsia" w:ascii="Times New Roman" w:hAnsi="Times New Roman" w:eastAsia="方正仿宋_GBK"/>
          <w:sz w:val="32"/>
        </w:rPr>
        <w:t>完善</w:t>
      </w:r>
      <w:r>
        <w:rPr>
          <w:rFonts w:ascii="Times New Roman" w:hAnsi="Times New Roman" w:eastAsia="方正仿宋_GBK"/>
          <w:sz w:val="32"/>
        </w:rPr>
        <w:t>节能审查手续。控源头减污染。把保护修复长江生态环境摆在压倒性位置，持续推进生态环境治理</w:t>
      </w:r>
      <w:r>
        <w:rPr>
          <w:rFonts w:hint="eastAsia" w:ascii="Times New Roman" w:hAnsi="Times New Roman" w:eastAsia="方正仿宋_GBK" w:cs="方正仿宋_GBK"/>
          <w:sz w:val="32"/>
        </w:rPr>
        <w:t>“</w:t>
      </w:r>
      <w:r>
        <w:rPr>
          <w:rFonts w:ascii="Times New Roman" w:hAnsi="Times New Roman" w:eastAsia="方正仿宋_GBK"/>
          <w:sz w:val="32"/>
        </w:rPr>
        <w:t>4+1</w:t>
      </w:r>
      <w:r>
        <w:rPr>
          <w:rFonts w:hint="eastAsia" w:ascii="Times New Roman" w:hAnsi="Times New Roman" w:eastAsia="方正仿宋_GBK" w:cs="方正仿宋_GBK"/>
          <w:sz w:val="32"/>
        </w:rPr>
        <w:t>”</w:t>
      </w:r>
      <w:r>
        <w:rPr>
          <w:rFonts w:ascii="Times New Roman" w:hAnsi="Times New Roman" w:eastAsia="方正仿宋_GBK"/>
          <w:sz w:val="32"/>
        </w:rPr>
        <w:t>工程</w:t>
      </w:r>
      <w:r>
        <w:rPr>
          <w:rFonts w:hint="eastAsia" w:ascii="Times New Roman" w:hAnsi="Times New Roman" w:eastAsia="方正仿宋_GBK"/>
          <w:sz w:val="32"/>
        </w:rPr>
        <w:t>，</w:t>
      </w:r>
      <w:r>
        <w:rPr>
          <w:rFonts w:ascii="Times New Roman" w:hAnsi="Times New Roman" w:eastAsia="方正仿宋_GBK"/>
          <w:sz w:val="32"/>
        </w:rPr>
        <w:t>长江长寿段水质保持Ⅱ类。</w:t>
      </w:r>
      <w:r>
        <w:rPr>
          <w:rFonts w:hint="eastAsia" w:ascii="Times New Roman" w:hAnsi="Times New Roman" w:eastAsia="方正仿宋_GBK"/>
          <w:sz w:val="32"/>
        </w:rPr>
        <w:t>坚决打赢污染防治攻坚战</w:t>
      </w:r>
      <w:r>
        <w:rPr>
          <w:rFonts w:ascii="Times New Roman" w:hAnsi="Times New Roman" w:eastAsia="方正仿宋_GBK"/>
          <w:sz w:val="32"/>
        </w:rPr>
        <w:t>，</w:t>
      </w:r>
      <w:r>
        <w:rPr>
          <w:rFonts w:ascii="Times New Roman" w:hAnsi="Times New Roman" w:eastAsia="方正仿宋_GBK"/>
          <w:sz w:val="32"/>
          <w:szCs w:val="32"/>
        </w:rPr>
        <w:t>完成</w:t>
      </w:r>
      <w:r>
        <w:rPr>
          <w:rFonts w:hint="eastAsia" w:ascii="Times New Roman" w:hAnsi="Times New Roman" w:eastAsia="方正仿宋_GBK"/>
          <w:sz w:val="32"/>
          <w:szCs w:val="32"/>
        </w:rPr>
        <w:t>街镇</w:t>
      </w:r>
      <w:r>
        <w:rPr>
          <w:rFonts w:ascii="Times New Roman" w:hAnsi="Times New Roman" w:eastAsia="方正仿宋_GBK"/>
          <w:sz w:val="32"/>
          <w:szCs w:val="32"/>
        </w:rPr>
        <w:t>集中式饮用水水源地在线监测中心建设</w:t>
      </w:r>
      <w:r>
        <w:rPr>
          <w:rFonts w:hint="eastAsia" w:ascii="Times New Roman" w:hAnsi="Times New Roman" w:eastAsia="方正仿宋_GBK"/>
          <w:sz w:val="32"/>
        </w:rPr>
        <w:t>，</w:t>
      </w:r>
      <w:r>
        <w:rPr>
          <w:rFonts w:ascii="Times New Roman" w:hAnsi="Times New Roman" w:eastAsia="方正仿宋_GBK"/>
          <w:sz w:val="32"/>
        </w:rPr>
        <w:t>龙溪河长寿段、</w:t>
      </w:r>
      <w:r>
        <w:rPr>
          <w:rFonts w:hint="eastAsia" w:ascii="Times New Roman" w:hAnsi="Times New Roman" w:eastAsia="方正仿宋_GBK"/>
          <w:sz w:val="32"/>
        </w:rPr>
        <w:t>桃花溪</w:t>
      </w:r>
      <w:r>
        <w:rPr>
          <w:rFonts w:ascii="Times New Roman" w:hAnsi="Times New Roman" w:eastAsia="方正仿宋_GBK"/>
          <w:sz w:val="32"/>
        </w:rPr>
        <w:t>水质均达到Ⅲ类</w:t>
      </w:r>
      <w:r>
        <w:rPr>
          <w:rFonts w:hint="eastAsia" w:ascii="Times New Roman" w:hAnsi="Times New Roman" w:eastAsia="方正仿宋_GBK"/>
          <w:sz w:val="32"/>
        </w:rPr>
        <w:t>。</w:t>
      </w:r>
      <w:r>
        <w:rPr>
          <w:rFonts w:ascii="Times New Roman" w:hAnsi="Times New Roman" w:eastAsia="方正仿宋_GBK"/>
          <w:sz w:val="32"/>
        </w:rPr>
        <w:t>扎实开展冬春季大气污染防治攻坚行动，城区空气质量优良天数</w:t>
      </w:r>
      <w:r>
        <w:rPr>
          <w:rFonts w:hint="eastAsia" w:ascii="Times New Roman" w:hAnsi="Times New Roman" w:eastAsia="方正仿宋_GBK"/>
          <w:sz w:val="32"/>
        </w:rPr>
        <w:t>占比达8</w:t>
      </w:r>
      <w:r>
        <w:rPr>
          <w:rFonts w:hint="eastAsia" w:ascii="Times New Roman" w:hAnsi="Times New Roman" w:eastAsia="方正仿宋_GBK"/>
          <w:sz w:val="32"/>
          <w:lang w:val="en-US" w:eastAsia="zh-CN"/>
        </w:rPr>
        <w:t>8</w:t>
      </w:r>
      <w:r>
        <w:rPr>
          <w:rFonts w:ascii="Times New Roman" w:hAnsi="Times New Roman" w:eastAsia="方正仿宋_GBK"/>
          <w:sz w:val="32"/>
        </w:rPr>
        <w:t>%。抓修复优生态。持续推进山水林田湖草系统修复，</w:t>
      </w:r>
      <w:r>
        <w:rPr>
          <w:rFonts w:hint="eastAsia" w:ascii="Times New Roman" w:hAnsi="Times New Roman" w:eastAsia="方正仿宋_GBK"/>
          <w:sz w:val="32"/>
        </w:rPr>
        <w:t>实施“四山”矿山生态修复20公顷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森林覆盖率达到</w:t>
      </w:r>
      <w:r>
        <w:rPr>
          <w:rFonts w:hint="eastAsia" w:ascii="Times New Roman" w:hAnsi="Times New Roman" w:eastAsia="方正仿宋_GBK" w:cs="Times New Roman"/>
          <w:sz w:val="32"/>
          <w:szCs w:val="32"/>
        </w:rPr>
        <w:t>49</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耕地安全利用率</w:t>
      </w:r>
      <w:r>
        <w:rPr>
          <w:rFonts w:hint="eastAsia" w:ascii="Times New Roman" w:hAnsi="Times New Roman" w:eastAsia="方正仿宋_GBK" w:cs="Times New Roman"/>
          <w:sz w:val="32"/>
          <w:szCs w:val="32"/>
        </w:rPr>
        <w:t>保持在</w:t>
      </w:r>
      <w:r>
        <w:rPr>
          <w:rFonts w:ascii="Times New Roman" w:hAnsi="Times New Roman" w:eastAsia="方正仿宋_GBK" w:cs="Times New Roman"/>
          <w:sz w:val="32"/>
          <w:szCs w:val="32"/>
        </w:rPr>
        <w:t>95%以上</w:t>
      </w:r>
      <w:r>
        <w:rPr>
          <w:rFonts w:hint="eastAsia" w:ascii="Times New Roman" w:hAnsi="Times New Roman" w:eastAsia="方正仿宋_GBK" w:cs="Times New Roman"/>
          <w:sz w:val="32"/>
          <w:szCs w:val="32"/>
        </w:rPr>
        <w:t>。加强生态项目建设</w:t>
      </w:r>
      <w:r>
        <w:rPr>
          <w:rFonts w:ascii="Times New Roman" w:hAnsi="Times New Roman" w:eastAsia="方正仿宋_GBK"/>
          <w:sz w:val="32"/>
        </w:rPr>
        <w:t>，桃花溪水环境综合治理PPP项目</w:t>
      </w:r>
      <w:r>
        <w:rPr>
          <w:rFonts w:hint="eastAsia" w:ascii="Times New Roman" w:hAnsi="Times New Roman" w:eastAsia="方正仿宋_GBK"/>
          <w:sz w:val="32"/>
        </w:rPr>
        <w:t>、</w:t>
      </w:r>
      <w:r>
        <w:rPr>
          <w:rFonts w:ascii="Times New Roman" w:hAnsi="Times New Roman" w:eastAsia="方正仿宋_GBK"/>
          <w:sz w:val="32"/>
        </w:rPr>
        <w:t>龙溪河流域环境综合整治项目</w:t>
      </w:r>
      <w:r>
        <w:rPr>
          <w:rFonts w:hint="eastAsia" w:ascii="Times New Roman" w:hAnsi="Times New Roman" w:eastAsia="方正仿宋_GBK"/>
          <w:sz w:val="32"/>
        </w:rPr>
        <w:t>加快推进，全区绿色项目贷款余额达到40.6亿元、增长61%</w:t>
      </w:r>
      <w:r>
        <w:rPr>
          <w:rFonts w:ascii="Times New Roman" w:hAnsi="Times New Roman" w:eastAsia="方正仿宋_GBK"/>
          <w:sz w:val="32"/>
        </w:rPr>
        <w:t>。</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楷体_GBK" w:cs="方正楷体_GBK"/>
          <w:sz w:val="32"/>
        </w:rPr>
      </w:pPr>
      <w:r>
        <w:rPr>
          <w:rFonts w:hint="eastAsia" w:ascii="Times New Roman" w:hAnsi="Times New Roman" w:eastAsia="方正楷体_GBK" w:cs="方正楷体_GBK"/>
          <w:sz w:val="32"/>
        </w:rPr>
        <w:t>（八）围绕改善民生根本目的，办好实事、增进福祉。</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坚决打赢疫情防控阻击战，落实“守住点、阻断链、管住面”要求，从严落实隔离场所和封控区等管理措施，开展2轮82.7万人次核酸检测，以最快速度、最有效举措、最短时间控制住疫情，保障了人民群众生命安全，完成新冠疫苗接种147.8万剂次。</w:t>
      </w:r>
      <w:r>
        <w:rPr>
          <w:rFonts w:ascii="Times New Roman" w:hAnsi="Times New Roman" w:eastAsia="方正仿宋_GBK"/>
          <w:sz w:val="32"/>
        </w:rPr>
        <w:t>千方百计促进就业</w:t>
      </w:r>
      <w:r>
        <w:rPr>
          <w:rFonts w:hint="eastAsia" w:ascii="Times New Roman" w:hAnsi="Times New Roman" w:eastAsia="方正仿宋_GBK"/>
          <w:sz w:val="32"/>
        </w:rPr>
        <w:t>，</w:t>
      </w:r>
      <w:r>
        <w:rPr>
          <w:rFonts w:ascii="Times New Roman" w:hAnsi="Times New Roman" w:eastAsia="方正仿宋_GBK"/>
          <w:sz w:val="32"/>
        </w:rPr>
        <w:t>抓好高校毕业生、农民工等重点群体就业，</w:t>
      </w:r>
      <w:r>
        <w:rPr>
          <w:rFonts w:hint="eastAsia" w:ascii="Times New Roman" w:hAnsi="Times New Roman" w:eastAsia="方正仿宋_GBK"/>
          <w:sz w:val="32"/>
        </w:rPr>
        <w:t>落实创业担保贷款1.9亿元</w:t>
      </w:r>
      <w:r>
        <w:rPr>
          <w:rFonts w:ascii="Times New Roman" w:hAnsi="Times New Roman" w:eastAsia="方正仿宋_GBK"/>
          <w:sz w:val="32"/>
        </w:rPr>
        <w:t>，组织线上线下招聘会</w:t>
      </w:r>
      <w:r>
        <w:rPr>
          <w:rFonts w:hint="eastAsia" w:ascii="Times New Roman" w:hAnsi="Times New Roman" w:eastAsia="方正仿宋_GBK"/>
          <w:sz w:val="32"/>
        </w:rPr>
        <w:t>96</w:t>
      </w:r>
      <w:r>
        <w:rPr>
          <w:rFonts w:ascii="Times New Roman" w:hAnsi="Times New Roman" w:eastAsia="方正仿宋_GBK"/>
          <w:sz w:val="32"/>
        </w:rPr>
        <w:t>场次，新增城镇就业</w:t>
      </w:r>
      <w:r>
        <w:rPr>
          <w:rFonts w:hint="eastAsia" w:ascii="Times New Roman" w:hAnsi="Times New Roman" w:eastAsia="方正仿宋_GBK"/>
          <w:sz w:val="32"/>
        </w:rPr>
        <w:t>1.6万</w:t>
      </w:r>
      <w:r>
        <w:rPr>
          <w:rFonts w:ascii="Times New Roman" w:hAnsi="Times New Roman" w:eastAsia="方正仿宋_GBK"/>
          <w:sz w:val="32"/>
        </w:rPr>
        <w:t>人</w:t>
      </w:r>
      <w:r>
        <w:rPr>
          <w:rFonts w:hint="eastAsia" w:ascii="Times New Roman" w:hAnsi="Times New Roman" w:eastAsia="方正仿宋_GBK"/>
          <w:sz w:val="32"/>
        </w:rPr>
        <w:t>。持续营造“近悦远来”人才生态，2个团队入选“重庆英才计划创新创业示范团队”，24人入选“鸿雁计划”。</w:t>
      </w:r>
      <w:r>
        <w:rPr>
          <w:rFonts w:ascii="Times New Roman" w:hAnsi="Times New Roman" w:eastAsia="方正仿宋_GBK"/>
          <w:sz w:val="32"/>
        </w:rPr>
        <w:t>持续</w:t>
      </w:r>
      <w:r>
        <w:rPr>
          <w:rFonts w:hint="eastAsia" w:ascii="Times New Roman" w:hAnsi="Times New Roman" w:eastAsia="方正仿宋_GBK"/>
          <w:sz w:val="32"/>
        </w:rPr>
        <w:t>提高劳动者技能素质</w:t>
      </w:r>
      <w:r>
        <w:rPr>
          <w:rFonts w:ascii="Times New Roman" w:hAnsi="Times New Roman" w:eastAsia="方正仿宋_GBK"/>
          <w:sz w:val="32"/>
        </w:rPr>
        <w:t>，开展多层次职业技能培训</w:t>
      </w:r>
      <w:r>
        <w:rPr>
          <w:rFonts w:hint="eastAsia" w:ascii="Times New Roman" w:hAnsi="Times New Roman" w:eastAsia="方正仿宋_GBK"/>
          <w:sz w:val="32"/>
        </w:rPr>
        <w:t>1.5万</w:t>
      </w:r>
      <w:r>
        <w:rPr>
          <w:rFonts w:ascii="Times New Roman" w:hAnsi="Times New Roman" w:eastAsia="方正仿宋_GBK"/>
          <w:sz w:val="32"/>
        </w:rPr>
        <w:t>人次</w:t>
      </w:r>
      <w:r>
        <w:rPr>
          <w:rFonts w:hint="eastAsia" w:ascii="Times New Roman" w:hAnsi="Times New Roman" w:eastAsia="方正仿宋_GBK"/>
          <w:sz w:val="32"/>
        </w:rPr>
        <w:t>，</w:t>
      </w:r>
      <w:r>
        <w:rPr>
          <w:rFonts w:ascii="Times New Roman" w:hAnsi="Times New Roman" w:eastAsia="方正仿宋_GBK"/>
          <w:sz w:val="32"/>
        </w:rPr>
        <w:t>全体居民人均可支配收入</w:t>
      </w:r>
      <w:r>
        <w:rPr>
          <w:rFonts w:hint="eastAsia" w:ascii="Times New Roman" w:hAnsi="Times New Roman" w:eastAsia="方正仿宋_GBK"/>
          <w:sz w:val="32"/>
        </w:rPr>
        <w:t>达到3.6万</w:t>
      </w:r>
      <w:r>
        <w:rPr>
          <w:rFonts w:ascii="Times New Roman" w:hAnsi="Times New Roman" w:eastAsia="方正仿宋_GBK"/>
          <w:sz w:val="32"/>
        </w:rPr>
        <w:t>元、增长</w:t>
      </w:r>
      <w:r>
        <w:rPr>
          <w:rFonts w:hint="eastAsia" w:ascii="Times New Roman" w:hAnsi="Times New Roman" w:eastAsia="方正仿宋_GBK"/>
          <w:sz w:val="32"/>
        </w:rPr>
        <w:t>9</w:t>
      </w:r>
      <w:r>
        <w:rPr>
          <w:rFonts w:ascii="Times New Roman" w:hAnsi="Times New Roman" w:eastAsia="方正仿宋_GBK"/>
          <w:sz w:val="32"/>
        </w:rPr>
        <w:t>%，其中农村居民人均可支配收入增速比城镇居民</w:t>
      </w:r>
      <w:r>
        <w:rPr>
          <w:rFonts w:hint="eastAsia" w:ascii="Times New Roman" w:hAnsi="Times New Roman" w:eastAsia="方正仿宋_GBK"/>
          <w:sz w:val="32"/>
        </w:rPr>
        <w:t>高3</w:t>
      </w:r>
      <w:r>
        <w:rPr>
          <w:rFonts w:ascii="Times New Roman" w:hAnsi="Times New Roman" w:eastAsia="方正仿宋_GBK"/>
          <w:sz w:val="32"/>
        </w:rPr>
        <w:t>个百分点</w:t>
      </w:r>
      <w:r>
        <w:rPr>
          <w:rFonts w:hint="eastAsia" w:ascii="Times New Roman" w:hAnsi="Times New Roman" w:eastAsia="方正仿宋_GBK"/>
          <w:sz w:val="32"/>
        </w:rPr>
        <w:t>，加快实现劳有所得、劳有厚得。积极</w:t>
      </w:r>
      <w:r>
        <w:rPr>
          <w:rFonts w:ascii="Times New Roman" w:hAnsi="Times New Roman" w:eastAsia="方正仿宋_GBK"/>
          <w:sz w:val="32"/>
        </w:rPr>
        <w:t>创建全国健康促进区</w:t>
      </w:r>
      <w:r>
        <w:rPr>
          <w:rFonts w:hint="eastAsia" w:ascii="Times New Roman" w:hAnsi="Times New Roman" w:eastAsia="方正仿宋_GBK"/>
          <w:sz w:val="32"/>
        </w:rPr>
        <w:t>，</w:t>
      </w:r>
      <w:r>
        <w:rPr>
          <w:rFonts w:ascii="Times New Roman" w:hAnsi="Times New Roman" w:eastAsia="方正仿宋_GBK"/>
          <w:sz w:val="32"/>
        </w:rPr>
        <w:t>区人民医院北城分院投用，区中医院升为三级医院</w:t>
      </w:r>
      <w:r>
        <w:rPr>
          <w:rFonts w:hint="eastAsia" w:ascii="Times New Roman" w:hAnsi="Times New Roman" w:eastAsia="方正仿宋_GBK"/>
          <w:sz w:val="32"/>
        </w:rPr>
        <w:t>，区中医院医养中心和医技大楼加快建设，</w:t>
      </w:r>
      <w:r>
        <w:rPr>
          <w:rFonts w:ascii="Times New Roman" w:hAnsi="Times New Roman" w:eastAsia="方正仿宋_GBK" w:cs="Times New Roman"/>
          <w:sz w:val="32"/>
          <w:szCs w:val="32"/>
        </w:rPr>
        <w:t>定点医药机</w:t>
      </w:r>
      <w:r>
        <w:rPr>
          <w:rFonts w:hint="eastAsia" w:ascii="Times New Roman" w:hAnsi="Times New Roman" w:eastAsia="方正仿宋_GBK" w:cs="方正仿宋_GBK"/>
          <w:sz w:val="32"/>
          <w:szCs w:val="32"/>
        </w:rPr>
        <w:t>构实现医保电子凭证</w:t>
      </w:r>
      <w:r>
        <w:rPr>
          <w:rFonts w:ascii="Times New Roman" w:hAnsi="Times New Roman" w:eastAsia="方正仿宋_GBK" w:cs="Times New Roman"/>
          <w:sz w:val="32"/>
          <w:szCs w:val="32"/>
        </w:rPr>
        <w:t>全覆盖</w:t>
      </w:r>
      <w:r>
        <w:rPr>
          <w:rFonts w:hint="eastAsia" w:ascii="Times New Roman" w:hAnsi="Times New Roman" w:eastAsia="方正仿宋_GBK"/>
          <w:sz w:val="32"/>
        </w:rPr>
        <w:t>。持续降低医疗负担，</w:t>
      </w:r>
      <w:r>
        <w:rPr>
          <w:rFonts w:ascii="Times New Roman" w:hAnsi="Times New Roman" w:eastAsia="方正仿宋_GBK"/>
          <w:sz w:val="32"/>
        </w:rPr>
        <w:t>7.</w:t>
      </w:r>
      <w:r>
        <w:rPr>
          <w:rFonts w:hint="eastAsia" w:ascii="Times New Roman" w:hAnsi="Times New Roman" w:eastAsia="方正仿宋_GBK"/>
          <w:sz w:val="32"/>
        </w:rPr>
        <w:t>7</w:t>
      </w:r>
      <w:r>
        <w:rPr>
          <w:rFonts w:ascii="Times New Roman" w:hAnsi="Times New Roman" w:eastAsia="方正仿宋_GBK"/>
          <w:sz w:val="32"/>
        </w:rPr>
        <w:t>万人纳</w:t>
      </w:r>
      <w:r>
        <w:rPr>
          <w:rFonts w:hint="eastAsia" w:ascii="Times New Roman" w:hAnsi="Times New Roman" w:eastAsia="方正仿宋_GBK" w:cs="方正仿宋_GBK"/>
          <w:sz w:val="32"/>
        </w:rPr>
        <w:t>入</w:t>
      </w:r>
      <w:r>
        <w:rPr>
          <w:rFonts w:ascii="Times New Roman" w:hAnsi="Times New Roman" w:eastAsia="方正仿宋_GBK"/>
          <w:sz w:val="32"/>
        </w:rPr>
        <w:t>高血压、糖尿病居民门诊用药保障，</w:t>
      </w:r>
      <w:r>
        <w:rPr>
          <w:rFonts w:ascii="Times New Roman" w:hAnsi="Times New Roman" w:eastAsia="方正仿宋_GBK" w:cs="Times New Roman"/>
          <w:sz w:val="32"/>
          <w:szCs w:val="32"/>
        </w:rPr>
        <w:t>开展西南片区门诊异地直接结算首批试点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跨省异地联网直接结算</w:t>
      </w:r>
      <w:r>
        <w:rPr>
          <w:rFonts w:hint="eastAsia" w:ascii="Times New Roman" w:hAnsi="Times New Roman" w:eastAsia="方正仿宋_GBK" w:cs="Times New Roman"/>
          <w:sz w:val="32"/>
          <w:szCs w:val="32"/>
        </w:rPr>
        <w:t>1252万元</w:t>
      </w:r>
      <w:r>
        <w:rPr>
          <w:rFonts w:ascii="Times New Roman" w:hAnsi="Times New Roman" w:eastAsia="方正仿宋_GBK"/>
          <w:sz w:val="32"/>
        </w:rPr>
        <w:t>。</w:t>
      </w:r>
      <w:r>
        <w:rPr>
          <w:rFonts w:hint="eastAsia" w:ascii="Times New Roman" w:hAnsi="Times New Roman" w:eastAsia="方正仿宋_GBK"/>
          <w:sz w:val="32"/>
        </w:rPr>
        <w:t>新改建幼儿园23所，</w:t>
      </w:r>
      <w:r>
        <w:rPr>
          <w:rFonts w:ascii="Times New Roman" w:hAnsi="Times New Roman" w:eastAsia="方正仿宋_GBK" w:cs="Times New Roman"/>
          <w:sz w:val="32"/>
          <w:szCs w:val="32"/>
        </w:rPr>
        <w:t>公办园占比</w:t>
      </w:r>
      <w:r>
        <w:rPr>
          <w:rFonts w:hint="eastAsia" w:ascii="Times New Roman" w:hAnsi="Times New Roman" w:eastAsia="方正仿宋_GBK" w:cs="Times New Roman"/>
          <w:sz w:val="32"/>
          <w:szCs w:val="32"/>
        </w:rPr>
        <w:t>提升到65%</w:t>
      </w:r>
      <w:r>
        <w:rPr>
          <w:rFonts w:hint="eastAsia" w:ascii="Times New Roman" w:hAnsi="Times New Roman" w:eastAsia="方正仿宋_GBK"/>
          <w:sz w:val="32"/>
        </w:rPr>
        <w:t>，</w:t>
      </w:r>
      <w:r>
        <w:rPr>
          <w:rFonts w:ascii="Times New Roman" w:hAnsi="Times New Roman" w:eastAsia="方正仿宋_GBK"/>
          <w:sz w:val="32"/>
        </w:rPr>
        <w:t>积极</w:t>
      </w:r>
      <w:r>
        <w:rPr>
          <w:rFonts w:hint="eastAsia" w:ascii="Times New Roman" w:hAnsi="Times New Roman" w:eastAsia="方正仿宋_GBK"/>
          <w:sz w:val="32"/>
        </w:rPr>
        <w:t>推进</w:t>
      </w:r>
      <w:r>
        <w:rPr>
          <w:rFonts w:ascii="Times New Roman" w:hAnsi="Times New Roman" w:eastAsia="方正仿宋_GBK"/>
          <w:sz w:val="32"/>
        </w:rPr>
        <w:t>古镇二小、桃花溪中学等</w:t>
      </w:r>
      <w:r>
        <w:rPr>
          <w:rFonts w:hint="eastAsia" w:ascii="Times New Roman" w:hAnsi="Times New Roman" w:eastAsia="方正仿宋_GBK"/>
          <w:sz w:val="32"/>
        </w:rPr>
        <w:t>5个教育</w:t>
      </w:r>
      <w:r>
        <w:rPr>
          <w:rFonts w:ascii="Times New Roman" w:hAnsi="Times New Roman" w:eastAsia="方正仿宋_GBK"/>
          <w:sz w:val="32"/>
        </w:rPr>
        <w:t>项目建设</w:t>
      </w:r>
      <w:r>
        <w:rPr>
          <w:rFonts w:hint="eastAsia" w:ascii="Times New Roman" w:hAnsi="Times New Roman" w:eastAsia="方正仿宋_GBK"/>
          <w:sz w:val="32"/>
        </w:rPr>
        <w:t>，</w:t>
      </w:r>
      <w:r>
        <w:rPr>
          <w:rFonts w:ascii="Times New Roman" w:hAnsi="Times New Roman" w:eastAsia="方正仿宋_GBK"/>
          <w:sz w:val="32"/>
        </w:rPr>
        <w:t>重庆工信职业学院</w:t>
      </w:r>
      <w:r>
        <w:rPr>
          <w:rFonts w:hint="eastAsia" w:ascii="Times New Roman" w:hAnsi="Times New Roman" w:eastAsia="方正仿宋_GBK"/>
          <w:sz w:val="32"/>
        </w:rPr>
        <w:t>投用，</w:t>
      </w:r>
      <w:r>
        <w:rPr>
          <w:rFonts w:hint="eastAsia" w:ascii="Times New Roman" w:hAnsi="Times New Roman" w:eastAsia="方正仿宋_GBK"/>
          <w:color w:val="000000"/>
          <w:sz w:val="32"/>
        </w:rPr>
        <w:t>“双减”政策落地落实，</w:t>
      </w:r>
      <w:r>
        <w:rPr>
          <w:rFonts w:hint="eastAsia" w:ascii="Times New Roman" w:hAnsi="Times New Roman" w:eastAsia="方正仿宋_GBK"/>
          <w:sz w:val="32"/>
        </w:rPr>
        <w:t>获批</w:t>
      </w:r>
      <w:r>
        <w:rPr>
          <w:rFonts w:ascii="Times New Roman" w:hAnsi="Times New Roman" w:eastAsia="方正仿宋_GBK"/>
          <w:sz w:val="32"/>
        </w:rPr>
        <w:t>全市社区教育示范区。</w:t>
      </w:r>
      <w:r>
        <w:rPr>
          <w:rFonts w:hint="eastAsia" w:ascii="Times New Roman" w:hAnsi="Times New Roman" w:eastAsia="方正仿宋_GBK"/>
          <w:sz w:val="32"/>
        </w:rPr>
        <w:t>成立未成年人救助保护中心，建成托育机构3所。</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不断提高市民和企业的获得感</w:t>
      </w:r>
      <w:r>
        <w:rPr>
          <w:rFonts w:ascii="Times New Roman" w:hAnsi="Times New Roman" w:eastAsia="方正仿宋_GBK"/>
          <w:sz w:val="32"/>
        </w:rPr>
        <w:t>。把解决群众急难愁盼问题作为</w:t>
      </w:r>
      <w:r>
        <w:rPr>
          <w:rFonts w:hint="eastAsia" w:ascii="Times New Roman" w:hAnsi="Times New Roman" w:eastAsia="方正仿宋_GBK" w:cs="方正仿宋_GBK"/>
          <w:sz w:val="32"/>
        </w:rPr>
        <w:t>“我为群众办实事”</w:t>
      </w:r>
      <w:r>
        <w:rPr>
          <w:rFonts w:ascii="Times New Roman" w:hAnsi="Times New Roman" w:eastAsia="方正仿宋_GBK"/>
          <w:sz w:val="32"/>
        </w:rPr>
        <w:t>的根本落脚点，统筹推进年度16件重点民生实事，</w:t>
      </w:r>
      <w:r>
        <w:rPr>
          <w:rFonts w:hint="eastAsia" w:ascii="Times New Roman" w:hAnsi="Times New Roman" w:eastAsia="方正仿宋_GBK" w:cs="方正仿宋_GBK"/>
          <w:sz w:val="32"/>
        </w:rPr>
        <w:t>聚焦“一老一小”、住房“一危一旧”、交通“一堵一安”等策</w:t>
      </w:r>
      <w:r>
        <w:rPr>
          <w:rFonts w:ascii="Times New Roman" w:hAnsi="Times New Roman" w:eastAsia="方正仿宋_GBK"/>
          <w:sz w:val="32"/>
        </w:rPr>
        <w:t>划45件民生项目，</w:t>
      </w:r>
      <w:r>
        <w:rPr>
          <w:rFonts w:hint="eastAsia" w:ascii="Times New Roman" w:hAnsi="Times New Roman" w:eastAsia="方正仿宋_GBK"/>
          <w:sz w:val="32"/>
        </w:rPr>
        <w:t>带动</w:t>
      </w:r>
      <w:r>
        <w:rPr>
          <w:rStyle w:val="20"/>
          <w:rFonts w:hint="eastAsia" w:ascii="Times New Roman" w:hAnsi="Times New Roman" w:eastAsia="方正仿宋_GBK" w:cs="方正仿宋_GBK"/>
          <w:b w:val="0"/>
          <w:bCs/>
          <w:color w:val="000000"/>
          <w:sz w:val="32"/>
          <w:shd w:val="clear" w:color="auto" w:fill="FFFFFF"/>
        </w:rPr>
        <w:t>民生支出占比达</w:t>
      </w:r>
      <w:r>
        <w:rPr>
          <w:rStyle w:val="20"/>
          <w:rFonts w:hint="eastAsia" w:ascii="Times New Roman" w:hAnsi="Times New Roman" w:eastAsia="方正仿宋_GBK" w:cs="Times New Roman"/>
          <w:b w:val="0"/>
          <w:bCs/>
          <w:color w:val="000000"/>
          <w:sz w:val="32"/>
          <w:shd w:val="clear" w:color="auto" w:fill="FFFFFF"/>
        </w:rPr>
        <w:t>66</w:t>
      </w:r>
      <w:r>
        <w:rPr>
          <w:rStyle w:val="20"/>
          <w:rFonts w:ascii="Times New Roman" w:hAnsi="Times New Roman" w:eastAsia="方正仿宋_GBK" w:cs="Times New Roman"/>
          <w:b w:val="0"/>
          <w:bCs/>
          <w:color w:val="000000"/>
          <w:sz w:val="32"/>
          <w:shd w:val="clear" w:color="auto" w:fill="FFFFFF"/>
        </w:rPr>
        <w:t>%</w:t>
      </w:r>
      <w:r>
        <w:rPr>
          <w:rFonts w:ascii="Times New Roman" w:hAnsi="Times New Roman" w:eastAsia="方正仿宋_GBK"/>
          <w:sz w:val="32"/>
        </w:rPr>
        <w:t>。切实维护平安稳定</w:t>
      </w:r>
      <w:r>
        <w:rPr>
          <w:rFonts w:hint="eastAsia" w:ascii="Times New Roman" w:hAnsi="Times New Roman" w:eastAsia="方正仿宋_GBK"/>
          <w:sz w:val="32"/>
        </w:rPr>
        <w:t>，</w:t>
      </w:r>
      <w:r>
        <w:rPr>
          <w:rFonts w:ascii="Times New Roman" w:hAnsi="Times New Roman" w:eastAsia="方正仿宋_GBK"/>
          <w:sz w:val="32"/>
        </w:rPr>
        <w:t>扎实开展安全生产</w:t>
      </w:r>
      <w:r>
        <w:rPr>
          <w:rFonts w:hint="eastAsia" w:ascii="Times New Roman" w:hAnsi="Times New Roman" w:eastAsia="方正仿宋_GBK"/>
          <w:sz w:val="32"/>
        </w:rPr>
        <w:t>、</w:t>
      </w:r>
      <w:r>
        <w:rPr>
          <w:rFonts w:ascii="Times New Roman" w:hAnsi="Times New Roman" w:eastAsia="方正仿宋_GBK"/>
          <w:sz w:val="32"/>
        </w:rPr>
        <w:t>消防隐患排查</w:t>
      </w:r>
      <w:r>
        <w:rPr>
          <w:rFonts w:hint="eastAsia" w:ascii="Times New Roman" w:hAnsi="Times New Roman" w:eastAsia="方正仿宋_GBK"/>
          <w:sz w:val="32"/>
        </w:rPr>
        <w:t>等</w:t>
      </w:r>
      <w:r>
        <w:rPr>
          <w:rFonts w:ascii="Times New Roman" w:hAnsi="Times New Roman" w:eastAsia="方正仿宋_GBK"/>
          <w:sz w:val="32"/>
        </w:rPr>
        <w:t>工作，未发生较大及以上安全生产</w:t>
      </w:r>
      <w:r>
        <w:rPr>
          <w:rFonts w:ascii="Times New Roman" w:hAnsi="Times New Roman" w:eastAsia="方正仿宋_GBK" w:cs="Times New Roman"/>
          <w:sz w:val="32"/>
        </w:rPr>
        <w:t>事故。用改革办法降低企业生产成本，新设国有企业债务风险应急周转资金池</w:t>
      </w:r>
      <w:r>
        <w:rPr>
          <w:rFonts w:hint="eastAsia" w:ascii="方正仿宋_GBK" w:hAnsi="方正仿宋_GBK" w:eastAsia="方正仿宋_GBK" w:cs="方正仿宋_GBK"/>
          <w:sz w:val="32"/>
        </w:rPr>
        <w:t>、“乡村振兴贷”和“绿色园区贷”，</w:t>
      </w:r>
      <w:r>
        <w:rPr>
          <w:rFonts w:ascii="Times New Roman" w:hAnsi="Times New Roman" w:eastAsia="方正仿宋_GBK"/>
          <w:sz w:val="32"/>
        </w:rPr>
        <w:t>新增减税</w:t>
      </w:r>
      <w:r>
        <w:rPr>
          <w:rFonts w:hint="eastAsia" w:ascii="Times New Roman" w:hAnsi="Times New Roman" w:eastAsia="方正仿宋_GBK"/>
          <w:sz w:val="32"/>
        </w:rPr>
        <w:t>6.2</w:t>
      </w:r>
      <w:r>
        <w:rPr>
          <w:rFonts w:ascii="Times New Roman" w:hAnsi="Times New Roman" w:eastAsia="方正仿宋_GBK"/>
          <w:sz w:val="32"/>
        </w:rPr>
        <w:t>亿元</w:t>
      </w:r>
      <w:r>
        <w:rPr>
          <w:rFonts w:hint="eastAsia" w:ascii="Times New Roman" w:hAnsi="Times New Roman" w:eastAsia="方正仿宋_GBK"/>
          <w:sz w:val="32"/>
        </w:rPr>
        <w:t>、降费3.1亿元，为企业提供</w:t>
      </w:r>
      <w:r>
        <w:rPr>
          <w:rFonts w:ascii="Times New Roman" w:hAnsi="Times New Roman" w:eastAsia="方正仿宋_GBK"/>
          <w:sz w:val="32"/>
        </w:rPr>
        <w:t>转贷应急周转资金</w:t>
      </w:r>
      <w:r>
        <w:rPr>
          <w:rFonts w:hint="eastAsia" w:ascii="Times New Roman" w:hAnsi="Times New Roman" w:eastAsia="方正仿宋_GBK"/>
          <w:sz w:val="32"/>
        </w:rPr>
        <w:t>68</w:t>
      </w:r>
      <w:r>
        <w:rPr>
          <w:rFonts w:ascii="Times New Roman" w:hAnsi="Times New Roman" w:eastAsia="方正仿宋_GBK"/>
          <w:sz w:val="32"/>
        </w:rPr>
        <w:t>笔、</w:t>
      </w:r>
      <w:r>
        <w:rPr>
          <w:rFonts w:hint="eastAsia" w:ascii="Times New Roman" w:hAnsi="Times New Roman" w:eastAsia="方正仿宋_GBK"/>
          <w:sz w:val="32"/>
        </w:rPr>
        <w:t>6.4</w:t>
      </w:r>
      <w:r>
        <w:rPr>
          <w:rFonts w:ascii="Times New Roman" w:hAnsi="Times New Roman" w:eastAsia="方正仿宋_GBK"/>
          <w:sz w:val="32"/>
        </w:rPr>
        <w:t>亿元，</w:t>
      </w:r>
      <w:r>
        <w:rPr>
          <w:rFonts w:hint="eastAsia" w:ascii="Times New Roman" w:hAnsi="Times New Roman" w:eastAsia="方正仿宋_GBK"/>
          <w:sz w:val="32"/>
        </w:rPr>
        <w:t>有效缓解企业经营流动性难题。</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sz w:val="32"/>
        </w:rPr>
      </w:pPr>
      <w:r>
        <w:rPr>
          <w:rFonts w:ascii="Times New Roman" w:hAnsi="Times New Roman" w:eastAsia="方正仿宋_GBK"/>
          <w:sz w:val="32"/>
        </w:rPr>
        <w:t>区十八届人大第</w:t>
      </w:r>
      <w:r>
        <w:rPr>
          <w:rFonts w:hint="eastAsia" w:ascii="Times New Roman" w:hAnsi="Times New Roman" w:eastAsia="方正仿宋_GBK"/>
          <w:sz w:val="32"/>
        </w:rPr>
        <w:t>五</w:t>
      </w:r>
      <w:r>
        <w:rPr>
          <w:rFonts w:ascii="Times New Roman" w:hAnsi="Times New Roman" w:eastAsia="方正仿宋_GBK"/>
          <w:sz w:val="32"/>
        </w:rPr>
        <w:t>次会议批准的《关于重庆市长寿区20</w:t>
      </w:r>
      <w:r>
        <w:rPr>
          <w:rFonts w:hint="eastAsia" w:ascii="Times New Roman" w:hAnsi="Times New Roman" w:eastAsia="方正仿宋_GBK"/>
          <w:sz w:val="32"/>
        </w:rPr>
        <w:t>20</w:t>
      </w:r>
      <w:r>
        <w:rPr>
          <w:rFonts w:ascii="Times New Roman" w:hAnsi="Times New Roman" w:eastAsia="方正仿宋_GBK"/>
          <w:sz w:val="32"/>
        </w:rPr>
        <w:t>年国民经济和社会发展计划执行情况及202</w:t>
      </w:r>
      <w:r>
        <w:rPr>
          <w:rFonts w:hint="eastAsia" w:ascii="Times New Roman" w:hAnsi="Times New Roman" w:eastAsia="方正仿宋_GBK"/>
          <w:sz w:val="32"/>
        </w:rPr>
        <w:t>1</w:t>
      </w:r>
      <w:r>
        <w:rPr>
          <w:rFonts w:ascii="Times New Roman" w:hAnsi="Times New Roman" w:eastAsia="方正仿宋_GBK"/>
          <w:sz w:val="32"/>
        </w:rPr>
        <w:t>年计划草案的报告》明确的</w:t>
      </w:r>
      <w:r>
        <w:rPr>
          <w:rFonts w:hint="eastAsia" w:ascii="Times New Roman" w:hAnsi="Times New Roman" w:eastAsia="方正仿宋_GBK"/>
          <w:sz w:val="32"/>
        </w:rPr>
        <w:t>39</w:t>
      </w:r>
      <w:r>
        <w:rPr>
          <w:rFonts w:ascii="Times New Roman" w:hAnsi="Times New Roman" w:eastAsia="方正仿宋_GBK"/>
          <w:sz w:val="32"/>
        </w:rPr>
        <w:t>项指标中，</w:t>
      </w:r>
      <w:r>
        <w:rPr>
          <w:rFonts w:hint="eastAsia" w:ascii="Times New Roman" w:hAnsi="Times New Roman" w:eastAsia="方正仿宋_GBK"/>
          <w:sz w:val="32"/>
        </w:rPr>
        <w:t>34</w:t>
      </w:r>
      <w:r>
        <w:rPr>
          <w:rFonts w:ascii="Times New Roman" w:hAnsi="Times New Roman" w:eastAsia="方正仿宋_GBK"/>
          <w:sz w:val="32"/>
        </w:rPr>
        <w:t>项指标可以完成。</w:t>
      </w:r>
      <w:r>
        <w:rPr>
          <w:rFonts w:hint="eastAsia" w:ascii="Times New Roman" w:hAnsi="Times New Roman" w:eastAsia="方正仿宋_GBK"/>
          <w:sz w:val="32"/>
        </w:rPr>
        <w:t>具体为：</w:t>
      </w:r>
    </w:p>
    <w:p>
      <w:pPr>
        <w:keepNext w:val="0"/>
        <w:keepLines w:val="0"/>
        <w:pageBreakBefore w:val="0"/>
        <w:kinsoku/>
        <w:wordWrap/>
        <w:overflowPunct/>
        <w:topLinePunct w:val="0"/>
        <w:autoSpaceDE/>
        <w:autoSpaceDN/>
        <w:bidi w:val="0"/>
        <w:spacing w:line="560" w:lineRule="exact"/>
        <w:jc w:val="center"/>
        <w:rPr>
          <w:rFonts w:ascii="Times New Roman" w:hAnsi="Times New Roman" w:eastAsia="方正黑体_GBK" w:cs="方正黑体_GBK"/>
          <w:sz w:val="28"/>
          <w:szCs w:val="28"/>
        </w:rPr>
      </w:pPr>
      <w:r>
        <w:rPr>
          <w:rFonts w:hint="eastAsia" w:ascii="Times New Roman" w:hAnsi="Times New Roman" w:eastAsia="方正黑体_GBK" w:cs="方正黑体_GBK"/>
          <w:kern w:val="0"/>
          <w:sz w:val="28"/>
          <w:szCs w:val="28"/>
        </w:rPr>
        <w:t>表1：2021年国民经济和社会发展主要目标完成情况表</w:t>
      </w:r>
    </w:p>
    <w:tbl>
      <w:tblPr>
        <w:tblStyle w:val="16"/>
        <w:tblW w:w="8985" w:type="dxa"/>
        <w:tblInd w:w="0" w:type="dxa"/>
        <w:tblLayout w:type="fixed"/>
        <w:tblCellMar>
          <w:top w:w="0" w:type="dxa"/>
          <w:left w:w="0" w:type="dxa"/>
          <w:bottom w:w="0" w:type="dxa"/>
          <w:right w:w="0" w:type="dxa"/>
        </w:tblCellMar>
      </w:tblPr>
      <w:tblGrid>
        <w:gridCol w:w="699"/>
        <w:gridCol w:w="3630"/>
        <w:gridCol w:w="1243"/>
        <w:gridCol w:w="1080"/>
        <w:gridCol w:w="1186"/>
        <w:gridCol w:w="1147"/>
      </w:tblGrid>
      <w:tr>
        <w:tblPrEx>
          <w:tblCellMar>
            <w:top w:w="0" w:type="dxa"/>
            <w:left w:w="0" w:type="dxa"/>
            <w:bottom w:w="0" w:type="dxa"/>
            <w:right w:w="0" w:type="dxa"/>
          </w:tblCellMar>
        </w:tblPrEx>
        <w:trPr>
          <w:trHeight w:val="707" w:hRule="exact"/>
          <w:tblHead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Times New Roman" w:hAnsi="Times New Roman" w:eastAsia="方正仿宋_GBK" w:cs="Times New Roman"/>
                <w:b/>
                <w:szCs w:val="21"/>
              </w:rPr>
            </w:pPr>
            <w:r>
              <w:rPr>
                <w:rFonts w:ascii="Times New Roman" w:hAnsi="Times New Roman" w:eastAsia="方正仿宋_GBK" w:cs="Times New Roman"/>
                <w:b/>
                <w:kern w:val="0"/>
                <w:szCs w:val="21"/>
              </w:rPr>
              <w:t>序号</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Times New Roman" w:hAnsi="Times New Roman" w:eastAsia="方正仿宋_GBK" w:cs="Times New Roman"/>
                <w:b/>
                <w:szCs w:val="21"/>
              </w:rPr>
            </w:pPr>
            <w:r>
              <w:rPr>
                <w:rFonts w:ascii="Times New Roman" w:hAnsi="Times New Roman" w:eastAsia="方正仿宋_GBK" w:cs="Times New Roman"/>
                <w:b/>
                <w:kern w:val="0"/>
                <w:szCs w:val="21"/>
              </w:rPr>
              <w:t>指标</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Times New Roman" w:hAnsi="Times New Roman" w:eastAsia="方正仿宋_GBK" w:cs="Times New Roman"/>
                <w:b/>
                <w:szCs w:val="21"/>
              </w:rPr>
            </w:pPr>
            <w:r>
              <w:rPr>
                <w:rFonts w:ascii="Times New Roman" w:hAnsi="Times New Roman" w:eastAsia="方正仿宋_GBK" w:cs="Times New Roman"/>
                <w:b/>
                <w:kern w:val="0"/>
                <w:szCs w:val="21"/>
              </w:rPr>
              <w:t>单位</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Times New Roman" w:hAnsi="Times New Roman" w:eastAsia="方正仿宋_GBK" w:cs="Times New Roman"/>
                <w:b/>
                <w:szCs w:val="21"/>
              </w:rPr>
            </w:pPr>
            <w:r>
              <w:rPr>
                <w:rFonts w:ascii="Times New Roman" w:hAnsi="Times New Roman" w:eastAsia="方正仿宋_GBK" w:cs="Times New Roman"/>
                <w:b/>
                <w:kern w:val="0"/>
                <w:szCs w:val="21"/>
              </w:rPr>
              <w:t>指标属性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Times New Roman" w:hAnsi="Times New Roman" w:eastAsia="方正仿宋_GBK" w:cs="Times New Roman"/>
                <w:b/>
                <w:szCs w:val="21"/>
              </w:rPr>
            </w:pPr>
            <w:r>
              <w:rPr>
                <w:rFonts w:ascii="Times New Roman" w:hAnsi="Times New Roman" w:eastAsia="方正仿宋_GBK" w:cs="Times New Roman"/>
                <w:b/>
                <w:kern w:val="0"/>
                <w:szCs w:val="21"/>
              </w:rPr>
              <w:t>2021年计划</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spacing w:line="560" w:lineRule="exact"/>
              <w:jc w:val="center"/>
              <w:textAlignment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2021年实际</w:t>
            </w:r>
          </w:p>
        </w:tc>
      </w:tr>
      <w:tr>
        <w:tblPrEx>
          <w:tblCellMar>
            <w:top w:w="0" w:type="dxa"/>
            <w:left w:w="0" w:type="dxa"/>
            <w:bottom w:w="0" w:type="dxa"/>
            <w:right w:w="0" w:type="dxa"/>
          </w:tblCellMar>
        </w:tblPrEx>
        <w:trPr>
          <w:trHeight w:val="397" w:hRule="exact"/>
        </w:trPr>
        <w:tc>
          <w:tcPr>
            <w:tcW w:w="69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地区生产总值</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亿元</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820</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820</w:t>
            </w:r>
          </w:p>
        </w:tc>
      </w:tr>
      <w:tr>
        <w:tblPrEx>
          <w:tblCellMar>
            <w:top w:w="0" w:type="dxa"/>
            <w:left w:w="0" w:type="dxa"/>
            <w:bottom w:w="0" w:type="dxa"/>
            <w:right w:w="0" w:type="dxa"/>
          </w:tblCellMar>
        </w:tblPrEx>
        <w:trPr>
          <w:trHeight w:val="397" w:hRule="exact"/>
        </w:trPr>
        <w:tc>
          <w:tcPr>
            <w:tcW w:w="6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s="Times New Roman"/>
                <w:szCs w:val="21"/>
              </w:rPr>
            </w:pP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地区生产总值增速（可比价）</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8左右</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8以上</w:t>
            </w:r>
          </w:p>
        </w:tc>
      </w:tr>
      <w:tr>
        <w:tblPrEx>
          <w:tblCellMar>
            <w:top w:w="0" w:type="dxa"/>
            <w:left w:w="0" w:type="dxa"/>
            <w:bottom w:w="0" w:type="dxa"/>
            <w:right w:w="0" w:type="dxa"/>
          </w:tblCellMar>
        </w:tblPrEx>
        <w:trPr>
          <w:trHeight w:val="397" w:hRule="exact"/>
        </w:trPr>
        <w:tc>
          <w:tcPr>
            <w:tcW w:w="6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s="Times New Roman"/>
                <w:szCs w:val="21"/>
              </w:rPr>
            </w:pP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人均地区生产总值</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万元</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9.5</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11</w:t>
            </w:r>
          </w:p>
        </w:tc>
      </w:tr>
      <w:tr>
        <w:tblPrEx>
          <w:tblCellMar>
            <w:top w:w="0" w:type="dxa"/>
            <w:left w:w="0" w:type="dxa"/>
            <w:bottom w:w="0" w:type="dxa"/>
            <w:right w:w="0" w:type="dxa"/>
          </w:tblCellMar>
        </w:tblPrEx>
        <w:trPr>
          <w:trHeight w:val="397" w:hRule="exact"/>
        </w:trPr>
        <w:tc>
          <w:tcPr>
            <w:tcW w:w="898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黑体_GBK" w:cs="Times New Roman"/>
                <w:b/>
                <w:kern w:val="0"/>
                <w:szCs w:val="21"/>
              </w:rPr>
            </w:pPr>
            <w:r>
              <w:rPr>
                <w:rFonts w:ascii="Times New Roman" w:hAnsi="Times New Roman" w:eastAsia="方正黑体_GBK" w:cs="Times New Roman"/>
                <w:b/>
                <w:kern w:val="0"/>
                <w:szCs w:val="21"/>
              </w:rPr>
              <w:t>一、发展质量</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2</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规上工业全员劳动生产率</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万元/人</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65</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65</w:t>
            </w:r>
          </w:p>
        </w:tc>
      </w:tr>
      <w:tr>
        <w:tblPrEx>
          <w:tblCellMar>
            <w:top w:w="0" w:type="dxa"/>
            <w:left w:w="0" w:type="dxa"/>
            <w:bottom w:w="0" w:type="dxa"/>
            <w:right w:w="0" w:type="dxa"/>
          </w:tblCellMar>
        </w:tblPrEx>
        <w:trPr>
          <w:trHeight w:val="397" w:hRule="exact"/>
        </w:trPr>
        <w:tc>
          <w:tcPr>
            <w:tcW w:w="69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3</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规上工业总产值</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亿元</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1230</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1410</w:t>
            </w:r>
          </w:p>
        </w:tc>
      </w:tr>
      <w:tr>
        <w:tblPrEx>
          <w:tblCellMar>
            <w:top w:w="0" w:type="dxa"/>
            <w:left w:w="0" w:type="dxa"/>
            <w:bottom w:w="0" w:type="dxa"/>
            <w:right w:w="0" w:type="dxa"/>
          </w:tblCellMar>
        </w:tblPrEx>
        <w:trPr>
          <w:trHeight w:val="397" w:hRule="exact"/>
        </w:trPr>
        <w:tc>
          <w:tcPr>
            <w:tcW w:w="6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s="Times New Roman"/>
                <w:szCs w:val="21"/>
              </w:rPr>
            </w:pP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其中：新材料产业产值</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亿元</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220</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25</w:t>
            </w:r>
            <w:r>
              <w:rPr>
                <w:rFonts w:hint="eastAsia" w:ascii="Times New Roman" w:hAnsi="Times New Roman" w:eastAsia="方正仿宋_GBK" w:cs="Times New Roman"/>
                <w:kern w:val="0"/>
                <w:szCs w:val="21"/>
              </w:rPr>
              <w:t>6</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4</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服务业增加值占地区生产总值比重</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37</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w:t>
            </w:r>
            <w:r>
              <w:rPr>
                <w:rFonts w:hint="eastAsia" w:ascii="Times New Roman" w:hAnsi="Times New Roman" w:eastAsia="方正仿宋_GBK" w:cs="Times New Roman"/>
                <w:kern w:val="0"/>
                <w:szCs w:val="21"/>
              </w:rPr>
              <w:t>3</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5</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社会消费品零售</w:t>
            </w:r>
            <w:r>
              <w:rPr>
                <w:rFonts w:hint="eastAsia" w:ascii="Times New Roman" w:hAnsi="Times New Roman" w:eastAsia="方正仿宋_GBK" w:cs="Times New Roman"/>
                <w:kern w:val="0"/>
                <w:szCs w:val="21"/>
              </w:rPr>
              <w:t>总额</w:t>
            </w:r>
            <w:r>
              <w:rPr>
                <w:rFonts w:ascii="Times New Roman" w:hAnsi="Times New Roman" w:eastAsia="方正仿宋_GBK" w:cs="Times New Roman"/>
                <w:kern w:val="0"/>
                <w:szCs w:val="21"/>
              </w:rPr>
              <w:t>增速</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6</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18</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6</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 w:val="22"/>
                <w:szCs w:val="22"/>
              </w:rPr>
              <w:t>物流货运量</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 w:val="22"/>
                <w:szCs w:val="22"/>
              </w:rPr>
              <w:t>亿吨</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1.0</w:t>
            </w:r>
            <w:r>
              <w:rPr>
                <w:rFonts w:hint="eastAsia" w:ascii="Times New Roman" w:hAnsi="Times New Roman" w:eastAsia="方正仿宋_GBK" w:cs="Times New Roman"/>
                <w:kern w:val="0"/>
                <w:szCs w:val="21"/>
              </w:rPr>
              <w:t>6</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szCs w:val="21"/>
              </w:rPr>
              <w:t>7</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生物医药产业增速</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16</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16</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szCs w:val="21"/>
              </w:rPr>
              <w:t>8</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过夜游客</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万人次</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82</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100</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szCs w:val="21"/>
              </w:rPr>
              <w:t>9</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文旅产业增加值占地区生产总值比重</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4.4</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4.4</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10</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农业总产值增速</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5</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9</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11</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城市建成区面积</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平方公里</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77</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80</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12</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常住人口城镇化率</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68.6</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69.9</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13</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一般公共预算收入</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亿元</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46</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54</w:t>
            </w:r>
          </w:p>
        </w:tc>
      </w:tr>
      <w:tr>
        <w:tblPrEx>
          <w:tblCellMar>
            <w:top w:w="0" w:type="dxa"/>
            <w:left w:w="0" w:type="dxa"/>
            <w:bottom w:w="0" w:type="dxa"/>
            <w:right w:w="0" w:type="dxa"/>
          </w:tblCellMar>
        </w:tblPrEx>
        <w:trPr>
          <w:trHeight w:val="497" w:hRule="exact"/>
        </w:trPr>
        <w:tc>
          <w:tcPr>
            <w:tcW w:w="898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黑体_GBK" w:cs="Times New Roman"/>
                <w:b/>
                <w:kern w:val="0"/>
                <w:szCs w:val="21"/>
              </w:rPr>
            </w:pPr>
            <w:r>
              <w:rPr>
                <w:rFonts w:ascii="Times New Roman" w:hAnsi="Times New Roman" w:eastAsia="方正黑体_GBK" w:cs="Times New Roman"/>
                <w:b/>
                <w:kern w:val="0"/>
                <w:szCs w:val="21"/>
              </w:rPr>
              <w:t>二、发展动能</w:t>
            </w:r>
          </w:p>
        </w:tc>
      </w:tr>
      <w:tr>
        <w:tblPrEx>
          <w:tblCellMar>
            <w:top w:w="0" w:type="dxa"/>
            <w:left w:w="0" w:type="dxa"/>
            <w:bottom w:w="0" w:type="dxa"/>
            <w:right w:w="0" w:type="dxa"/>
          </w:tblCellMar>
        </w:tblPrEx>
        <w:trPr>
          <w:trHeight w:val="653"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14</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全社会研究与试验发展经费支出占地区生产总值比重</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2.5</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2.9</w:t>
            </w:r>
          </w:p>
        </w:tc>
      </w:tr>
      <w:tr>
        <w:tblPrEx>
          <w:tblCellMar>
            <w:top w:w="0" w:type="dxa"/>
            <w:left w:w="0" w:type="dxa"/>
            <w:bottom w:w="0" w:type="dxa"/>
            <w:right w:w="0" w:type="dxa"/>
          </w:tblCellMar>
        </w:tblPrEx>
        <w:trPr>
          <w:trHeight w:val="595"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szCs w:val="21"/>
              </w:rPr>
              <w:t>15</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bottom"/>
              <w:rPr>
                <w:rFonts w:ascii="Times New Roman" w:hAnsi="Times New Roman" w:eastAsia="方正仿宋_GBK" w:cs="Times New Roman"/>
                <w:szCs w:val="21"/>
              </w:rPr>
            </w:pPr>
            <w:r>
              <w:rPr>
                <w:rFonts w:ascii="Times New Roman" w:hAnsi="Times New Roman" w:eastAsia="方正仿宋_GBK" w:cs="Times New Roman"/>
                <w:kern w:val="0"/>
                <w:szCs w:val="21"/>
              </w:rPr>
              <w:t>战略性新兴产业产值占规上工业总产值比重</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21</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19.5</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16</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bottom"/>
              <w:rPr>
                <w:rFonts w:ascii="Times New Roman" w:hAnsi="Times New Roman" w:eastAsia="方正仿宋_GBK" w:cs="Times New Roman"/>
                <w:szCs w:val="21"/>
              </w:rPr>
            </w:pPr>
            <w:r>
              <w:rPr>
                <w:rFonts w:ascii="Times New Roman" w:hAnsi="Times New Roman" w:eastAsia="方正仿宋_GBK" w:cs="Times New Roman"/>
                <w:kern w:val="0"/>
                <w:szCs w:val="21"/>
              </w:rPr>
              <w:t>数字产业增加值增速</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15</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Times New Roman"/>
                <w:kern w:val="0"/>
                <w:szCs w:val="21"/>
                <w:lang w:eastAsia="zh-CN"/>
              </w:rPr>
            </w:pPr>
            <w:r>
              <w:rPr>
                <w:rFonts w:ascii="Times New Roman" w:hAnsi="Times New Roman" w:eastAsia="方正仿宋_GBK" w:cs="Times New Roman"/>
                <w:kern w:val="0"/>
                <w:szCs w:val="21"/>
              </w:rPr>
              <w:t>2</w:t>
            </w:r>
            <w:r>
              <w:rPr>
                <w:rFonts w:hint="eastAsia" w:ascii="Times New Roman" w:hAnsi="Times New Roman" w:eastAsia="方正仿宋_GBK" w:cs="Times New Roman"/>
                <w:kern w:val="0"/>
                <w:szCs w:val="21"/>
                <w:lang w:val="en-US" w:eastAsia="zh-CN"/>
              </w:rPr>
              <w:t>5</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17</w:t>
            </w:r>
          </w:p>
        </w:tc>
        <w:tc>
          <w:tcPr>
            <w:tcW w:w="363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存贷款余额增速</w:t>
            </w:r>
          </w:p>
        </w:tc>
        <w:tc>
          <w:tcPr>
            <w:tcW w:w="1243"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13</w:t>
            </w:r>
          </w:p>
        </w:tc>
        <w:tc>
          <w:tcPr>
            <w:tcW w:w="1147"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8</w:t>
            </w:r>
          </w:p>
        </w:tc>
      </w:tr>
      <w:tr>
        <w:tblPrEx>
          <w:tblCellMar>
            <w:top w:w="0" w:type="dxa"/>
            <w:left w:w="0" w:type="dxa"/>
            <w:bottom w:w="0" w:type="dxa"/>
            <w:right w:w="0" w:type="dxa"/>
          </w:tblCellMar>
        </w:tblPrEx>
        <w:trPr>
          <w:trHeight w:val="397" w:hRule="exact"/>
        </w:trPr>
        <w:tc>
          <w:tcPr>
            <w:tcW w:w="699" w:type="dxa"/>
            <w:vMerge w:val="restart"/>
            <w:tcBorders>
              <w:top w:val="single" w:color="auto" w:sz="4" w:space="0"/>
              <w:left w:val="single" w:color="auto"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szCs w:val="21"/>
              </w:rPr>
              <w:t>18</w:t>
            </w:r>
          </w:p>
        </w:tc>
        <w:tc>
          <w:tcPr>
            <w:tcW w:w="363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全社会固定资产投资</w:t>
            </w:r>
          </w:p>
        </w:tc>
        <w:tc>
          <w:tcPr>
            <w:tcW w:w="1243"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亿元</w:t>
            </w:r>
          </w:p>
        </w:tc>
        <w:tc>
          <w:tcPr>
            <w:tcW w:w="1080"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auto" w:sz="4" w:space="0"/>
              <w:left w:val="single" w:color="000000"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szCs w:val="21"/>
              </w:rPr>
              <w:t>290</w:t>
            </w:r>
          </w:p>
        </w:tc>
        <w:tc>
          <w:tcPr>
            <w:tcW w:w="1147" w:type="dxa"/>
            <w:tcBorders>
              <w:top w:val="single" w:color="auto" w:sz="4" w:space="0"/>
              <w:left w:val="single" w:color="000000" w:sz="4" w:space="0"/>
              <w:bottom w:val="single" w:color="auto" w:sz="4" w:space="0"/>
              <w:right w:val="single" w:color="auto"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szCs w:val="21"/>
              </w:rPr>
              <w:t>291.5</w:t>
            </w:r>
          </w:p>
          <w:p>
            <w:pPr>
              <w:pStyle w:val="14"/>
              <w:keepNext w:val="0"/>
              <w:keepLines w:val="0"/>
              <w:pageBreakBefore w:val="0"/>
              <w:widowControl/>
              <w:kinsoku/>
              <w:wordWrap/>
              <w:overflowPunct/>
              <w:topLinePunct w:val="0"/>
              <w:autoSpaceDE/>
              <w:autoSpaceDN/>
              <w:bidi w:val="0"/>
              <w:adjustRightInd/>
              <w:snapToGrid/>
              <w:spacing w:after="0" w:line="400" w:lineRule="exact"/>
              <w:rPr>
                <w:rFonts w:ascii="Times New Roman" w:hAnsi="Times New Roman" w:eastAsia="方正仿宋_GBK" w:cs="Times New Roman"/>
                <w:szCs w:val="21"/>
              </w:rPr>
            </w:pPr>
          </w:p>
        </w:tc>
      </w:tr>
      <w:tr>
        <w:tblPrEx>
          <w:tblCellMar>
            <w:top w:w="0" w:type="dxa"/>
            <w:left w:w="0" w:type="dxa"/>
            <w:bottom w:w="0" w:type="dxa"/>
            <w:right w:w="0" w:type="dxa"/>
          </w:tblCellMar>
        </w:tblPrEx>
        <w:trPr>
          <w:trHeight w:val="397" w:hRule="exact"/>
        </w:trPr>
        <w:tc>
          <w:tcPr>
            <w:tcW w:w="699" w:type="dxa"/>
            <w:vMerge w:val="continue"/>
            <w:tcBorders>
              <w:top w:val="single" w:color="auto" w:sz="4" w:space="0"/>
              <w:left w:val="single" w:color="auto"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p>
        </w:tc>
        <w:tc>
          <w:tcPr>
            <w:tcW w:w="363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其中：工业投资</w:t>
            </w:r>
          </w:p>
        </w:tc>
        <w:tc>
          <w:tcPr>
            <w:tcW w:w="1243"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亿元</w:t>
            </w:r>
          </w:p>
        </w:tc>
        <w:tc>
          <w:tcPr>
            <w:tcW w:w="108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165</w:t>
            </w:r>
          </w:p>
        </w:tc>
        <w:tc>
          <w:tcPr>
            <w:tcW w:w="1147"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16</w:t>
            </w:r>
            <w:r>
              <w:rPr>
                <w:rFonts w:hint="eastAsia" w:ascii="Times New Roman" w:hAnsi="Times New Roman" w:eastAsia="方正仿宋_GBK" w:cs="Times New Roman"/>
                <w:kern w:val="0"/>
                <w:szCs w:val="21"/>
              </w:rPr>
              <w:t>5</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szCs w:val="21"/>
              </w:rPr>
              <w:t>19</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批发零售业销售总额增速</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15</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15</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szCs w:val="21"/>
              </w:rPr>
              <w:t>20</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进出口总额</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亿元</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100</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72</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21</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实际利用外资</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亿美元</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2.5</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22</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民营经济增加值增速</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8.5</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8.5</w:t>
            </w:r>
          </w:p>
        </w:tc>
      </w:tr>
      <w:tr>
        <w:tblPrEx>
          <w:tblCellMar>
            <w:top w:w="0" w:type="dxa"/>
            <w:left w:w="0" w:type="dxa"/>
            <w:bottom w:w="0" w:type="dxa"/>
            <w:right w:w="0" w:type="dxa"/>
          </w:tblCellMar>
        </w:tblPrEx>
        <w:trPr>
          <w:trHeight w:val="644" w:hRule="exact"/>
        </w:trPr>
        <w:tc>
          <w:tcPr>
            <w:tcW w:w="898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黑体_GBK" w:cs="Times New Roman"/>
                <w:b/>
                <w:kern w:val="0"/>
                <w:szCs w:val="21"/>
              </w:rPr>
            </w:pPr>
            <w:r>
              <w:rPr>
                <w:rFonts w:ascii="Times New Roman" w:hAnsi="Times New Roman" w:eastAsia="方正黑体_GBK" w:cs="Times New Roman"/>
                <w:b/>
                <w:kern w:val="0"/>
                <w:szCs w:val="21"/>
              </w:rPr>
              <w:t>三、美好环境</w:t>
            </w:r>
          </w:p>
        </w:tc>
      </w:tr>
      <w:tr>
        <w:tblPrEx>
          <w:tblCellMar>
            <w:top w:w="0" w:type="dxa"/>
            <w:left w:w="0" w:type="dxa"/>
            <w:bottom w:w="0" w:type="dxa"/>
            <w:right w:w="0" w:type="dxa"/>
          </w:tblCellMar>
        </w:tblPrEx>
        <w:trPr>
          <w:trHeight w:val="650"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szCs w:val="21"/>
              </w:rPr>
              <w:t>23</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单位地区生产总值能耗降低</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约束性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完成市下达目标</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能够完成市下达目标</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24</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国家考核断面水质优良比例</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约束性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 xml:space="preserve">100 </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100</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25</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城区空气优良天数比例</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约束性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≥90</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88</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26</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森林覆盖率</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约束性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49</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49</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27</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PM2.5浓度</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微克/立方米</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约束性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&lt;35</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34</w:t>
            </w:r>
          </w:p>
        </w:tc>
      </w:tr>
      <w:tr>
        <w:tblPrEx>
          <w:tblCellMar>
            <w:top w:w="0" w:type="dxa"/>
            <w:left w:w="0" w:type="dxa"/>
            <w:bottom w:w="0" w:type="dxa"/>
            <w:right w:w="0" w:type="dxa"/>
          </w:tblCellMar>
        </w:tblPrEx>
        <w:trPr>
          <w:trHeight w:val="748"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28</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主要污染物排放总量减少</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约束性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完成市下达目标</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能够完成市下达目标</w:t>
            </w:r>
          </w:p>
        </w:tc>
      </w:tr>
      <w:tr>
        <w:tblPrEx>
          <w:tblCellMar>
            <w:top w:w="0" w:type="dxa"/>
            <w:left w:w="0" w:type="dxa"/>
            <w:bottom w:w="0" w:type="dxa"/>
            <w:right w:w="0" w:type="dxa"/>
          </w:tblCellMar>
        </w:tblPrEx>
        <w:trPr>
          <w:trHeight w:val="397" w:hRule="exact"/>
        </w:trPr>
        <w:tc>
          <w:tcPr>
            <w:tcW w:w="8985"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黑体_GBK" w:cs="Times New Roman"/>
                <w:b/>
                <w:kern w:val="0"/>
                <w:szCs w:val="21"/>
              </w:rPr>
            </w:pPr>
            <w:r>
              <w:rPr>
                <w:rFonts w:ascii="Times New Roman" w:hAnsi="Times New Roman" w:eastAsia="方正黑体_GBK" w:cs="Times New Roman"/>
                <w:b/>
                <w:kern w:val="0"/>
                <w:szCs w:val="21"/>
              </w:rPr>
              <w:t>四、美好生活</w:t>
            </w:r>
          </w:p>
        </w:tc>
      </w:tr>
      <w:tr>
        <w:tblPrEx>
          <w:tblCellMar>
            <w:top w:w="0" w:type="dxa"/>
            <w:left w:w="0" w:type="dxa"/>
            <w:bottom w:w="0" w:type="dxa"/>
            <w:right w:w="0" w:type="dxa"/>
          </w:tblCellMar>
        </w:tblPrEx>
        <w:trPr>
          <w:trHeight w:val="397" w:hRule="exact"/>
        </w:trPr>
        <w:tc>
          <w:tcPr>
            <w:tcW w:w="69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szCs w:val="21"/>
              </w:rPr>
              <w:t>29</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全体居民人均可支配收入</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元</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36000</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36191</w:t>
            </w:r>
          </w:p>
        </w:tc>
      </w:tr>
      <w:tr>
        <w:tblPrEx>
          <w:tblCellMar>
            <w:top w:w="0" w:type="dxa"/>
            <w:left w:w="0" w:type="dxa"/>
            <w:bottom w:w="0" w:type="dxa"/>
            <w:right w:w="0" w:type="dxa"/>
          </w:tblCellMar>
        </w:tblPrEx>
        <w:trPr>
          <w:trHeight w:val="397" w:hRule="exact"/>
        </w:trPr>
        <w:tc>
          <w:tcPr>
            <w:tcW w:w="6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s="Times New Roman"/>
                <w:szCs w:val="21"/>
              </w:rPr>
            </w:pP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全体居民人均可支配收入增速</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8.5</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9</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szCs w:val="21"/>
              </w:rPr>
              <w:t>30</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城镇新增就业人数</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万人</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1.6</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1.6</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31</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劳动年龄人口平均受教育年限</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年</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约束性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13.1</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13.1</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32</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人均体育设施面积</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平方米</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2.18</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2.7</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33</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bottom"/>
              <w:rPr>
                <w:rFonts w:ascii="Times New Roman" w:hAnsi="Times New Roman" w:eastAsia="方正仿宋_GBK" w:cs="Times New Roman"/>
                <w:szCs w:val="21"/>
              </w:rPr>
            </w:pPr>
            <w:r>
              <w:rPr>
                <w:rFonts w:ascii="Times New Roman" w:hAnsi="Times New Roman" w:eastAsia="方正仿宋_GBK" w:cs="Times New Roman"/>
                <w:kern w:val="0"/>
                <w:szCs w:val="21"/>
              </w:rPr>
              <w:t>护理型床位占比</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35</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4</w:t>
            </w:r>
            <w:r>
              <w:rPr>
                <w:rFonts w:hint="eastAsia" w:ascii="Times New Roman" w:hAnsi="Times New Roman" w:eastAsia="方正仿宋_GBK" w:cs="Times New Roman"/>
                <w:kern w:val="0"/>
                <w:szCs w:val="21"/>
              </w:rPr>
              <w:t>0</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34</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bottom"/>
              <w:rPr>
                <w:rFonts w:ascii="Times New Roman" w:hAnsi="Times New Roman" w:eastAsia="方正仿宋_GBK" w:cs="Times New Roman"/>
                <w:szCs w:val="21"/>
              </w:rPr>
            </w:pPr>
            <w:r>
              <w:rPr>
                <w:rFonts w:ascii="Times New Roman" w:hAnsi="Times New Roman" w:eastAsia="方正仿宋_GBK" w:cs="Times New Roman"/>
                <w:kern w:val="0"/>
                <w:szCs w:val="21"/>
              </w:rPr>
              <w:t>养老机构社会化运营率</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55</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55</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35</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bottom"/>
              <w:rPr>
                <w:rFonts w:ascii="Times New Roman" w:hAnsi="Times New Roman" w:eastAsia="方正仿宋_GBK" w:cs="Times New Roman"/>
                <w:szCs w:val="21"/>
              </w:rPr>
            </w:pPr>
            <w:r>
              <w:rPr>
                <w:rFonts w:ascii="Times New Roman" w:hAnsi="Times New Roman" w:eastAsia="方正仿宋_GBK" w:cs="Times New Roman"/>
                <w:kern w:val="0"/>
                <w:szCs w:val="21"/>
              </w:rPr>
              <w:t>每千人拥有执业医师数</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人</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cs="Times New Roman"/>
                <w:szCs w:val="21"/>
              </w:rPr>
            </w:pPr>
            <w:r>
              <w:rPr>
                <w:rFonts w:ascii="Times New Roman" w:hAnsi="Times New Roman" w:cs="Times New Roman"/>
                <w:kern w:val="0"/>
                <w:szCs w:val="21"/>
              </w:rPr>
              <w:t>2.9</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cs="Times New Roman"/>
                <w:kern w:val="0"/>
                <w:szCs w:val="21"/>
              </w:rPr>
            </w:pPr>
            <w:r>
              <w:rPr>
                <w:rFonts w:ascii="Times New Roman" w:hAnsi="Times New Roman" w:cs="Times New Roman"/>
                <w:kern w:val="0"/>
                <w:szCs w:val="21"/>
              </w:rPr>
              <w:t>3.14</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36</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每千人医疗机构床位数</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张</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6.23</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7.12</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37</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粮食综合生产能力</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万吨</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36</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36</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38</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亿元地区生产总值安全事故死亡率</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人</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约束性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0.026</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0.026</w:t>
            </w:r>
          </w:p>
        </w:tc>
      </w:tr>
      <w:tr>
        <w:tblPrEx>
          <w:tblCellMar>
            <w:top w:w="0" w:type="dxa"/>
            <w:left w:w="0" w:type="dxa"/>
            <w:bottom w:w="0" w:type="dxa"/>
            <w:right w:w="0" w:type="dxa"/>
          </w:tblCellMar>
        </w:tblPrEx>
        <w:trPr>
          <w:trHeight w:val="397" w:hRule="exact"/>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39</w:t>
            </w:r>
          </w:p>
        </w:tc>
        <w:tc>
          <w:tcPr>
            <w:tcW w:w="3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平均预期寿命</w:t>
            </w:r>
          </w:p>
        </w:tc>
        <w:tc>
          <w:tcPr>
            <w:tcW w:w="12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岁</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预期性</w:t>
            </w:r>
          </w:p>
        </w:tc>
        <w:tc>
          <w:tcPr>
            <w:tcW w:w="11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78.3</w:t>
            </w:r>
          </w:p>
        </w:tc>
        <w:tc>
          <w:tcPr>
            <w:tcW w:w="114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78.3</w:t>
            </w:r>
          </w:p>
        </w:tc>
      </w:tr>
    </w:tbl>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有5项指标没有完成年初计划。一是服务业增加值占地区生产总值比重指标，主要是服务业经济在2021年11月份受突发新冠疫情影响较为严重。二是战略性新兴产业产值占规上工业总产值比重指标，主要是因为今年传统工业在价格高位情况带动下产值增速超过年初预期，战新产业占比略低于年初计划。三是存贷款余额增速指标，主要是区管重点国有企业、房地产企业受国家货币政策影响导致信贷规模减少。四是进出口总额指标，主要是区内企业受国外疫情、物流成本激增等因素影响，出口货物大幅减少。五是城区空气优良天数比例，略低于年初计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总体看，2021年全区经济社会发展成绩斐然，主要经济社会发展目标都如期完成，这得益于以习近平同志为核心的党中央的坚强领导，市委市政府的科学决策、周密部署，区委区政府的准确识变、科学应变；得益于建党100周年激发出的强大精神力量，全区上下众志成城、拼搏奋进；得</w:t>
      </w:r>
      <w:r>
        <w:rPr>
          <w:rFonts w:ascii="Times New Roman" w:hAnsi="Times New Roman" w:eastAsia="方正仿宋_GBK" w:cs="Times New Roman"/>
          <w:sz w:val="32"/>
        </w:rPr>
        <w:t>益于</w:t>
      </w:r>
      <w:r>
        <w:rPr>
          <w:rFonts w:hint="eastAsia" w:ascii="方正仿宋_GBK" w:hAnsi="方正仿宋_GBK" w:eastAsia="方正仿宋_GBK" w:cs="方正仿宋_GBK"/>
          <w:sz w:val="32"/>
        </w:rPr>
        <w:t>“十四五”规划及全区各项部署有效引导社会预期，各项政策措施加速落地并</w:t>
      </w:r>
      <w:r>
        <w:rPr>
          <w:rFonts w:hint="eastAsia" w:ascii="Times New Roman" w:hAnsi="Times New Roman" w:eastAsia="方正仿宋_GBK"/>
          <w:sz w:val="32"/>
        </w:rPr>
        <w:t>转化为推动高质量发展创造高品质生活的强大动能。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同时，我们也要清醒认识到，全区经济社会发展仍面临一些困难和挑战：国内经济和全市经济发展面临的不稳定不确定因素依然较多，宏观经济面临需求收缩、供给冲击、预期转弱三重压力；新冠变异毒株防控压力较大；产业能级仍需加速提高</w:t>
      </w:r>
      <w:r>
        <w:rPr>
          <w:rFonts w:hint="eastAsia" w:ascii="Times New Roman" w:hAnsi="Times New Roman" w:eastAsia="方正仿宋_GBK" w:cs="Times New Roman"/>
          <w:sz w:val="32"/>
          <w:szCs w:val="32"/>
        </w:rPr>
        <w:t>，产业结构仍不够优</w:t>
      </w:r>
      <w:r>
        <w:rPr>
          <w:rFonts w:hint="eastAsia" w:ascii="Times New Roman" w:hAnsi="Times New Roman" w:eastAsia="方正仿宋_GBK"/>
          <w:sz w:val="32"/>
        </w:rPr>
        <w:t>，</w:t>
      </w:r>
      <w:r>
        <w:rPr>
          <w:rFonts w:hint="eastAsia" w:ascii="Times New Roman" w:hAnsi="Times New Roman" w:eastAsia="方正仿宋_GBK" w:cs="Times New Roman"/>
          <w:sz w:val="32"/>
          <w:szCs w:val="32"/>
        </w:rPr>
        <w:t>现代服务业发展不够快；</w:t>
      </w:r>
      <w:r>
        <w:rPr>
          <w:rFonts w:ascii="Times New Roman" w:hAnsi="Times New Roman" w:eastAsia="方正仿宋_GBK"/>
          <w:sz w:val="32"/>
        </w:rPr>
        <w:t>城市更新</w:t>
      </w:r>
      <w:r>
        <w:rPr>
          <w:rFonts w:hint="eastAsia" w:ascii="Times New Roman" w:hAnsi="Times New Roman" w:eastAsia="方正仿宋_GBK"/>
          <w:sz w:val="32"/>
        </w:rPr>
        <w:t>提质</w:t>
      </w:r>
      <w:r>
        <w:rPr>
          <w:rFonts w:ascii="Times New Roman" w:hAnsi="Times New Roman" w:eastAsia="方正仿宋_GBK"/>
          <w:sz w:val="32"/>
        </w:rPr>
        <w:t>任务较为艰巨</w:t>
      </w:r>
      <w:r>
        <w:rPr>
          <w:rFonts w:hint="eastAsia" w:ascii="Times New Roman" w:hAnsi="Times New Roman" w:eastAsia="方正仿宋_GBK"/>
          <w:sz w:val="32"/>
        </w:rPr>
        <w:t>；社会事业补短板提质量任务艰巨；财政收支紧平衡状态还将长期持续等等</w:t>
      </w:r>
      <w:r>
        <w:rPr>
          <w:rFonts w:ascii="Times New Roman" w:hAnsi="Times New Roman" w:eastAsia="方正仿宋_GBK"/>
          <w:sz w:val="32"/>
        </w:rPr>
        <w:t>。</w:t>
      </w:r>
      <w:r>
        <w:rPr>
          <w:rFonts w:hint="eastAsia" w:ascii="Times New Roman" w:hAnsi="Times New Roman" w:eastAsia="方正仿宋_GBK"/>
          <w:sz w:val="32"/>
        </w:rPr>
        <w:t>这些问题需要全区上下积极面对，在发展的过程中予以解决，在解决中形成新的增长点。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cs="方正黑体_GBK"/>
          <w:sz w:val="32"/>
        </w:rPr>
      </w:pPr>
      <w:r>
        <w:rPr>
          <w:rFonts w:hint="eastAsia" w:ascii="Times New Roman" w:hAnsi="Times New Roman" w:eastAsia="方正黑体_GBK" w:cs="方正黑体_GBK"/>
          <w:sz w:val="32"/>
        </w:rPr>
        <w:t>二、2022年国民经济和社会发展计划总体考虑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楷体_GBK" w:cs="方正楷体_GBK"/>
          <w:sz w:val="32"/>
        </w:rPr>
      </w:pPr>
      <w:r>
        <w:rPr>
          <w:rFonts w:hint="eastAsia" w:ascii="Times New Roman" w:hAnsi="Times New Roman" w:eastAsia="方正楷体_GBK" w:cs="方正楷体_GBK"/>
          <w:sz w:val="32"/>
        </w:rPr>
        <w:t>（一）总体要求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olor w:val="000000"/>
          <w:sz w:val="32"/>
        </w:rPr>
      </w:pPr>
      <w:r>
        <w:rPr>
          <w:rFonts w:hint="eastAsia" w:ascii="Times New Roman" w:hAnsi="Times New Roman" w:eastAsia="方正仿宋_GBK"/>
          <w:color w:val="000000"/>
          <w:sz w:val="32"/>
        </w:rPr>
        <w:t>高举习近平新时代中国特色社会主义思想伟大旗帜，深入贯彻党的十九大及十九届历次全会精神，深入落实习近平总书记对重庆提出的营造良好政治生态，坚持“两点”定位、“两地”“两高”目标，发挥“三个作用”和推动成渝地区双城经济圈建设等重要指示要求，统筹推进“五位一体”总体布局，协调推进“四个全面”战略布局，立足新发展阶段，完整准确全面贯彻新发展理念，积极融入和服务新发展格局，以建成高质量发展高品质生活新范例和同城化发展先行区为统揽，加快建设具有全球影响力的新材料高地、世界级运动康养旅游目的地、中国长寿生命科学城，以“八大体系”</w:t>
      </w:r>
      <w:r>
        <w:rPr>
          <w:rStyle w:val="25"/>
          <w:rFonts w:hint="eastAsia" w:ascii="Times New Roman" w:hAnsi="Times New Roman" w:eastAsia="方正仿宋_GBK"/>
          <w:color w:val="000000"/>
          <w:sz w:val="32"/>
        </w:rPr>
        <w:footnoteReference w:id="0"/>
      </w:r>
      <w:r>
        <w:rPr>
          <w:rFonts w:hint="eastAsia" w:ascii="Times New Roman" w:hAnsi="Times New Roman" w:eastAsia="方正仿宋_GBK"/>
          <w:color w:val="000000"/>
          <w:sz w:val="32"/>
        </w:rPr>
        <w:t>为路径，大力实施</w:t>
      </w:r>
      <w:r>
        <w:rPr>
          <w:rFonts w:hint="eastAsia" w:ascii="方正仿宋_GBK" w:hAnsi="方正仿宋_GBK" w:eastAsia="方正仿宋_GBK" w:cs="方正仿宋_GBK"/>
          <w:color w:val="000000"/>
          <w:sz w:val="32"/>
        </w:rPr>
        <w:t>“</w:t>
      </w:r>
      <w:r>
        <w:rPr>
          <w:rFonts w:ascii="Times New Roman" w:hAnsi="Times New Roman" w:eastAsia="方正仿宋_GBK" w:cs="Times New Roman"/>
          <w:color w:val="000000"/>
          <w:sz w:val="32"/>
        </w:rPr>
        <w:t>3113</w:t>
      </w:r>
      <w:r>
        <w:rPr>
          <w:rFonts w:hint="eastAsia" w:ascii="方正仿宋_GBK" w:hAnsi="方正仿宋_GBK" w:eastAsia="方正仿宋_GBK" w:cs="方正仿宋_GBK"/>
          <w:color w:val="000000"/>
          <w:sz w:val="32"/>
        </w:rPr>
        <w:t>”</w:t>
      </w:r>
      <w:r>
        <w:rPr>
          <w:rFonts w:hint="eastAsia" w:ascii="Times New Roman" w:hAnsi="Times New Roman" w:eastAsia="方正仿宋_GBK"/>
          <w:color w:val="000000"/>
          <w:sz w:val="32"/>
        </w:rPr>
        <w:t>项目攻坚行动计划</w:t>
      </w:r>
      <w:r>
        <w:rPr>
          <w:rStyle w:val="25"/>
          <w:rFonts w:hint="eastAsia" w:ascii="Times New Roman" w:hAnsi="Times New Roman" w:eastAsia="方正仿宋_GBK"/>
          <w:color w:val="000000"/>
          <w:sz w:val="32"/>
        </w:rPr>
        <w:footnoteReference w:id="1"/>
      </w:r>
      <w:r>
        <w:rPr>
          <w:rFonts w:hint="eastAsia" w:ascii="Times New Roman" w:hAnsi="Times New Roman" w:eastAsia="方正仿宋_GBK"/>
          <w:color w:val="000000"/>
          <w:sz w:val="32"/>
        </w:rPr>
        <w:t>，为建设国际化绿色化智能化人文化中国长寿城努力奋斗。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楷体_GBK" w:cs="方正楷体_GBK"/>
          <w:sz w:val="32"/>
        </w:rPr>
      </w:pPr>
      <w:r>
        <w:rPr>
          <w:rFonts w:hint="eastAsia" w:ascii="Times New Roman" w:hAnsi="Times New Roman" w:eastAsia="方正楷体_GBK" w:cs="方正楷体_GBK"/>
          <w:sz w:val="32"/>
        </w:rPr>
        <w:t>（二）主要发展目标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围绕“十四五”规划总体部署，突出接续奋斗、分年实施原则</w:t>
      </w:r>
      <w:r>
        <w:rPr>
          <w:rFonts w:ascii="Times New Roman" w:hAnsi="Times New Roman" w:eastAsia="方正仿宋_GBK"/>
          <w:sz w:val="32"/>
        </w:rPr>
        <w:t>，</w:t>
      </w:r>
      <w:r>
        <w:rPr>
          <w:rFonts w:hint="eastAsia" w:ascii="Times New Roman" w:hAnsi="Times New Roman" w:eastAsia="方正仿宋_GBK"/>
          <w:sz w:val="32"/>
        </w:rPr>
        <w:t>今年重点设定39项</w:t>
      </w:r>
      <w:r>
        <w:rPr>
          <w:rFonts w:ascii="Times New Roman" w:hAnsi="Times New Roman" w:eastAsia="方正仿宋_GBK"/>
          <w:sz w:val="32"/>
        </w:rPr>
        <w:t>年度</w:t>
      </w:r>
      <w:r>
        <w:rPr>
          <w:rFonts w:hint="eastAsia" w:ascii="Times New Roman" w:hAnsi="Times New Roman" w:eastAsia="方正仿宋_GBK"/>
          <w:sz w:val="32"/>
        </w:rPr>
        <w:t>任务指标，</w:t>
      </w:r>
      <w:r>
        <w:rPr>
          <w:rFonts w:ascii="Times New Roman" w:hAnsi="Times New Roman" w:eastAsia="方正仿宋_GBK"/>
          <w:sz w:val="32"/>
        </w:rPr>
        <w:t>其中总量指标1个，即地区生产总值</w:t>
      </w:r>
      <w:r>
        <w:rPr>
          <w:rFonts w:hint="eastAsia" w:ascii="Times New Roman" w:hAnsi="Times New Roman" w:eastAsia="方正仿宋_GBK"/>
          <w:sz w:val="32"/>
        </w:rPr>
        <w:t>，</w:t>
      </w:r>
      <w:r>
        <w:rPr>
          <w:rFonts w:ascii="Times New Roman" w:hAnsi="Times New Roman" w:eastAsia="方正仿宋_GBK"/>
          <w:sz w:val="32"/>
        </w:rPr>
        <w:t>体现发展质量的指标</w:t>
      </w:r>
      <w:r>
        <w:rPr>
          <w:rFonts w:hint="eastAsia" w:ascii="Times New Roman" w:hAnsi="Times New Roman" w:eastAsia="方正仿宋_GBK"/>
          <w:sz w:val="32"/>
        </w:rPr>
        <w:t>12</w:t>
      </w:r>
      <w:r>
        <w:rPr>
          <w:rFonts w:ascii="Times New Roman" w:hAnsi="Times New Roman" w:eastAsia="方正仿宋_GBK"/>
          <w:sz w:val="32"/>
        </w:rPr>
        <w:t>个，体现发展动</w:t>
      </w:r>
      <w:r>
        <w:rPr>
          <w:rFonts w:hint="eastAsia" w:ascii="Times New Roman" w:hAnsi="Times New Roman" w:eastAsia="方正仿宋_GBK"/>
          <w:sz w:val="32"/>
        </w:rPr>
        <w:t>能</w:t>
      </w:r>
      <w:r>
        <w:rPr>
          <w:rFonts w:ascii="Times New Roman" w:hAnsi="Times New Roman" w:eastAsia="方正仿宋_GBK"/>
          <w:sz w:val="32"/>
        </w:rPr>
        <w:t>的指标9个，体现</w:t>
      </w:r>
      <w:r>
        <w:rPr>
          <w:rFonts w:hint="eastAsia" w:ascii="Times New Roman" w:hAnsi="Times New Roman" w:eastAsia="方正仿宋_GBK"/>
          <w:sz w:val="32"/>
        </w:rPr>
        <w:t>美好环境</w:t>
      </w:r>
      <w:r>
        <w:rPr>
          <w:rFonts w:ascii="Times New Roman" w:hAnsi="Times New Roman" w:eastAsia="方正仿宋_GBK"/>
          <w:sz w:val="32"/>
        </w:rPr>
        <w:t>的指标</w:t>
      </w:r>
      <w:r>
        <w:rPr>
          <w:rFonts w:hint="eastAsia" w:ascii="Times New Roman" w:hAnsi="Times New Roman" w:eastAsia="方正仿宋_GBK"/>
          <w:sz w:val="32"/>
        </w:rPr>
        <w:t>6</w:t>
      </w:r>
      <w:r>
        <w:rPr>
          <w:rFonts w:ascii="Times New Roman" w:hAnsi="Times New Roman" w:eastAsia="方正仿宋_GBK"/>
          <w:sz w:val="32"/>
        </w:rPr>
        <w:t>个</w:t>
      </w:r>
      <w:r>
        <w:rPr>
          <w:rFonts w:hint="eastAsia" w:ascii="Times New Roman" w:hAnsi="Times New Roman" w:eastAsia="方正仿宋_GBK"/>
          <w:sz w:val="32"/>
        </w:rPr>
        <w:t>，</w:t>
      </w:r>
      <w:r>
        <w:rPr>
          <w:rFonts w:ascii="Times New Roman" w:hAnsi="Times New Roman" w:eastAsia="方正仿宋_GBK"/>
          <w:sz w:val="32"/>
        </w:rPr>
        <w:t>体现</w:t>
      </w:r>
      <w:r>
        <w:rPr>
          <w:rFonts w:hint="eastAsia" w:ascii="Times New Roman" w:hAnsi="Times New Roman" w:eastAsia="方正仿宋_GBK"/>
          <w:sz w:val="32"/>
        </w:rPr>
        <w:t>美好生活</w:t>
      </w:r>
      <w:r>
        <w:rPr>
          <w:rFonts w:ascii="Times New Roman" w:hAnsi="Times New Roman" w:eastAsia="方正仿宋_GBK"/>
          <w:sz w:val="32"/>
        </w:rPr>
        <w:t>的指标</w:t>
      </w:r>
      <w:r>
        <w:rPr>
          <w:rFonts w:hint="eastAsia" w:ascii="Times New Roman" w:hAnsi="Times New Roman" w:eastAsia="方正仿宋_GBK"/>
          <w:sz w:val="32"/>
        </w:rPr>
        <w:t>11</w:t>
      </w:r>
      <w:r>
        <w:rPr>
          <w:rFonts w:ascii="Times New Roman" w:hAnsi="Times New Roman" w:eastAsia="方正仿宋_GBK"/>
          <w:sz w:val="32"/>
        </w:rPr>
        <w:t>个。</w:t>
      </w:r>
    </w:p>
    <w:p>
      <w:pPr>
        <w:spacing w:line="560" w:lineRule="exact"/>
        <w:jc w:val="center"/>
        <w:rPr>
          <w:rFonts w:ascii="Times New Roman" w:hAnsi="Times New Roman" w:eastAsia="方正黑体_GBK" w:cs="方正黑体_GBK"/>
          <w:sz w:val="28"/>
          <w:szCs w:val="22"/>
        </w:rPr>
      </w:pPr>
      <w:r>
        <w:rPr>
          <w:rFonts w:hint="eastAsia" w:ascii="Times New Roman" w:hAnsi="Times New Roman" w:eastAsia="方正黑体_GBK" w:cs="方正黑体_GBK"/>
          <w:sz w:val="28"/>
          <w:szCs w:val="22"/>
        </w:rPr>
        <w:t>表2：2022年国民经济和社会发展主要指标计划建议</w:t>
      </w:r>
    </w:p>
    <w:tbl>
      <w:tblPr>
        <w:tblStyle w:val="16"/>
        <w:tblW w:w="8932" w:type="dxa"/>
        <w:jc w:val="center"/>
        <w:tblLayout w:type="fixed"/>
        <w:tblCellMar>
          <w:top w:w="0" w:type="dxa"/>
          <w:left w:w="0" w:type="dxa"/>
          <w:bottom w:w="0" w:type="dxa"/>
          <w:right w:w="0" w:type="dxa"/>
        </w:tblCellMar>
      </w:tblPr>
      <w:tblGrid>
        <w:gridCol w:w="699"/>
        <w:gridCol w:w="4097"/>
        <w:gridCol w:w="1283"/>
        <w:gridCol w:w="1157"/>
        <w:gridCol w:w="1696"/>
      </w:tblGrid>
      <w:tr>
        <w:tblPrEx>
          <w:tblCellMar>
            <w:top w:w="0" w:type="dxa"/>
            <w:left w:w="0" w:type="dxa"/>
            <w:bottom w:w="0" w:type="dxa"/>
            <w:right w:w="0" w:type="dxa"/>
          </w:tblCellMar>
        </w:tblPrEx>
        <w:trPr>
          <w:trHeight w:val="397" w:hRule="exact"/>
          <w:tblHeader/>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szCs w:val="21"/>
              </w:rPr>
            </w:pPr>
            <w:r>
              <w:rPr>
                <w:rFonts w:hint="eastAsia" w:ascii="Times New Roman" w:hAnsi="Times New Roman" w:eastAsia="方正仿宋_GBK" w:cs="方正仿宋_GBK"/>
                <w:b/>
                <w:kern w:val="0"/>
                <w:szCs w:val="21"/>
              </w:rPr>
              <w:t>序号</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szCs w:val="21"/>
              </w:rPr>
            </w:pPr>
            <w:r>
              <w:rPr>
                <w:rFonts w:hint="eastAsia" w:ascii="Times New Roman" w:hAnsi="Times New Roman" w:eastAsia="方正仿宋_GBK" w:cs="方正仿宋_GBK"/>
                <w:b/>
                <w:kern w:val="0"/>
                <w:szCs w:val="21"/>
              </w:rPr>
              <w:t>指标名称</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szCs w:val="21"/>
              </w:rPr>
            </w:pPr>
            <w:r>
              <w:rPr>
                <w:rFonts w:hint="eastAsia" w:ascii="Times New Roman" w:hAnsi="Times New Roman" w:eastAsia="方正仿宋_GBK" w:cs="方正仿宋_GBK"/>
                <w:b/>
                <w:kern w:val="0"/>
                <w:szCs w:val="21"/>
              </w:rPr>
              <w:t>单位</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szCs w:val="21"/>
              </w:rPr>
            </w:pPr>
            <w:r>
              <w:rPr>
                <w:rFonts w:hint="eastAsia" w:ascii="Times New Roman" w:hAnsi="Times New Roman" w:eastAsia="方正仿宋_GBK" w:cs="方正仿宋_GBK"/>
                <w:b/>
                <w:kern w:val="0"/>
                <w:szCs w:val="21"/>
              </w:rPr>
              <w:t>指标属性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b/>
                <w:szCs w:val="21"/>
              </w:rPr>
            </w:pPr>
            <w:r>
              <w:rPr>
                <w:rFonts w:hint="eastAsia" w:ascii="Times New Roman" w:hAnsi="Times New Roman" w:eastAsia="方正仿宋_GBK" w:cs="方正仿宋_GBK"/>
                <w:b/>
                <w:kern w:val="0"/>
                <w:szCs w:val="21"/>
              </w:rPr>
              <w:t>2022年计划建议</w:t>
            </w:r>
          </w:p>
        </w:tc>
      </w:tr>
      <w:tr>
        <w:tblPrEx>
          <w:tblCellMar>
            <w:top w:w="0" w:type="dxa"/>
            <w:left w:w="0" w:type="dxa"/>
            <w:bottom w:w="0" w:type="dxa"/>
            <w:right w:w="0" w:type="dxa"/>
          </w:tblCellMar>
        </w:tblPrEx>
        <w:trPr>
          <w:trHeight w:val="397" w:hRule="exact"/>
          <w:jc w:val="center"/>
        </w:trPr>
        <w:tc>
          <w:tcPr>
            <w:tcW w:w="69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1</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地区生产总值</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亿元</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920</w:t>
            </w:r>
          </w:p>
        </w:tc>
      </w:tr>
      <w:tr>
        <w:tblPrEx>
          <w:tblCellMar>
            <w:top w:w="0" w:type="dxa"/>
            <w:left w:w="0" w:type="dxa"/>
            <w:bottom w:w="0" w:type="dxa"/>
            <w:right w:w="0" w:type="dxa"/>
          </w:tblCellMar>
        </w:tblPrEx>
        <w:trPr>
          <w:trHeight w:val="397" w:hRule="exact"/>
          <w:jc w:val="center"/>
        </w:trPr>
        <w:tc>
          <w:tcPr>
            <w:tcW w:w="6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rPr>
                <w:rFonts w:ascii="Times New Roman" w:hAnsi="Times New Roman" w:eastAsia="方正仿宋_GBK" w:cs="方正仿宋_GBK"/>
                <w:szCs w:val="21"/>
              </w:rPr>
            </w:pP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地区生产总值增速（可比价）</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7左右</w:t>
            </w:r>
          </w:p>
        </w:tc>
      </w:tr>
      <w:tr>
        <w:tblPrEx>
          <w:tblCellMar>
            <w:top w:w="0" w:type="dxa"/>
            <w:left w:w="0" w:type="dxa"/>
            <w:bottom w:w="0" w:type="dxa"/>
            <w:right w:w="0" w:type="dxa"/>
          </w:tblCellMar>
        </w:tblPrEx>
        <w:trPr>
          <w:trHeight w:val="397" w:hRule="exact"/>
          <w:jc w:val="center"/>
        </w:trPr>
        <w:tc>
          <w:tcPr>
            <w:tcW w:w="6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rPr>
                <w:rFonts w:ascii="Times New Roman" w:hAnsi="Times New Roman" w:eastAsia="方正仿宋_GBK" w:cs="方正仿宋_GBK"/>
                <w:szCs w:val="21"/>
              </w:rPr>
            </w:pP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人均地区生产总值</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万元</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13</w:t>
            </w:r>
          </w:p>
        </w:tc>
      </w:tr>
      <w:tr>
        <w:tblPrEx>
          <w:tblCellMar>
            <w:top w:w="0" w:type="dxa"/>
            <w:left w:w="0" w:type="dxa"/>
            <w:bottom w:w="0" w:type="dxa"/>
            <w:right w:w="0" w:type="dxa"/>
          </w:tblCellMar>
        </w:tblPrEx>
        <w:trPr>
          <w:trHeight w:val="397" w:hRule="exact"/>
          <w:jc w:val="center"/>
        </w:trPr>
        <w:tc>
          <w:tcPr>
            <w:tcW w:w="8932"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黑体_GBK" w:cs="方正黑体_GBK"/>
                <w:b/>
                <w:szCs w:val="21"/>
              </w:rPr>
            </w:pPr>
            <w:r>
              <w:rPr>
                <w:rFonts w:hint="eastAsia" w:ascii="Times New Roman" w:hAnsi="Times New Roman" w:eastAsia="方正黑体_GBK" w:cs="方正黑体_GBK"/>
                <w:b/>
                <w:kern w:val="0"/>
                <w:szCs w:val="21"/>
              </w:rPr>
              <w:t>一、发展质量</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规上工业全员劳动生产率</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万元/人</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6</w:t>
            </w:r>
            <w:r>
              <w:rPr>
                <w:rFonts w:hint="eastAsia" w:ascii="Times New Roman" w:hAnsi="Times New Roman" w:eastAsia="方正仿宋_GBK" w:cs="Times New Roman"/>
                <w:kern w:val="0"/>
                <w:szCs w:val="21"/>
              </w:rPr>
              <w:t>6</w:t>
            </w:r>
          </w:p>
        </w:tc>
      </w:tr>
      <w:tr>
        <w:tblPrEx>
          <w:tblCellMar>
            <w:top w:w="0" w:type="dxa"/>
            <w:left w:w="0" w:type="dxa"/>
            <w:bottom w:w="0" w:type="dxa"/>
            <w:right w:w="0" w:type="dxa"/>
          </w:tblCellMar>
        </w:tblPrEx>
        <w:trPr>
          <w:trHeight w:val="397" w:hRule="exact"/>
          <w:jc w:val="center"/>
        </w:trPr>
        <w:tc>
          <w:tcPr>
            <w:tcW w:w="69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3</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规上工业总产值</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亿元</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hint="eastAsia" w:ascii="Times New Roman" w:hAnsi="Times New Roman" w:eastAsia="方正仿宋_GBK" w:cs="Times New Roman"/>
                <w:kern w:val="0"/>
                <w:szCs w:val="21"/>
              </w:rPr>
              <w:t>1500</w:t>
            </w:r>
          </w:p>
        </w:tc>
      </w:tr>
      <w:tr>
        <w:tblPrEx>
          <w:tblCellMar>
            <w:top w:w="0" w:type="dxa"/>
            <w:left w:w="0" w:type="dxa"/>
            <w:bottom w:w="0" w:type="dxa"/>
            <w:right w:w="0" w:type="dxa"/>
          </w:tblCellMar>
        </w:tblPrEx>
        <w:trPr>
          <w:trHeight w:val="397" w:hRule="exact"/>
          <w:jc w:val="center"/>
        </w:trPr>
        <w:tc>
          <w:tcPr>
            <w:tcW w:w="6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rPr>
                <w:rFonts w:ascii="Times New Roman" w:hAnsi="Times New Roman" w:eastAsia="方正仿宋_GBK" w:cs="方正仿宋_GBK"/>
                <w:szCs w:val="21"/>
              </w:rPr>
            </w:pP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其中：新材料产业产值</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亿元</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hint="eastAsia" w:ascii="Times New Roman" w:hAnsi="Times New Roman" w:eastAsia="方正仿宋_GBK" w:cs="Times New Roman"/>
                <w:kern w:val="0"/>
                <w:szCs w:val="21"/>
              </w:rPr>
              <w:t>300</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4</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服务业增加值占地区生产总值比重</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3</w:t>
            </w:r>
            <w:r>
              <w:rPr>
                <w:rFonts w:hint="eastAsia" w:ascii="Times New Roman" w:hAnsi="Times New Roman" w:eastAsia="方正仿宋_GBK" w:cs="Times New Roman"/>
                <w:kern w:val="0"/>
                <w:szCs w:val="21"/>
              </w:rPr>
              <w:t>7</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5</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社会消费品零售增速</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hint="eastAsia" w:ascii="Times New Roman" w:hAnsi="Times New Roman" w:eastAsia="方正仿宋_GBK" w:cs="Times New Roman"/>
                <w:kern w:val="0"/>
                <w:szCs w:val="21"/>
              </w:rPr>
              <w:t>15</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6</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 w:val="22"/>
                <w:szCs w:val="22"/>
              </w:rPr>
              <w:t>物流货运量</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kern w:val="0"/>
                <w:szCs w:val="21"/>
              </w:rPr>
            </w:pPr>
            <w:r>
              <w:rPr>
                <w:rFonts w:hint="eastAsia" w:ascii="Times New Roman" w:hAnsi="Times New Roman" w:eastAsia="方正仿宋_GBK" w:cs="方正仿宋_GBK"/>
                <w:kern w:val="0"/>
                <w:sz w:val="22"/>
                <w:szCs w:val="22"/>
              </w:rPr>
              <w:t>亿吨</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1.15</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7</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生物医药产业增速</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hint="eastAsia" w:ascii="Times New Roman" w:hAnsi="Times New Roman" w:eastAsia="方正仿宋_GBK" w:cs="Times New Roman"/>
                <w:kern w:val="0"/>
                <w:szCs w:val="21"/>
              </w:rPr>
              <w:t>20</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8</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过夜游客</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万人次</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110</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9</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文旅产业增加值占地区生产总值比重</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5.3</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10</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农业总产值增速</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8</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11</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城市建成区面积</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平方公里</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73</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12</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常住人口城镇化率</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71</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13</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一般公共预算收入</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亿元</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55.6</w:t>
            </w:r>
          </w:p>
        </w:tc>
      </w:tr>
      <w:tr>
        <w:tblPrEx>
          <w:tblCellMar>
            <w:top w:w="0" w:type="dxa"/>
            <w:left w:w="0" w:type="dxa"/>
            <w:bottom w:w="0" w:type="dxa"/>
            <w:right w:w="0" w:type="dxa"/>
          </w:tblCellMar>
        </w:tblPrEx>
        <w:trPr>
          <w:trHeight w:val="397" w:hRule="exact"/>
          <w:jc w:val="center"/>
        </w:trPr>
        <w:tc>
          <w:tcPr>
            <w:tcW w:w="8932"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黑体_GBK" w:cs="方正黑体_GBK"/>
                <w:b/>
                <w:szCs w:val="21"/>
              </w:rPr>
            </w:pPr>
            <w:r>
              <w:rPr>
                <w:rFonts w:hint="eastAsia" w:ascii="Times New Roman" w:hAnsi="Times New Roman" w:eastAsia="方正黑体_GBK" w:cs="方正黑体_GBK"/>
                <w:b/>
                <w:kern w:val="0"/>
                <w:szCs w:val="21"/>
              </w:rPr>
              <w:t>二、发展动能</w:t>
            </w:r>
          </w:p>
        </w:tc>
      </w:tr>
      <w:tr>
        <w:tblPrEx>
          <w:tblCellMar>
            <w:top w:w="0" w:type="dxa"/>
            <w:left w:w="0" w:type="dxa"/>
            <w:bottom w:w="0" w:type="dxa"/>
            <w:right w:w="0" w:type="dxa"/>
          </w:tblCellMar>
        </w:tblPrEx>
        <w:trPr>
          <w:trHeight w:val="556"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14</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8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全社会研究与试验发展经费支出占地区生产总值比重</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3</w:t>
            </w:r>
          </w:p>
        </w:tc>
      </w:tr>
      <w:tr>
        <w:tblPrEx>
          <w:tblCellMar>
            <w:top w:w="0" w:type="dxa"/>
            <w:left w:w="0" w:type="dxa"/>
            <w:bottom w:w="0" w:type="dxa"/>
            <w:right w:w="0" w:type="dxa"/>
          </w:tblCellMar>
        </w:tblPrEx>
        <w:trPr>
          <w:trHeight w:val="369"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15</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80" w:lineRule="exact"/>
              <w:textAlignment w:val="bottom"/>
              <w:rPr>
                <w:rFonts w:ascii="Times New Roman" w:hAnsi="Times New Roman" w:eastAsia="方正仿宋_GBK" w:cs="方正仿宋_GBK"/>
                <w:szCs w:val="21"/>
              </w:rPr>
            </w:pPr>
            <w:r>
              <w:rPr>
                <w:rFonts w:hint="eastAsia" w:ascii="Times New Roman" w:hAnsi="Times New Roman" w:eastAsia="方正仿宋_GBK" w:cs="方正仿宋_GBK"/>
                <w:kern w:val="0"/>
                <w:szCs w:val="21"/>
              </w:rPr>
              <w:t>战略性新兴产业产值占规上工业总产值比重</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20</w:t>
            </w:r>
          </w:p>
        </w:tc>
      </w:tr>
      <w:tr>
        <w:tblPrEx>
          <w:tblCellMar>
            <w:top w:w="0" w:type="dxa"/>
            <w:left w:w="0" w:type="dxa"/>
            <w:bottom w:w="0" w:type="dxa"/>
            <w:right w:w="0" w:type="dxa"/>
          </w:tblCellMar>
        </w:tblPrEx>
        <w:trPr>
          <w:trHeight w:val="426"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16</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80" w:lineRule="exact"/>
              <w:textAlignment w:val="bottom"/>
              <w:rPr>
                <w:rFonts w:ascii="Times New Roman" w:hAnsi="Times New Roman" w:eastAsia="方正仿宋_GBK" w:cs="方正仿宋_GBK"/>
                <w:szCs w:val="21"/>
              </w:rPr>
            </w:pPr>
            <w:r>
              <w:rPr>
                <w:rFonts w:hint="eastAsia" w:ascii="Times New Roman" w:hAnsi="Times New Roman" w:eastAsia="方正仿宋_GBK" w:cs="方正仿宋_GBK"/>
                <w:kern w:val="0"/>
                <w:szCs w:val="21"/>
              </w:rPr>
              <w:t>数字产业增加值增速</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hint="eastAsia" w:ascii="Times New Roman" w:hAnsi="Times New Roman" w:eastAsia="方正仿宋_GBK" w:cs="Times New Roman"/>
                <w:kern w:val="0"/>
                <w:szCs w:val="21"/>
              </w:rPr>
              <w:t>20</w:t>
            </w:r>
          </w:p>
        </w:tc>
      </w:tr>
      <w:tr>
        <w:tblPrEx>
          <w:tblCellMar>
            <w:top w:w="0" w:type="dxa"/>
            <w:left w:w="0" w:type="dxa"/>
            <w:bottom w:w="0" w:type="dxa"/>
            <w:right w:w="0" w:type="dxa"/>
          </w:tblCellMar>
        </w:tblPrEx>
        <w:trPr>
          <w:trHeight w:val="322" w:hRule="exact"/>
          <w:jc w:val="center"/>
        </w:trPr>
        <w:tc>
          <w:tcPr>
            <w:tcW w:w="699"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17</w:t>
            </w:r>
          </w:p>
        </w:tc>
        <w:tc>
          <w:tcPr>
            <w:tcW w:w="4097"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存贷款余额增速</w:t>
            </w:r>
          </w:p>
        </w:tc>
        <w:tc>
          <w:tcPr>
            <w:tcW w:w="1283"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hint="eastAsia" w:ascii="Times New Roman" w:hAnsi="Times New Roman" w:eastAsia="方正仿宋_GBK" w:cs="Times New Roman"/>
                <w:szCs w:val="21"/>
              </w:rPr>
              <w:t>8</w:t>
            </w:r>
          </w:p>
        </w:tc>
      </w:tr>
      <w:tr>
        <w:tblPrEx>
          <w:tblCellMar>
            <w:top w:w="0" w:type="dxa"/>
            <w:left w:w="0" w:type="dxa"/>
            <w:bottom w:w="0" w:type="dxa"/>
            <w:right w:w="0" w:type="dxa"/>
          </w:tblCellMar>
        </w:tblPrEx>
        <w:trPr>
          <w:trHeight w:val="397" w:hRule="exact"/>
          <w:jc w:val="center"/>
        </w:trPr>
        <w:tc>
          <w:tcPr>
            <w:tcW w:w="699" w:type="dxa"/>
            <w:vMerge w:val="restart"/>
            <w:tcBorders>
              <w:top w:val="single" w:color="auto" w:sz="4" w:space="0"/>
              <w:left w:val="single" w:color="auto" w:sz="4" w:space="0"/>
              <w:bottom w:val="single" w:color="auto"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18</w:t>
            </w:r>
          </w:p>
        </w:tc>
        <w:tc>
          <w:tcPr>
            <w:tcW w:w="4097"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全社会固定资产投资</w:t>
            </w:r>
          </w:p>
        </w:tc>
        <w:tc>
          <w:tcPr>
            <w:tcW w:w="1283"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亿元</w:t>
            </w:r>
          </w:p>
        </w:tc>
        <w:tc>
          <w:tcPr>
            <w:tcW w:w="1157" w:type="dxa"/>
            <w:tcBorders>
              <w:top w:val="single" w:color="auto" w:sz="4" w:space="0"/>
              <w:left w:val="single" w:color="000000" w:sz="4" w:space="0"/>
              <w:bottom w:val="single" w:color="auto"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auto" w:sz="4" w:space="0"/>
              <w:left w:val="single" w:color="000000" w:sz="4" w:space="0"/>
              <w:bottom w:val="single" w:color="auto" w:sz="4" w:space="0"/>
              <w:right w:val="single" w:color="auto"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hint="eastAsia" w:ascii="Times New Roman" w:hAnsi="Times New Roman" w:eastAsia="方正仿宋_GBK" w:cs="Times New Roman"/>
                <w:szCs w:val="21"/>
              </w:rPr>
              <w:t>350</w:t>
            </w:r>
          </w:p>
        </w:tc>
      </w:tr>
      <w:tr>
        <w:tblPrEx>
          <w:tblCellMar>
            <w:top w:w="0" w:type="dxa"/>
            <w:left w:w="0" w:type="dxa"/>
            <w:bottom w:w="0" w:type="dxa"/>
            <w:right w:w="0" w:type="dxa"/>
          </w:tblCellMar>
        </w:tblPrEx>
        <w:trPr>
          <w:trHeight w:val="397" w:hRule="exact"/>
          <w:jc w:val="center"/>
        </w:trPr>
        <w:tc>
          <w:tcPr>
            <w:tcW w:w="699" w:type="dxa"/>
            <w:vMerge w:val="continue"/>
            <w:tcBorders>
              <w:top w:val="single" w:color="auto" w:sz="4" w:space="0"/>
              <w:left w:val="single" w:color="auto"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p>
        </w:tc>
        <w:tc>
          <w:tcPr>
            <w:tcW w:w="4097"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其中：工业投资</w:t>
            </w:r>
          </w:p>
        </w:tc>
        <w:tc>
          <w:tcPr>
            <w:tcW w:w="1283"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亿元</w:t>
            </w:r>
          </w:p>
        </w:tc>
        <w:tc>
          <w:tcPr>
            <w:tcW w:w="1157"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180</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19</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批发零售业销售总额增速</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hint="eastAsia" w:ascii="Times New Roman" w:hAnsi="Times New Roman" w:eastAsia="方正仿宋_GBK" w:cs="Times New Roman"/>
                <w:szCs w:val="21"/>
              </w:rPr>
              <w:t>15</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20</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进出口总额</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亿元</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60</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21</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实际利用外资</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亿美元</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hint="eastAsia" w:ascii="Times New Roman" w:hAnsi="Times New Roman" w:eastAsia="方正仿宋_GBK" w:cs="Times New Roman"/>
                <w:kern w:val="0"/>
                <w:szCs w:val="21"/>
              </w:rPr>
              <w:t>2</w:t>
            </w:r>
          </w:p>
        </w:tc>
      </w:tr>
      <w:tr>
        <w:tblPrEx>
          <w:tblCellMar>
            <w:top w:w="0" w:type="dxa"/>
            <w:left w:w="0" w:type="dxa"/>
            <w:bottom w:w="0" w:type="dxa"/>
            <w:right w:w="0" w:type="dxa"/>
          </w:tblCellMar>
        </w:tblPrEx>
        <w:trPr>
          <w:trHeight w:val="390"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22</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lef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民营经济增加值增速</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hint="eastAsia" w:ascii="Times New Roman" w:hAnsi="Times New Roman" w:eastAsia="方正仿宋_GBK" w:cs="Times New Roman"/>
                <w:kern w:val="0"/>
                <w:szCs w:val="21"/>
              </w:rPr>
              <w:t>10</w:t>
            </w:r>
          </w:p>
        </w:tc>
      </w:tr>
      <w:tr>
        <w:tblPrEx>
          <w:tblCellMar>
            <w:top w:w="0" w:type="dxa"/>
            <w:left w:w="0" w:type="dxa"/>
            <w:bottom w:w="0" w:type="dxa"/>
            <w:right w:w="0" w:type="dxa"/>
          </w:tblCellMar>
        </w:tblPrEx>
        <w:trPr>
          <w:trHeight w:val="397" w:hRule="exact"/>
          <w:jc w:val="center"/>
        </w:trPr>
        <w:tc>
          <w:tcPr>
            <w:tcW w:w="8932"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黑体_GBK" w:cs="方正黑体_GBK"/>
                <w:b/>
                <w:szCs w:val="21"/>
              </w:rPr>
            </w:pPr>
            <w:r>
              <w:rPr>
                <w:rFonts w:hint="eastAsia" w:ascii="Times New Roman" w:hAnsi="Times New Roman" w:eastAsia="方正黑体_GBK" w:cs="方正黑体_GBK"/>
                <w:b/>
                <w:kern w:val="0"/>
                <w:szCs w:val="21"/>
              </w:rPr>
              <w:t>三、美好环境</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23</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单位地区生产总值能耗降低</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约束性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完成市下达目标</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24</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国家考核断面水质优良比例</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约束性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100</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25</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城区空气优良天数</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hint="eastAsia" w:ascii="Times New Roman" w:hAnsi="Times New Roman" w:eastAsia="方正仿宋_GBK" w:cs="Times New Roman"/>
                <w:szCs w:val="21"/>
              </w:rPr>
              <w:t>天</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约束性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321</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26</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森林覆盖率</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约束性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50</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27</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PM2.5浓度</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微克/立方米</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约束性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&lt;33</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28</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主要污染物排放总量减少</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约束性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完成市下达目标</w:t>
            </w:r>
          </w:p>
        </w:tc>
      </w:tr>
      <w:tr>
        <w:tblPrEx>
          <w:tblCellMar>
            <w:top w:w="0" w:type="dxa"/>
            <w:left w:w="0" w:type="dxa"/>
            <w:bottom w:w="0" w:type="dxa"/>
            <w:right w:w="0" w:type="dxa"/>
          </w:tblCellMar>
        </w:tblPrEx>
        <w:trPr>
          <w:trHeight w:val="397" w:hRule="exact"/>
          <w:jc w:val="center"/>
        </w:trPr>
        <w:tc>
          <w:tcPr>
            <w:tcW w:w="8932"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黑体_GBK" w:cs="方正黑体_GBK"/>
                <w:b/>
                <w:szCs w:val="21"/>
              </w:rPr>
            </w:pPr>
            <w:r>
              <w:rPr>
                <w:rFonts w:hint="eastAsia" w:ascii="Times New Roman" w:hAnsi="Times New Roman" w:eastAsia="方正黑体_GBK" w:cs="方正黑体_GBK"/>
                <w:b/>
                <w:kern w:val="0"/>
                <w:szCs w:val="21"/>
              </w:rPr>
              <w:t>四、美好生活</w:t>
            </w:r>
          </w:p>
        </w:tc>
      </w:tr>
      <w:tr>
        <w:tblPrEx>
          <w:tblCellMar>
            <w:top w:w="0" w:type="dxa"/>
            <w:left w:w="0" w:type="dxa"/>
            <w:bottom w:w="0" w:type="dxa"/>
            <w:right w:w="0" w:type="dxa"/>
          </w:tblCellMar>
        </w:tblPrEx>
        <w:trPr>
          <w:trHeight w:val="397" w:hRule="exact"/>
          <w:jc w:val="center"/>
        </w:trPr>
        <w:tc>
          <w:tcPr>
            <w:tcW w:w="69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29</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全体居民人均可支配收入</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元</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39000</w:t>
            </w:r>
          </w:p>
        </w:tc>
      </w:tr>
      <w:tr>
        <w:tblPrEx>
          <w:tblCellMar>
            <w:top w:w="0" w:type="dxa"/>
            <w:left w:w="0" w:type="dxa"/>
            <w:bottom w:w="0" w:type="dxa"/>
            <w:right w:w="0" w:type="dxa"/>
          </w:tblCellMar>
        </w:tblPrEx>
        <w:trPr>
          <w:trHeight w:val="397" w:hRule="exact"/>
          <w:jc w:val="center"/>
        </w:trPr>
        <w:tc>
          <w:tcPr>
            <w:tcW w:w="69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rPr>
                <w:rFonts w:ascii="Times New Roman" w:hAnsi="Times New Roman" w:eastAsia="方正仿宋_GBK" w:cs="方正仿宋_GBK"/>
                <w:szCs w:val="21"/>
              </w:rPr>
            </w:pP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全体居民人均可支配收入增速</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8</w:t>
            </w:r>
          </w:p>
        </w:tc>
      </w:tr>
      <w:tr>
        <w:tblPrEx>
          <w:tblCellMar>
            <w:top w:w="0" w:type="dxa"/>
            <w:left w:w="0" w:type="dxa"/>
            <w:bottom w:w="0" w:type="dxa"/>
            <w:right w:w="0" w:type="dxa"/>
          </w:tblCellMar>
        </w:tblPrEx>
        <w:trPr>
          <w:trHeight w:val="344"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30</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城镇新增就业人数</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万人</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szCs w:val="21"/>
              </w:rPr>
              <w:t>1.6</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31</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劳动年龄人口平均受教育年限</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年</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约束性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13.2</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32</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人均体育设施面积</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平方米</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2.75</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33</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textAlignment w:val="bottom"/>
              <w:rPr>
                <w:rFonts w:ascii="Times New Roman" w:hAnsi="Times New Roman" w:eastAsia="方正仿宋_GBK" w:cs="方正仿宋_GBK"/>
                <w:szCs w:val="21"/>
              </w:rPr>
            </w:pPr>
            <w:r>
              <w:rPr>
                <w:rFonts w:hint="eastAsia" w:ascii="Times New Roman" w:hAnsi="Times New Roman" w:eastAsia="方正仿宋_GBK" w:cs="方正仿宋_GBK"/>
                <w:kern w:val="0"/>
                <w:szCs w:val="21"/>
              </w:rPr>
              <w:t>护理型床位占比</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hint="eastAsia" w:ascii="Times New Roman" w:hAnsi="Times New Roman" w:eastAsia="方正仿宋_GBK" w:cs="Times New Roman"/>
                <w:kern w:val="0"/>
                <w:szCs w:val="21"/>
              </w:rPr>
              <w:t>45</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34</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textAlignment w:val="bottom"/>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养老机构社会化运营率</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ascii="Times New Roman" w:hAnsi="Times New Roman" w:eastAsia="方正仿宋_GBK" w:cs="Times New Roman"/>
                <w:kern w:val="0"/>
                <w:szCs w:val="21"/>
              </w:rPr>
              <w:t>%</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57</w:t>
            </w:r>
          </w:p>
        </w:tc>
      </w:tr>
      <w:tr>
        <w:tblPrEx>
          <w:tblCellMar>
            <w:top w:w="0" w:type="dxa"/>
            <w:left w:w="0" w:type="dxa"/>
            <w:bottom w:w="0" w:type="dxa"/>
            <w:right w:w="0" w:type="dxa"/>
          </w:tblCellMar>
        </w:tblPrEx>
        <w:trPr>
          <w:trHeight w:val="39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35</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textAlignment w:val="bottom"/>
              <w:rPr>
                <w:rFonts w:ascii="Times New Roman" w:hAnsi="Times New Roman" w:eastAsia="方正仿宋_GBK" w:cs="方正仿宋_GBK"/>
                <w:szCs w:val="21"/>
              </w:rPr>
            </w:pPr>
            <w:r>
              <w:rPr>
                <w:rFonts w:hint="eastAsia" w:ascii="Times New Roman" w:hAnsi="Times New Roman" w:eastAsia="方正仿宋_GBK" w:cs="方正仿宋_GBK"/>
                <w:kern w:val="0"/>
                <w:szCs w:val="21"/>
              </w:rPr>
              <w:t>每千人拥有执业医师数</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人</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cs="Times New Roman"/>
                <w:szCs w:val="21"/>
              </w:rPr>
            </w:pPr>
            <w:r>
              <w:rPr>
                <w:rFonts w:ascii="Times New Roman" w:hAnsi="Times New Roman" w:cs="Times New Roman"/>
                <w:kern w:val="0"/>
                <w:szCs w:val="21"/>
              </w:rPr>
              <w:t>3.2</w:t>
            </w:r>
          </w:p>
        </w:tc>
      </w:tr>
      <w:tr>
        <w:tblPrEx>
          <w:tblCellMar>
            <w:top w:w="0" w:type="dxa"/>
            <w:left w:w="0" w:type="dxa"/>
            <w:bottom w:w="0" w:type="dxa"/>
            <w:right w:w="0" w:type="dxa"/>
          </w:tblCellMar>
        </w:tblPrEx>
        <w:trPr>
          <w:trHeight w:val="333"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36</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left"/>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每千人医疗机构床位数</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张</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方正仿宋_GBK"/>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00" w:lineRule="exact"/>
              <w:jc w:val="center"/>
              <w:textAlignment w:val="center"/>
              <w:rPr>
                <w:rFonts w:ascii="Times New Roman" w:hAnsi="Times New Roman" w:eastAsia="方正仿宋_GBK" w:cs="Times New Roman"/>
                <w:szCs w:val="21"/>
              </w:rPr>
            </w:pPr>
            <w:r>
              <w:rPr>
                <w:rFonts w:ascii="Times New Roman" w:hAnsi="Times New Roman" w:eastAsia="方正仿宋_GBK" w:cs="Times New Roman"/>
                <w:kern w:val="0"/>
                <w:szCs w:val="21"/>
              </w:rPr>
              <w:t>7.5</w:t>
            </w:r>
          </w:p>
        </w:tc>
      </w:tr>
      <w:tr>
        <w:tblPrEx>
          <w:tblCellMar>
            <w:top w:w="0" w:type="dxa"/>
            <w:left w:w="0" w:type="dxa"/>
            <w:bottom w:w="0" w:type="dxa"/>
            <w:right w:w="0" w:type="dxa"/>
          </w:tblCellMar>
        </w:tblPrEx>
        <w:trPr>
          <w:trHeight w:val="335"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37</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left"/>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粮食综合生产能力</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万吨</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36</w:t>
            </w:r>
          </w:p>
        </w:tc>
      </w:tr>
      <w:tr>
        <w:tblPrEx>
          <w:tblCellMar>
            <w:top w:w="0" w:type="dxa"/>
            <w:left w:w="0" w:type="dxa"/>
            <w:bottom w:w="0" w:type="dxa"/>
            <w:right w:w="0" w:type="dxa"/>
          </w:tblCellMar>
        </w:tblPrEx>
        <w:trPr>
          <w:trHeight w:val="337"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38</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left"/>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亿元地区生产总值安全事故死亡率</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人</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约束性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0.025</w:t>
            </w:r>
          </w:p>
        </w:tc>
      </w:tr>
      <w:tr>
        <w:tblPrEx>
          <w:tblCellMar>
            <w:top w:w="0" w:type="dxa"/>
            <w:left w:w="0" w:type="dxa"/>
            <w:bottom w:w="0" w:type="dxa"/>
            <w:right w:w="0" w:type="dxa"/>
          </w:tblCellMar>
        </w:tblPrEx>
        <w:trPr>
          <w:trHeight w:val="343" w:hRule="exact"/>
          <w:jc w:val="center"/>
        </w:trPr>
        <w:tc>
          <w:tcPr>
            <w:tcW w:w="6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39</w:t>
            </w:r>
          </w:p>
        </w:tc>
        <w:tc>
          <w:tcPr>
            <w:tcW w:w="40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left"/>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平均预期寿命</w:t>
            </w:r>
          </w:p>
        </w:tc>
        <w:tc>
          <w:tcPr>
            <w:tcW w:w="12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岁</w:t>
            </w:r>
          </w:p>
        </w:tc>
        <w:tc>
          <w:tcPr>
            <w:tcW w:w="11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预期性</w:t>
            </w:r>
          </w:p>
        </w:tc>
        <w:tc>
          <w:tcPr>
            <w:tcW w:w="16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60" w:lineRule="exact"/>
              <w:jc w:val="center"/>
              <w:textAlignment w:val="center"/>
              <w:rPr>
                <w:rFonts w:ascii="Times New Roman" w:hAnsi="Times New Roman" w:eastAsia="方正仿宋_GBK" w:cs="方正仿宋_GBK"/>
                <w:kern w:val="0"/>
                <w:szCs w:val="21"/>
              </w:rPr>
            </w:pPr>
            <w:r>
              <w:rPr>
                <w:rFonts w:hint="eastAsia" w:ascii="Times New Roman" w:hAnsi="Times New Roman" w:eastAsia="方正仿宋_GBK" w:cs="方正仿宋_GBK"/>
                <w:kern w:val="0"/>
                <w:szCs w:val="21"/>
              </w:rPr>
              <w:t>78.76</w:t>
            </w:r>
          </w:p>
        </w:tc>
      </w:tr>
    </w:tbl>
    <w:p>
      <w:pPr>
        <w:pStyle w:val="14"/>
        <w:spacing w:after="0" w:line="460" w:lineRule="exact"/>
        <w:ind w:firstLine="480" w:firstLineChars="200"/>
        <w:rPr>
          <w:rFonts w:ascii="Times New Roman" w:hAnsi="Times New Roman" w:eastAsia="方正仿宋_GBK"/>
          <w:sz w:val="24"/>
        </w:rPr>
      </w:pPr>
      <w:r>
        <w:rPr>
          <w:rFonts w:hint="eastAsia" w:ascii="Times New Roman" w:hAnsi="Times New Roman" w:eastAsia="方正仿宋_GBK"/>
          <w:sz w:val="24"/>
        </w:rPr>
        <w:t>备注：第11项指标因统计口径发生变化，因此2022年数据小于2021年。</w:t>
      </w:r>
    </w:p>
    <w:p>
      <w:pPr>
        <w:pStyle w:val="14"/>
        <w:keepNext w:val="0"/>
        <w:keepLines w:val="0"/>
        <w:pageBreakBefore w:val="0"/>
        <w:widowControl w:val="0"/>
        <w:kinsoku/>
        <w:wordWrap/>
        <w:overflowPunct/>
        <w:topLinePunct w:val="0"/>
        <w:autoSpaceDE/>
        <w:autoSpaceDN/>
        <w:bidi w:val="0"/>
        <w:adjustRightInd/>
        <w:snapToGrid/>
        <w:spacing w:after="0" w:line="594" w:lineRule="exact"/>
        <w:ind w:firstLine="640" w:firstLineChars="200"/>
        <w:textAlignment w:val="auto"/>
        <w:rPr>
          <w:rFonts w:ascii="Times New Roman" w:hAnsi="Times New Roman" w:eastAsia="方正仿宋_GBK"/>
        </w:rPr>
      </w:pPr>
      <w:r>
        <w:rPr>
          <w:rFonts w:hint="eastAsia" w:ascii="Times New Roman" w:hAnsi="Times New Roman" w:eastAsia="方正仿宋_GBK"/>
        </w:rPr>
        <w:t>从经济发展规律看，地区生产总值增长目标是一个区间概念，是预期性、导向性指标。2022年全区地区生产总值预期增长7%左右，这个目标既充分考虑现有产业基础和发展基数，兼顾发展后劲和社会预期，也考虑到经济发展目标设定不能忽高忽低，7%左右的增长目标与经济潜在增长率是相适应的，是符合当前全区经济发展规律的，是与“十四五”规划发展目标充分衔接的。总体上，这个目标为全区积极融入新发展格局，完成补短板强弱项等艰巨繁重的改革发展任务留出时间，为对冲市场不利变化留出空间，也体现长寿区该有的担当和作为。同时我们也看到，这个目标不是轻轻松松就能实现的，需要全区上下团结一心付出艰苦努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楷体_GBK" w:cs="方正楷体_GBK"/>
          <w:sz w:val="32"/>
        </w:rPr>
        <w:t>（三）重大项目安排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2022年作为“3113”项目攻坚行动计划的开局之年，在统筹考虑国家和全市政策导向、经济社会发展基础之上，并兼顾资金平衡和要素保障条件，全年</w:t>
      </w:r>
      <w:r>
        <w:rPr>
          <w:rFonts w:ascii="Times New Roman" w:hAnsi="Times New Roman" w:eastAsia="方正仿宋_GBK"/>
          <w:sz w:val="32"/>
        </w:rPr>
        <w:t>计划安排重大项目</w:t>
      </w:r>
      <w:r>
        <w:rPr>
          <w:rFonts w:hint="eastAsia" w:ascii="Times New Roman" w:hAnsi="Times New Roman" w:eastAsia="方正仿宋_GBK"/>
          <w:sz w:val="32"/>
        </w:rPr>
        <w:t>258</w:t>
      </w:r>
      <w:r>
        <w:rPr>
          <w:rFonts w:ascii="Times New Roman" w:hAnsi="Times New Roman" w:eastAsia="方正仿宋_GBK"/>
          <w:sz w:val="32"/>
        </w:rPr>
        <w:t>个，</w:t>
      </w:r>
      <w:r>
        <w:rPr>
          <w:rFonts w:hint="eastAsia" w:ascii="Times New Roman" w:hAnsi="Times New Roman" w:eastAsia="方正仿宋_GBK"/>
          <w:sz w:val="32"/>
        </w:rPr>
        <w:t>其中</w:t>
      </w:r>
      <w:r>
        <w:rPr>
          <w:rFonts w:ascii="Times New Roman" w:hAnsi="Times New Roman" w:eastAsia="方正仿宋_GBK"/>
          <w:sz w:val="32"/>
        </w:rPr>
        <w:t>建设项目</w:t>
      </w:r>
      <w:r>
        <w:rPr>
          <w:rFonts w:hint="eastAsia" w:ascii="Times New Roman" w:hAnsi="Times New Roman" w:eastAsia="方正仿宋_GBK"/>
          <w:sz w:val="32"/>
        </w:rPr>
        <w:t>185</w:t>
      </w:r>
      <w:r>
        <w:rPr>
          <w:rFonts w:ascii="Times New Roman" w:hAnsi="Times New Roman" w:eastAsia="方正仿宋_GBK"/>
          <w:sz w:val="32"/>
        </w:rPr>
        <w:t>个、前期项目</w:t>
      </w:r>
      <w:r>
        <w:rPr>
          <w:rFonts w:hint="eastAsia" w:ascii="Times New Roman" w:hAnsi="Times New Roman" w:eastAsia="方正仿宋_GBK"/>
          <w:sz w:val="32"/>
        </w:rPr>
        <w:t>73</w:t>
      </w:r>
      <w:r>
        <w:rPr>
          <w:rFonts w:ascii="Times New Roman" w:hAnsi="Times New Roman" w:eastAsia="方正仿宋_GBK"/>
          <w:sz w:val="32"/>
        </w:rPr>
        <w:t>个，总投资</w:t>
      </w:r>
      <w:r>
        <w:rPr>
          <w:rFonts w:hint="eastAsia" w:ascii="Times New Roman" w:hAnsi="Times New Roman" w:eastAsia="方正仿宋_GBK"/>
          <w:sz w:val="32"/>
        </w:rPr>
        <w:t>2085</w:t>
      </w:r>
      <w:r>
        <w:rPr>
          <w:rFonts w:ascii="Times New Roman" w:hAnsi="Times New Roman" w:eastAsia="方正仿宋_GBK"/>
          <w:sz w:val="32"/>
        </w:rPr>
        <w:t>亿元</w:t>
      </w:r>
      <w:r>
        <w:rPr>
          <w:rFonts w:hint="eastAsia" w:ascii="Times New Roman" w:hAnsi="Times New Roman" w:eastAsia="方正仿宋_GBK"/>
          <w:sz w:val="32"/>
        </w:rPr>
        <w:t>，</w:t>
      </w:r>
      <w:r>
        <w:rPr>
          <w:rFonts w:ascii="Times New Roman" w:hAnsi="Times New Roman" w:eastAsia="方正仿宋_GBK"/>
          <w:sz w:val="32"/>
        </w:rPr>
        <w:t>年度计划投资</w:t>
      </w:r>
      <w:r>
        <w:rPr>
          <w:rFonts w:hint="eastAsia" w:ascii="Times New Roman" w:hAnsi="Times New Roman" w:eastAsia="方正仿宋_GBK"/>
          <w:sz w:val="32"/>
        </w:rPr>
        <w:t>300</w:t>
      </w:r>
      <w:r>
        <w:rPr>
          <w:rFonts w:ascii="Times New Roman" w:hAnsi="Times New Roman" w:eastAsia="方正仿宋_GBK"/>
          <w:sz w:val="32"/>
        </w:rPr>
        <w:t>亿元。</w:t>
      </w:r>
      <w:r>
        <w:rPr>
          <w:rFonts w:hint="eastAsia" w:ascii="Times New Roman" w:hAnsi="Times New Roman" w:eastAsia="方正仿宋_GBK"/>
          <w:sz w:val="32"/>
        </w:rPr>
        <w:t>为庆祝</w:t>
      </w:r>
      <w:r>
        <w:rPr>
          <w:rFonts w:ascii="Times New Roman" w:hAnsi="Times New Roman" w:eastAsia="方正仿宋_GBK"/>
          <w:sz w:val="32"/>
        </w:rPr>
        <w:t>建区二十周年</w:t>
      </w:r>
      <w:r>
        <w:rPr>
          <w:rFonts w:hint="eastAsia" w:ascii="Times New Roman" w:hAnsi="Times New Roman" w:eastAsia="方正仿宋_GBK"/>
          <w:sz w:val="32"/>
        </w:rPr>
        <w:t>，今年将推进</w:t>
      </w:r>
      <w:r>
        <w:rPr>
          <w:rFonts w:hint="eastAsia" w:ascii="Times New Roman" w:hAnsi="Times New Roman" w:eastAsia="方正仿宋_GBK" w:cs="方正仿宋_GBK"/>
          <w:sz w:val="32"/>
        </w:rPr>
        <w:t>“撤县设区”3</w:t>
      </w:r>
      <w:r>
        <w:rPr>
          <w:rFonts w:hint="eastAsia" w:ascii="Times New Roman" w:hAnsi="Times New Roman" w:eastAsia="方正仿宋_GBK"/>
          <w:sz w:val="32"/>
        </w:rPr>
        <w:t>0大项目，总投资598亿元。为推进“两地一城”战略高起点开局，今年同步安排“两地一城”30个特别重大项目，总投资1642亿元。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184个区级重点建设项目主要聚焦以下领域</w:t>
      </w:r>
      <w:r>
        <w:rPr>
          <w:rFonts w:ascii="Times New Roman" w:hAnsi="Times New Roman" w:eastAsia="方正仿宋_GBK"/>
          <w:sz w:val="32"/>
        </w:rPr>
        <w:t>：产业高质量发展</w:t>
      </w:r>
      <w:r>
        <w:rPr>
          <w:rFonts w:hint="eastAsia" w:ascii="Times New Roman" w:hAnsi="Times New Roman" w:eastAsia="方正仿宋_GBK"/>
          <w:sz w:val="32"/>
        </w:rPr>
        <w:t>板块计划安排</w:t>
      </w:r>
      <w:r>
        <w:rPr>
          <w:rFonts w:ascii="Times New Roman" w:hAnsi="Times New Roman" w:eastAsia="方正仿宋_GBK"/>
          <w:sz w:val="32"/>
        </w:rPr>
        <w:t>重大建设项目</w:t>
      </w:r>
      <w:r>
        <w:rPr>
          <w:rFonts w:hint="eastAsia" w:ascii="Times New Roman" w:hAnsi="Times New Roman" w:eastAsia="方正仿宋_GBK"/>
          <w:sz w:val="32"/>
        </w:rPr>
        <w:t>77</w:t>
      </w:r>
      <w:r>
        <w:rPr>
          <w:rFonts w:ascii="Times New Roman" w:hAnsi="Times New Roman" w:eastAsia="方正仿宋_GBK"/>
          <w:sz w:val="32"/>
        </w:rPr>
        <w:t>个，总投资</w:t>
      </w:r>
      <w:r>
        <w:rPr>
          <w:rFonts w:hint="eastAsia" w:ascii="Times New Roman" w:hAnsi="Times New Roman" w:eastAsia="方正仿宋_GBK"/>
          <w:sz w:val="32"/>
        </w:rPr>
        <w:t>916</w:t>
      </w:r>
      <w:r>
        <w:rPr>
          <w:rFonts w:ascii="Times New Roman" w:hAnsi="Times New Roman" w:eastAsia="方正仿宋_GBK"/>
          <w:sz w:val="32"/>
        </w:rPr>
        <w:t>亿元，年度投资</w:t>
      </w:r>
      <w:r>
        <w:rPr>
          <w:rFonts w:hint="eastAsia" w:ascii="Times New Roman" w:hAnsi="Times New Roman" w:eastAsia="方正仿宋_GBK"/>
          <w:sz w:val="32"/>
        </w:rPr>
        <w:t>186</w:t>
      </w:r>
      <w:r>
        <w:rPr>
          <w:rFonts w:ascii="Times New Roman" w:hAnsi="Times New Roman" w:eastAsia="方正仿宋_GBK"/>
          <w:sz w:val="32"/>
        </w:rPr>
        <w:t>亿元</w:t>
      </w:r>
      <w:r>
        <w:rPr>
          <w:rFonts w:hint="eastAsia" w:ascii="Times New Roman" w:hAnsi="Times New Roman" w:eastAsia="方正仿宋_GBK"/>
          <w:sz w:val="32"/>
        </w:rPr>
        <w:t>；</w:t>
      </w:r>
      <w:r>
        <w:rPr>
          <w:rFonts w:ascii="Times New Roman" w:hAnsi="Times New Roman" w:eastAsia="方正仿宋_GBK"/>
          <w:sz w:val="32"/>
        </w:rPr>
        <w:t>城乡建设</w:t>
      </w:r>
      <w:r>
        <w:rPr>
          <w:rFonts w:hint="eastAsia" w:ascii="Times New Roman" w:hAnsi="Times New Roman" w:eastAsia="方正仿宋_GBK"/>
          <w:sz w:val="32"/>
        </w:rPr>
        <w:t>板块计划安排</w:t>
      </w:r>
      <w:r>
        <w:rPr>
          <w:rFonts w:ascii="Times New Roman" w:hAnsi="Times New Roman" w:eastAsia="方正仿宋_GBK"/>
          <w:sz w:val="32"/>
        </w:rPr>
        <w:t>重大建设项目</w:t>
      </w:r>
      <w:r>
        <w:rPr>
          <w:rFonts w:hint="eastAsia" w:ascii="Times New Roman" w:hAnsi="Times New Roman" w:eastAsia="方正仿宋_GBK"/>
          <w:sz w:val="32"/>
        </w:rPr>
        <w:t>56</w:t>
      </w:r>
      <w:r>
        <w:rPr>
          <w:rFonts w:ascii="Times New Roman" w:hAnsi="Times New Roman" w:eastAsia="方正仿宋_GBK"/>
          <w:sz w:val="32"/>
        </w:rPr>
        <w:t>个，总投资</w:t>
      </w:r>
      <w:r>
        <w:rPr>
          <w:rFonts w:hint="eastAsia" w:ascii="Times New Roman" w:hAnsi="Times New Roman" w:eastAsia="方正仿宋_GBK"/>
          <w:sz w:val="32"/>
        </w:rPr>
        <w:t>160</w:t>
      </w:r>
      <w:r>
        <w:rPr>
          <w:rFonts w:ascii="Times New Roman" w:hAnsi="Times New Roman" w:eastAsia="方正仿宋_GBK"/>
          <w:sz w:val="32"/>
        </w:rPr>
        <w:t>亿元，年度投资</w:t>
      </w:r>
      <w:r>
        <w:rPr>
          <w:rFonts w:hint="eastAsia" w:ascii="Times New Roman" w:hAnsi="Times New Roman" w:eastAsia="方正仿宋_GBK"/>
          <w:sz w:val="32"/>
        </w:rPr>
        <w:t>45</w:t>
      </w:r>
      <w:r>
        <w:rPr>
          <w:rFonts w:ascii="Times New Roman" w:hAnsi="Times New Roman" w:eastAsia="方正仿宋_GBK"/>
          <w:sz w:val="32"/>
        </w:rPr>
        <w:t>亿元</w:t>
      </w:r>
      <w:r>
        <w:rPr>
          <w:rFonts w:hint="eastAsia" w:ascii="Times New Roman" w:hAnsi="Times New Roman" w:eastAsia="方正仿宋_GBK"/>
          <w:sz w:val="32"/>
        </w:rPr>
        <w:t>；</w:t>
      </w:r>
      <w:r>
        <w:rPr>
          <w:rFonts w:ascii="Times New Roman" w:hAnsi="Times New Roman" w:eastAsia="方正仿宋_GBK"/>
          <w:sz w:val="32"/>
        </w:rPr>
        <w:t>重大基础设施</w:t>
      </w:r>
      <w:r>
        <w:rPr>
          <w:rFonts w:hint="eastAsia" w:ascii="Times New Roman" w:hAnsi="Times New Roman" w:eastAsia="方正仿宋_GBK"/>
          <w:sz w:val="32"/>
        </w:rPr>
        <w:t>板块计划安排</w:t>
      </w:r>
      <w:r>
        <w:rPr>
          <w:rFonts w:ascii="Times New Roman" w:hAnsi="Times New Roman" w:eastAsia="方正仿宋_GBK"/>
          <w:sz w:val="32"/>
        </w:rPr>
        <w:t>重大建设项目</w:t>
      </w:r>
      <w:r>
        <w:rPr>
          <w:rFonts w:hint="eastAsia" w:ascii="Times New Roman" w:hAnsi="Times New Roman" w:eastAsia="方正仿宋_GBK"/>
          <w:sz w:val="32"/>
        </w:rPr>
        <w:t>25</w:t>
      </w:r>
      <w:r>
        <w:rPr>
          <w:rFonts w:ascii="Times New Roman" w:hAnsi="Times New Roman" w:eastAsia="方正仿宋_GBK"/>
          <w:sz w:val="32"/>
        </w:rPr>
        <w:t>个，总投资</w:t>
      </w:r>
      <w:r>
        <w:rPr>
          <w:rFonts w:hint="eastAsia" w:ascii="Times New Roman" w:hAnsi="Times New Roman" w:eastAsia="方正仿宋_GBK"/>
          <w:sz w:val="32"/>
        </w:rPr>
        <w:t>193</w:t>
      </w:r>
      <w:r>
        <w:rPr>
          <w:rFonts w:ascii="Times New Roman" w:hAnsi="Times New Roman" w:eastAsia="方正仿宋_GBK"/>
          <w:sz w:val="32"/>
        </w:rPr>
        <w:t>亿元，年度投资</w:t>
      </w:r>
      <w:r>
        <w:rPr>
          <w:rFonts w:hint="eastAsia" w:ascii="Times New Roman" w:hAnsi="Times New Roman" w:eastAsia="方正仿宋_GBK"/>
          <w:sz w:val="32"/>
        </w:rPr>
        <w:t>32</w:t>
      </w:r>
      <w:r>
        <w:rPr>
          <w:rFonts w:ascii="Times New Roman" w:hAnsi="Times New Roman" w:eastAsia="方正仿宋_GBK"/>
          <w:sz w:val="32"/>
        </w:rPr>
        <w:t>亿元</w:t>
      </w:r>
      <w:r>
        <w:rPr>
          <w:rFonts w:hint="eastAsia" w:ascii="Times New Roman" w:hAnsi="Times New Roman" w:eastAsia="方正仿宋_GBK"/>
          <w:sz w:val="32"/>
        </w:rPr>
        <w:t>；社会民生板块计划安排</w:t>
      </w:r>
      <w:r>
        <w:rPr>
          <w:rFonts w:ascii="Times New Roman" w:hAnsi="Times New Roman" w:eastAsia="方正仿宋_GBK"/>
          <w:sz w:val="32"/>
        </w:rPr>
        <w:t>重大建设项目</w:t>
      </w:r>
      <w:r>
        <w:rPr>
          <w:rFonts w:hint="eastAsia" w:ascii="Times New Roman" w:hAnsi="Times New Roman" w:eastAsia="方正仿宋_GBK"/>
          <w:sz w:val="32"/>
        </w:rPr>
        <w:t>26</w:t>
      </w:r>
      <w:r>
        <w:rPr>
          <w:rFonts w:ascii="Times New Roman" w:hAnsi="Times New Roman" w:eastAsia="方正仿宋_GBK"/>
          <w:sz w:val="32"/>
        </w:rPr>
        <w:t>个，总投资</w:t>
      </w:r>
      <w:r>
        <w:rPr>
          <w:rFonts w:hint="eastAsia" w:ascii="Times New Roman" w:hAnsi="Times New Roman" w:eastAsia="方正仿宋_GBK"/>
          <w:sz w:val="32"/>
        </w:rPr>
        <w:t>106</w:t>
      </w:r>
      <w:r>
        <w:rPr>
          <w:rFonts w:ascii="Times New Roman" w:hAnsi="Times New Roman" w:eastAsia="方正仿宋_GBK"/>
          <w:sz w:val="32"/>
        </w:rPr>
        <w:t>亿元，</w:t>
      </w:r>
      <w:r>
        <w:rPr>
          <w:rFonts w:hint="eastAsia" w:ascii="Times New Roman" w:hAnsi="Times New Roman" w:eastAsia="方正仿宋_GBK"/>
          <w:sz w:val="32"/>
        </w:rPr>
        <w:t>年度</w:t>
      </w:r>
      <w:r>
        <w:rPr>
          <w:rFonts w:ascii="Times New Roman" w:hAnsi="Times New Roman" w:eastAsia="方正仿宋_GBK"/>
          <w:sz w:val="32"/>
        </w:rPr>
        <w:t>投资</w:t>
      </w:r>
      <w:r>
        <w:rPr>
          <w:rFonts w:hint="eastAsia" w:ascii="Times New Roman" w:hAnsi="Times New Roman" w:eastAsia="方正仿宋_GBK"/>
          <w:sz w:val="32"/>
        </w:rPr>
        <w:t>37</w:t>
      </w:r>
      <w:r>
        <w:rPr>
          <w:rFonts w:ascii="Times New Roman" w:hAnsi="Times New Roman" w:eastAsia="方正仿宋_GBK"/>
          <w:sz w:val="32"/>
        </w:rPr>
        <w:t>亿元。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cs="方正黑体_GBK"/>
          <w:sz w:val="32"/>
        </w:rPr>
      </w:pPr>
      <w:r>
        <w:rPr>
          <w:rFonts w:hint="eastAsia" w:ascii="Times New Roman" w:hAnsi="Times New Roman" w:eastAsia="方正黑体_GBK" w:cs="方正黑体_GBK"/>
          <w:sz w:val="32"/>
        </w:rPr>
        <w:t>三、2022年实现国民经济和社会发展计划的重点措施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ascii="Times New Roman" w:hAnsi="Times New Roman" w:eastAsia="方正仿宋_GBK"/>
          <w:sz w:val="32"/>
        </w:rPr>
        <w:t>为确保国民经济和社会发展达到预期目标，</w:t>
      </w:r>
      <w:r>
        <w:rPr>
          <w:rFonts w:hint="eastAsia" w:ascii="Times New Roman" w:hAnsi="Times New Roman" w:eastAsia="方正仿宋_GBK"/>
          <w:sz w:val="32"/>
        </w:rPr>
        <w:t>今</w:t>
      </w:r>
      <w:r>
        <w:rPr>
          <w:rFonts w:ascii="Times New Roman" w:hAnsi="Times New Roman" w:eastAsia="方正仿宋_GBK"/>
          <w:sz w:val="32"/>
        </w:rPr>
        <w:t>年要</w:t>
      </w:r>
      <w:r>
        <w:rPr>
          <w:rFonts w:hint="eastAsia" w:ascii="Times New Roman" w:hAnsi="Times New Roman" w:eastAsia="方正仿宋_GBK"/>
          <w:sz w:val="32"/>
        </w:rPr>
        <w:t>更加落实</w:t>
      </w:r>
      <w:r>
        <w:rPr>
          <w:rFonts w:ascii="Times New Roman" w:hAnsi="Times New Roman" w:eastAsia="方正仿宋_GBK"/>
          <w:sz w:val="32"/>
        </w:rPr>
        <w:t>落细市委市政府</w:t>
      </w:r>
      <w:r>
        <w:rPr>
          <w:rFonts w:hint="eastAsia" w:ascii="Times New Roman" w:hAnsi="Times New Roman" w:eastAsia="方正仿宋_GBK"/>
          <w:sz w:val="32"/>
        </w:rPr>
        <w:t>各项</w:t>
      </w:r>
      <w:r>
        <w:rPr>
          <w:rFonts w:ascii="Times New Roman" w:hAnsi="Times New Roman" w:eastAsia="方正仿宋_GBK"/>
          <w:sz w:val="32"/>
        </w:rPr>
        <w:t>决策部署，</w:t>
      </w:r>
      <w:r>
        <w:rPr>
          <w:rFonts w:hint="eastAsia" w:ascii="Times New Roman" w:hAnsi="Times New Roman" w:eastAsia="方正仿宋_GBK"/>
          <w:sz w:val="32"/>
        </w:rPr>
        <w:t>更加落实落细“</w:t>
      </w:r>
      <w:r>
        <w:rPr>
          <w:rFonts w:ascii="Times New Roman" w:hAnsi="Times New Roman" w:eastAsia="方正仿宋_GBK"/>
          <w:sz w:val="32"/>
        </w:rPr>
        <w:t>十四五</w:t>
      </w:r>
      <w:r>
        <w:rPr>
          <w:rFonts w:hint="eastAsia" w:ascii="Times New Roman" w:hAnsi="Times New Roman" w:eastAsia="方正仿宋_GBK"/>
          <w:sz w:val="32"/>
        </w:rPr>
        <w:t>”</w:t>
      </w:r>
      <w:r>
        <w:rPr>
          <w:rFonts w:ascii="Times New Roman" w:hAnsi="Times New Roman" w:eastAsia="方正仿宋_GBK"/>
          <w:sz w:val="32"/>
        </w:rPr>
        <w:t>规划</w:t>
      </w:r>
      <w:r>
        <w:rPr>
          <w:rFonts w:hint="eastAsia" w:ascii="Times New Roman" w:hAnsi="Times New Roman" w:eastAsia="方正仿宋_GBK"/>
          <w:sz w:val="32"/>
        </w:rPr>
        <w:t>纲要和区十四次党代会提出的各项任务，进一步凝聚民意、增强信心，进一步保持定力、坚定底气，进一步守正创新、综合施策，坚持强工业、稳农业、促消费、扩内需、抓项目、重创新、畅循环、提质量，更好激发内生动力、挖掘市场潜力、增添市场活力，最大化集聚推动经济社会发展的正能量，保持平稳健康的经济环境、国泰民安的社会环境、风清气正的政治环境，以优异成绩迎接党的二十大召开</w:t>
      </w:r>
      <w:r>
        <w:rPr>
          <w:rFonts w:ascii="Times New Roman" w:hAnsi="Times New Roman" w:eastAsia="方正仿宋_GBK"/>
          <w:sz w:val="32"/>
        </w:rPr>
        <w:t>。重点抓好以下</w:t>
      </w:r>
      <w:r>
        <w:rPr>
          <w:rFonts w:hint="eastAsia" w:ascii="Times New Roman" w:hAnsi="Times New Roman" w:eastAsia="方正仿宋_GBK"/>
          <w:sz w:val="32"/>
        </w:rPr>
        <w:t>七</w:t>
      </w:r>
      <w:r>
        <w:rPr>
          <w:rFonts w:ascii="Times New Roman" w:hAnsi="Times New Roman" w:eastAsia="方正仿宋_GBK"/>
          <w:sz w:val="32"/>
        </w:rPr>
        <w:t>个方面工作。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（一）牢固树立一盘棋思想和一体化发展理念，加快推动成渝地区双城经济圈建设。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rPr>
        <w:t>唱好“双城记”，推动川渝合作务实见效。印发出台</w:t>
      </w:r>
      <w:r>
        <w:rPr>
          <w:rFonts w:hint="eastAsia" w:ascii="Times New Roman" w:hAnsi="Times New Roman" w:eastAsia="方正仿宋_GBK"/>
          <w:sz w:val="32"/>
          <w:szCs w:val="32"/>
        </w:rPr>
        <w:t>合广长经济协同发展示范区、明月山绿色发展示范带建设规划，联合共建区县推进重大政策、重大项目、重大事项、重大改革细化落实。进一步扩大长寿区在合广长经济协同发展示范区、明月山绿色发展示范带中的带动和引领作用，承办好明月山绿色发展示范带党政联席会议。围绕现代产业、交通基础设施、科技创新、生态环保、公共服务等重点领域，加快将已签署合作协议转化为共建项目、合作事项，推动</w:t>
      </w:r>
      <w:r>
        <w:rPr>
          <w:rFonts w:hint="eastAsia" w:ascii="Times New Roman" w:hAnsi="Times New Roman" w:eastAsia="方正仿宋_GBK" w:cs="Times New Roman"/>
          <w:sz w:val="32"/>
          <w:szCs w:val="32"/>
        </w:rPr>
        <w:t>5个川渝共建项目加快建设，完成年度投资7亿元</w:t>
      </w:r>
      <w:r>
        <w:rPr>
          <w:rFonts w:hint="eastAsia" w:ascii="Times New Roman" w:hAnsi="Times New Roman" w:eastAsia="方正仿宋_GBK"/>
          <w:sz w:val="32"/>
          <w:szCs w:val="32"/>
        </w:rPr>
        <w:t>。积极与共建区县提高重点民生事项跨省跨区办理效率，建立营商环境、市场监管、行政执法等联动互认制度。落实成渝地区双城经济圈体制机制改革创新方案，</w:t>
      </w:r>
      <w:r>
        <w:rPr>
          <w:rFonts w:hint="eastAsia" w:ascii="Times New Roman" w:hAnsi="Times New Roman" w:eastAsia="方正仿宋_GBK"/>
          <w:sz w:val="32"/>
          <w:szCs w:val="32"/>
          <w:lang w:eastAsia="zh-CN"/>
        </w:rPr>
        <w:t>争取</w:t>
      </w:r>
      <w:r>
        <w:rPr>
          <w:rFonts w:hint="eastAsia" w:ascii="Times New Roman" w:hAnsi="Times New Roman" w:eastAsia="方正仿宋_GBK"/>
          <w:sz w:val="32"/>
          <w:szCs w:val="32"/>
        </w:rPr>
        <w:t>在经济区与行政区适度分离改革等重点方面取得较大突破。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加速“同城化”，推动先行区建设落地有效。坚决扛起在</w:t>
      </w:r>
      <w:r>
        <w:rPr>
          <w:rFonts w:hint="eastAsia" w:ascii="Times New Roman" w:hAnsi="Times New Roman" w:eastAsia="方正仿宋_GBK" w:cs="方正仿宋_GBK"/>
          <w:sz w:val="32"/>
          <w:szCs w:val="32"/>
        </w:rPr>
        <w:t>主城都市区“强核”“扩容”战略布局中的区域担当，在重庆建设国际化绿色化智能化人文化现代大都市过程中积极承载中心城区重大城市功能。</w:t>
      </w:r>
      <w:r>
        <w:rPr>
          <w:rFonts w:hint="eastAsia" w:ascii="Times New Roman" w:hAnsi="Times New Roman" w:eastAsia="方正仿宋_GBK"/>
          <w:sz w:val="32"/>
        </w:rPr>
        <w:t>加快交通同网，大力建设两江新区至长寿快速通道，提速</w:t>
      </w:r>
      <w:r>
        <w:rPr>
          <w:rFonts w:hint="eastAsia" w:ascii="Times New Roman" w:hAnsi="Times New Roman" w:eastAsia="方正仿宋_GBK" w:cs="Times New Roman"/>
          <w:bCs/>
          <w:sz w:val="32"/>
          <w:szCs w:val="32"/>
        </w:rPr>
        <w:t>城（口）宣（汉）大（竹）邻（水）高速、合川至广安至长寿高速、市域铁路C7线等前期工作</w:t>
      </w:r>
      <w:r>
        <w:rPr>
          <w:rFonts w:hint="eastAsia" w:ascii="Times New Roman" w:hAnsi="Times New Roman" w:eastAsia="方正仿宋_GBK"/>
          <w:sz w:val="32"/>
        </w:rPr>
        <w:t>，进一步加密公交化列车。加速产业同链，进一步增强为中心城区主导产业配套、生产生活保供功能，全面推进与两江新区、重庆高新区、渝北区等合作联动，深度融入全市主导产业供应链创新链价值链。加强生态共保，联动毗邻区县抓好山水林地联动保护，协同做好空气污染防治管控。强化服务共享，</w:t>
      </w:r>
      <w:r>
        <w:rPr>
          <w:rFonts w:hint="eastAsia" w:ascii="Times New Roman" w:hAnsi="Times New Roman" w:eastAsia="方正仿宋_GBK"/>
          <w:sz w:val="32"/>
          <w:lang w:eastAsia="zh-CN"/>
        </w:rPr>
        <w:t>引进</w:t>
      </w:r>
      <w:r>
        <w:rPr>
          <w:rFonts w:hint="eastAsia" w:ascii="Times New Roman" w:hAnsi="Times New Roman" w:eastAsia="方正仿宋_GBK"/>
          <w:sz w:val="32"/>
        </w:rPr>
        <w:t>中心城区职业院校、医疗机构来长办学办医，提高与中心城区高等院校、文化单位的合作强度，力争签署一批战略合作协议。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sz w:val="32"/>
        </w:rPr>
        <w:t>推进“协同化”，推动区域发展联动高效。更高水平推进与垫江县协同发展，</w:t>
      </w:r>
      <w:r>
        <w:rPr>
          <w:rFonts w:ascii="Times New Roman" w:hAnsi="Times New Roman" w:eastAsia="方正仿宋_GBK"/>
          <w:sz w:val="32"/>
        </w:rPr>
        <w:t>共推</w:t>
      </w:r>
      <w:r>
        <w:rPr>
          <w:rFonts w:hint="eastAsia" w:ascii="Times New Roman" w:hAnsi="Times New Roman" w:eastAsia="方正仿宋_GBK"/>
          <w:sz w:val="32"/>
        </w:rPr>
        <w:t>重庆东向物流大通道、明月山旅游环道、毗邻乡镇公路提质改造等项目建设，推进澄（溪）海（棠）新区开展实质性建设，大力推进</w:t>
      </w:r>
      <w:r>
        <w:rPr>
          <w:rFonts w:ascii="Times New Roman" w:hAnsi="Times New Roman" w:eastAsia="方正仿宋_GBK"/>
          <w:sz w:val="32"/>
        </w:rPr>
        <w:t>在</w:t>
      </w:r>
      <w:r>
        <w:rPr>
          <w:rFonts w:hint="eastAsia" w:ascii="Times New Roman" w:hAnsi="Times New Roman" w:eastAsia="方正仿宋_GBK"/>
          <w:sz w:val="32"/>
        </w:rPr>
        <w:t>工业、文旅、农业、民生等领域</w:t>
      </w:r>
      <w:r>
        <w:rPr>
          <w:rFonts w:ascii="Times New Roman" w:hAnsi="Times New Roman" w:eastAsia="方正仿宋_GBK"/>
          <w:sz w:val="32"/>
        </w:rPr>
        <w:t>合作</w:t>
      </w:r>
      <w:r>
        <w:rPr>
          <w:rFonts w:hint="eastAsia" w:ascii="Times New Roman" w:hAnsi="Times New Roman" w:eastAsia="方正仿宋_GBK"/>
          <w:sz w:val="32"/>
        </w:rPr>
        <w:t>，协同推进垫江县大石乡加快乡村振兴。全面推进与涪陵区、梁平区、渝北区、巴南区等周边区县的协同发展，加强在产业共建、应急处置、公共卫生事件防控等领域的协同联动。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（二）多措并举提升产业能级，加快构建具有全球影响力的新材料高地。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坚持“特色化+差别化”优化产业体系。细化产业图谱，全面实行“链长制”，做大特色产业比较优势，大力发展特殊钢、管线钢，建设国家智能金属材料产业基地，做大做强光学级PMMA、MS等产业链，打造全国最大聚氨酯材料产业基地，做精做优锂离子电池微孔隔膜、气凝胶、单细胞蛋白质等高成长性产业，打造千亿级功能性膜材料产业基地、百亿级硅基新材料集群和全国领先的生物制药基地，推动</w:t>
      </w:r>
      <w:r>
        <w:rPr>
          <w:rFonts w:ascii="Times New Roman" w:hAnsi="Times New Roman" w:eastAsia="方正仿宋_GBK" w:cs="Times New Roman"/>
          <w:sz w:val="32"/>
          <w:szCs w:val="32"/>
        </w:rPr>
        <w:t>双象超纤、</w:t>
      </w:r>
      <w:r>
        <w:rPr>
          <w:rFonts w:hint="eastAsia" w:ascii="Times New Roman" w:hAnsi="Times New Roman" w:eastAsia="方正仿宋_GBK" w:cs="Times New Roman"/>
          <w:sz w:val="32"/>
          <w:szCs w:val="32"/>
        </w:rPr>
        <w:t>亚士创能</w:t>
      </w:r>
      <w:r>
        <w:rPr>
          <w:rFonts w:ascii="Times New Roman" w:hAnsi="Times New Roman" w:eastAsia="方正仿宋_GBK" w:cs="Times New Roman"/>
          <w:sz w:val="32"/>
          <w:szCs w:val="32"/>
        </w:rPr>
        <w:t>、华陆科技等</w:t>
      </w:r>
      <w:r>
        <w:rPr>
          <w:rFonts w:hint="eastAsia" w:ascii="Times New Roman" w:hAnsi="Times New Roman" w:eastAsia="方正仿宋_GBK" w:cs="Times New Roman"/>
          <w:sz w:val="32"/>
          <w:szCs w:val="32"/>
        </w:rPr>
        <w:t>重大工业</w:t>
      </w:r>
      <w:r>
        <w:rPr>
          <w:rFonts w:ascii="Times New Roman" w:hAnsi="Times New Roman" w:eastAsia="方正仿宋_GBK" w:cs="Times New Roman"/>
          <w:sz w:val="32"/>
          <w:szCs w:val="32"/>
        </w:rPr>
        <w:t>项目投产</w:t>
      </w:r>
      <w:r>
        <w:rPr>
          <w:rFonts w:hint="eastAsia" w:ascii="Times New Roman" w:hAnsi="Times New Roman" w:eastAsia="方正仿宋_GBK" w:cs="Times New Roman"/>
          <w:sz w:val="32"/>
          <w:szCs w:val="32"/>
        </w:rPr>
        <w:t>，</w:t>
      </w:r>
      <w:r>
        <w:rPr>
          <w:rFonts w:hint="eastAsia" w:ascii="Times New Roman" w:hAnsi="Times New Roman" w:eastAsia="方正仿宋_GBK"/>
          <w:sz w:val="32"/>
        </w:rPr>
        <w:t>规上工业总产值达到1500亿元，</w:t>
      </w:r>
      <w:r>
        <w:rPr>
          <w:rFonts w:hint="eastAsia" w:ascii="Times New Roman" w:hAnsi="Times New Roman" w:eastAsia="方正仿宋_GBK"/>
          <w:sz w:val="32"/>
          <w:lang w:eastAsia="zh-CN"/>
        </w:rPr>
        <w:t>带动</w:t>
      </w:r>
      <w:r>
        <w:rPr>
          <w:rFonts w:hint="eastAsia" w:ascii="Times New Roman" w:hAnsi="Times New Roman" w:eastAsia="方正仿宋_GBK"/>
          <w:sz w:val="32"/>
        </w:rPr>
        <w:t>工业增加值增长9%，其中新材料产值达到300亿元。坚持“正向激励+反向倒逼”提速低碳转型。更大力度引导企业降能耗、抓技改、提工艺，实施100个技改项目，完成技改投资60亿元以上。坚持“产业大脑+未来工厂”狠抓赋能智造升级。实施主导产业全产业链数字化智能化改造，新</w:t>
      </w:r>
      <w:r>
        <w:rPr>
          <w:rFonts w:ascii="Times New Roman" w:hAnsi="Times New Roman" w:eastAsia="方正仿宋_GBK"/>
          <w:sz w:val="32"/>
        </w:rPr>
        <w:t>增1个智能工厂</w:t>
      </w:r>
      <w:r>
        <w:rPr>
          <w:rFonts w:hint="eastAsia" w:ascii="Times New Roman" w:hAnsi="Times New Roman" w:eastAsia="方正仿宋_GBK"/>
          <w:sz w:val="32"/>
        </w:rPr>
        <w:t>、</w:t>
      </w:r>
      <w:r>
        <w:rPr>
          <w:rFonts w:ascii="Times New Roman" w:hAnsi="Times New Roman" w:eastAsia="方正仿宋_GBK"/>
          <w:sz w:val="32"/>
        </w:rPr>
        <w:t>5个数字化车间</w:t>
      </w:r>
      <w:r>
        <w:rPr>
          <w:rFonts w:hint="eastAsia" w:ascii="Times New Roman" w:hAnsi="Times New Roman" w:eastAsia="方正仿宋_GBK"/>
          <w:sz w:val="32"/>
        </w:rPr>
        <w:t>，</w:t>
      </w:r>
      <w:r>
        <w:rPr>
          <w:rFonts w:hint="eastAsia" w:ascii="Times New Roman" w:hAnsi="Times New Roman" w:eastAsia="方正仿宋_GBK" w:cs="方正仿宋_GBK"/>
          <w:sz w:val="32"/>
          <w:szCs w:val="32"/>
        </w:rPr>
        <w:t>以工业互联网为牵引建强产业大脑，</w:t>
      </w:r>
      <w:r>
        <w:rPr>
          <w:rFonts w:hint="eastAsia" w:ascii="Times New Roman" w:hAnsi="Times New Roman" w:eastAsia="方正仿宋_GBK"/>
          <w:sz w:val="32"/>
        </w:rPr>
        <w:t>建设市级物联网示范基地</w:t>
      </w:r>
      <w:r>
        <w:rPr>
          <w:rFonts w:hint="eastAsia" w:ascii="Times New Roman" w:hAnsi="Times New Roman" w:eastAsia="方正仿宋_GBK" w:cs="方正仿宋_GBK"/>
          <w:sz w:val="32"/>
          <w:szCs w:val="32"/>
        </w:rPr>
        <w:t>，</w:t>
      </w:r>
      <w:r>
        <w:rPr>
          <w:rFonts w:hint="eastAsia" w:ascii="Times New Roman" w:hAnsi="Times New Roman" w:eastAsia="方正仿宋_GBK"/>
          <w:sz w:val="32"/>
        </w:rPr>
        <w:t>不断提高</w:t>
      </w:r>
      <w:r>
        <w:rPr>
          <w:rFonts w:hint="eastAsia" w:ascii="Times New Roman" w:hAnsi="Times New Roman" w:eastAsia="方正仿宋_GBK" w:cs="方正仿宋_GBK"/>
          <w:sz w:val="32"/>
          <w:szCs w:val="32"/>
        </w:rPr>
        <w:t>产业高级化、产业链现代化水平</w:t>
      </w:r>
      <w:r>
        <w:rPr>
          <w:rFonts w:hint="eastAsia" w:ascii="Times New Roman" w:hAnsi="Times New Roman" w:eastAsia="方正仿宋_GBK"/>
          <w:sz w:val="32"/>
        </w:rPr>
        <w:t>。坚持“挖潜增效+多维增新”加强要素保障。</w:t>
      </w:r>
      <w:r>
        <w:rPr>
          <w:rFonts w:ascii="Times New Roman" w:hAnsi="Times New Roman" w:eastAsia="方正仿宋_GBK"/>
          <w:sz w:val="32"/>
          <w:szCs w:val="32"/>
        </w:rPr>
        <w:t>大力实施土地整理，多渠道筹措耕地占补平衡指标</w:t>
      </w:r>
      <w:r>
        <w:rPr>
          <w:rFonts w:hint="eastAsia" w:ascii="Times New Roman" w:hAnsi="Times New Roman" w:eastAsia="方正仿宋_GBK"/>
          <w:sz w:val="32"/>
          <w:szCs w:val="32"/>
        </w:rPr>
        <w:t>，防止“项目等地”，持续推进与重点金融机构的战略合作，新增融资额度</w:t>
      </w:r>
      <w:r>
        <w:rPr>
          <w:rFonts w:ascii="Times New Roman" w:hAnsi="Times New Roman" w:eastAsia="方正仿宋_GBK" w:cs="Times New Roman"/>
          <w:sz w:val="32"/>
          <w:szCs w:val="32"/>
        </w:rPr>
        <w:t>300</w:t>
      </w:r>
      <w:r>
        <w:rPr>
          <w:rFonts w:hint="eastAsia" w:ascii="Times New Roman" w:hAnsi="Times New Roman" w:eastAsia="方正仿宋_GBK"/>
          <w:sz w:val="32"/>
          <w:szCs w:val="32"/>
        </w:rPr>
        <w:t>亿元。大力支持中小微企业致力于“专精特新”，积极嵌入全国产业链供应链，培育一批行业“隐形冠军”。</w:t>
      </w:r>
    </w:p>
    <w:p>
      <w:pPr>
        <w:spacing w:line="560" w:lineRule="exact"/>
        <w:jc w:val="center"/>
        <w:rPr>
          <w:rFonts w:hint="eastAsia" w:ascii="Times New Roman" w:hAnsi="Times New Roman" w:eastAsia="方正黑体_GBK" w:cs="方正黑体_GBK"/>
          <w:sz w:val="28"/>
          <w:szCs w:val="28"/>
        </w:rPr>
      </w:pPr>
    </w:p>
    <w:p>
      <w:pPr>
        <w:spacing w:line="560" w:lineRule="exact"/>
        <w:jc w:val="center"/>
        <w:rPr>
          <w:rFonts w:ascii="Times New Roman" w:hAnsi="Times New Roman" w:eastAsia="方正黑体_GBK" w:cs="方正黑体_GBK"/>
          <w:sz w:val="24"/>
        </w:rPr>
      </w:pPr>
      <w:r>
        <w:rPr>
          <w:rFonts w:hint="eastAsia" w:ascii="Times New Roman" w:hAnsi="Times New Roman" w:eastAsia="方正黑体_GBK" w:cs="方正黑体_GBK"/>
          <w:sz w:val="28"/>
          <w:szCs w:val="28"/>
        </w:rPr>
        <w:t>专栏1：2022年先进制造业重点项目</w:t>
      </w:r>
    </w:p>
    <w:tbl>
      <w:tblPr>
        <w:tblStyle w:val="1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00" w:type="dxa"/>
          </w:tcPr>
          <w:p>
            <w:pPr>
              <w:spacing w:line="380" w:lineRule="exact"/>
              <w:ind w:firstLine="560" w:firstLineChars="200"/>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钢铁冶金及化工医药产业：新开工神龙腾达高端金属涂镀、千信金属循环产业园、维冠新型建材、阿波罗冷轧酸洗、立万碳钢管、鑫盛通己二醇及炔二醇、单轨交通建筑产业生产基地、爱福佳医药中间体、建峰化工合成氨、怡能智造高端钢管等项目。续建秦河新型建材项目。完工恺迪苏单细胞蛋白质一期、弈柯莱生物酶制剂一期、凯林原料药、宝武高炉矿渣综合利用、正能新型建筑扩建、华仝建筑工业化基地、顺泰管道等项目。加快川维化工BDO一体化、钢材市场、飞华环保PGA联产乙二醇等项目前期工作。</w:t>
            </w:r>
          </w:p>
          <w:p>
            <w:pPr>
              <w:spacing w:line="380" w:lineRule="exact"/>
              <w:ind w:firstLine="560" w:firstLineChars="200"/>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装备制造产业：续建小康新能源动力、民新钣金汽车零部件等项目。完工望变电气设备扩建、富双汽车内饰件、明镜光学工业镜头、新博智汽车电子助力等项目。</w:t>
            </w:r>
          </w:p>
          <w:p>
            <w:pPr>
              <w:spacing w:line="380" w:lineRule="exact"/>
              <w:ind w:firstLine="560" w:firstLineChars="200"/>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新材料新能源产业：新开工同方精密电子材料、川维化工合成树脂建设、新启光氟化工新材料、梅塞尔电子特气、双象PMMA/MS项目。续建国复玻纤“双百”基地等项目。完工华陆气凝胶一期、恩捷锂离子电池隔膜、双象超纤一期、亚士创能综合制造基地一期、综能国复分布式能源一期、沃特智成高分子材料、双羽高集成度芯片等项目。</w:t>
            </w:r>
          </w:p>
          <w:p>
            <w:pPr>
              <w:spacing w:line="380" w:lineRule="exact"/>
              <w:ind w:firstLine="560" w:firstLineChars="200"/>
              <w:rPr>
                <w:rFonts w:ascii="Times New Roman" w:hAnsi="Times New Roman"/>
              </w:rPr>
            </w:pPr>
            <w:r>
              <w:rPr>
                <w:rFonts w:hint="eastAsia" w:ascii="Times New Roman" w:hAnsi="Times New Roman" w:eastAsia="方正仿宋_GBK" w:cs="方正仿宋_GBK"/>
                <w:sz w:val="28"/>
                <w:szCs w:val="28"/>
              </w:rPr>
              <w:t>消费品产业：新开工坤煌（长寿）食品产业园。续建潮尚食品生产、合之润生鲜食品等项目。完工双驰年产18万套家具、卓奥年产12万套家具、浩润集装袋及纸箱等项目。</w:t>
            </w:r>
          </w:p>
        </w:tc>
      </w:tr>
    </w:tbl>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加快建设长江上游国家级特色商贸物流基地。积极推动长寿港建设</w:t>
      </w:r>
      <w:r>
        <w:rPr>
          <w:rFonts w:hint="eastAsia" w:ascii="Times New Roman" w:hAnsi="Times New Roman" w:eastAsia="方正仿宋_GBK"/>
          <w:sz w:val="32"/>
          <w:szCs w:val="32"/>
        </w:rPr>
        <w:t>，加快推进长航钢城码头、千诚盘子石码头、中航油码头、四三五码头、千信金属循环产业园、兴港大道等项目建设，引进航运物流企业3家，新增船舶运力10万吨。推动临港经济联动发展，加强长寿港与广安港、合川港、果园港</w:t>
      </w:r>
      <w:r>
        <w:rPr>
          <w:rFonts w:hint="eastAsia" w:ascii="Times New Roman" w:hAnsi="Times New Roman" w:eastAsia="方正仿宋_GBK" w:cs="Times New Roman"/>
          <w:sz w:val="32"/>
          <w:szCs w:val="32"/>
        </w:rPr>
        <w:t>等协作联动，承接主城中心城区航运功能，力争吞吐量增长10%</w:t>
      </w:r>
      <w:r>
        <w:rPr>
          <w:rFonts w:hint="eastAsia" w:ascii="Times New Roman" w:hAnsi="Times New Roman" w:eastAsia="方正仿宋_GBK"/>
          <w:sz w:val="32"/>
        </w:rPr>
        <w:t>。大力推进专业市场群建设，推进交易、仓储、配送一体化发展，促进物流、商流、资金流、信息流“四流”深度融合。东部智慧物流中心、东部汽贸城进入常态运营，落地建设钢材交易市场及配套项目，长寿钢材价格发布中心上线运行，专业市场群交易额总量达到150亿元以上。大力推动生产性服务业发展，立足服务工业和商贸发展需求，做大做强多式联运、冷链物流和通道经济，培育发展现代金融、科技服务、中高端商务服务等商务服务业，出台现代服务业发展扶持办法，建设智慧电商产业园，电商交易额增长8%。加大物联网、大数据、云计算等数字产业培育力度，推动数字产业补链成群，数字产业增加值增长20%，</w:t>
      </w:r>
      <w:r>
        <w:rPr>
          <w:rFonts w:hint="eastAsia" w:ascii="Times New Roman" w:hAnsi="Times New Roman" w:eastAsia="方正仿宋_GBK"/>
          <w:sz w:val="32"/>
          <w:lang w:eastAsia="zh-CN"/>
        </w:rPr>
        <w:t>占</w:t>
      </w:r>
      <w:r>
        <w:rPr>
          <w:rFonts w:hint="eastAsia" w:ascii="Times New Roman" w:hAnsi="Times New Roman" w:eastAsia="方正仿宋_GBK"/>
          <w:sz w:val="32"/>
        </w:rPr>
        <w:t>GDP比重提升到3%。紧盯产供销储各环节，全力保障工业用能需求，争取三峡电配额1亿度，推动绿色能源项目和油气能源保供项目建设，打造成渝地区双城经济圈能源战略保障基地。</w:t>
      </w:r>
    </w:p>
    <w:p>
      <w:pPr>
        <w:pStyle w:val="7"/>
        <w:spacing w:line="560" w:lineRule="exact"/>
        <w:rPr>
          <w:rFonts w:ascii="Times New Roman" w:hAnsi="Times New Roman" w:eastAsia="方正黑体_GBK" w:cs="方正黑体_GBK"/>
          <w:color w:val="auto"/>
          <w:sz w:val="28"/>
          <w:szCs w:val="28"/>
        </w:rPr>
      </w:pPr>
      <w:r>
        <w:rPr>
          <w:rFonts w:hint="eastAsia" w:ascii="Times New Roman" w:hAnsi="Times New Roman" w:eastAsia="方正黑体_GBK" w:cs="方正黑体_GBK"/>
          <w:color w:val="auto"/>
          <w:sz w:val="28"/>
          <w:szCs w:val="28"/>
        </w:rPr>
        <w:t>专栏2：2022年商贸物流能源重点项目</w:t>
      </w:r>
    </w:p>
    <w:tbl>
      <w:tblPr>
        <w:tblStyle w:val="1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400" w:type="dxa"/>
          </w:tcPr>
          <w:p>
            <w:pPr>
              <w:spacing w:line="380" w:lineRule="exact"/>
              <w:ind w:firstLine="638" w:firstLineChars="228"/>
              <w:jc w:val="left"/>
              <w:outlineLvl w:val="2"/>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长寿港板块：新开工川维物流铁公水联运基础设施等项目。续建重庆生产服务型国家物流枢纽项目。</w:t>
            </w:r>
          </w:p>
          <w:p>
            <w:pPr>
              <w:pStyle w:val="13"/>
              <w:spacing w:line="380" w:lineRule="exact"/>
              <w:ind w:left="0" w:leftChars="0" w:firstLine="638" w:firstLineChars="228"/>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专业市场板块：新开工耐能集项目、邦田渝东汽车产业园等项目。续建重庆东部国际农产品交易中心、东部智慧物流中心、长寿区大型城市综合体等项目。完工重庆东部汽贸城。</w:t>
            </w:r>
          </w:p>
          <w:p>
            <w:pPr>
              <w:pStyle w:val="13"/>
              <w:spacing w:line="380" w:lineRule="exact"/>
              <w:ind w:left="0" w:leftChars="0" w:firstLine="638" w:firstLineChars="228"/>
              <w:rPr>
                <w:rFonts w:ascii="Times New Roman" w:hAnsi="Times New Roman" w:eastAsia="方正仿宋_GBK"/>
              </w:rPr>
            </w:pPr>
            <w:r>
              <w:rPr>
                <w:rFonts w:hint="eastAsia" w:ascii="Times New Roman" w:hAnsi="Times New Roman" w:eastAsia="方正仿宋_GBK" w:cs="方正仿宋_GBK"/>
                <w:sz w:val="28"/>
                <w:szCs w:val="28"/>
              </w:rPr>
              <w:t>能源保障板块：新开工黄草峡储气库项目（二期）、伏牛溪油库迁建等项目。续建中国航油西南战略储运基</w:t>
            </w:r>
            <w:r>
              <w:rPr>
                <w:rFonts w:ascii="Times New Roman" w:hAnsi="Times New Roman" w:eastAsia="方正仿宋_GBK" w:cs="Times New Roman"/>
                <w:sz w:val="28"/>
                <w:szCs w:val="28"/>
              </w:rPr>
              <w:t>地项目、10KV及以下配网新建（改造）工程、菩提110千伏输变电工程</w:t>
            </w:r>
            <w:r>
              <w:rPr>
                <w:rFonts w:hint="eastAsia" w:ascii="Times New Roman" w:hAnsi="Times New Roman" w:eastAsia="方正仿宋_GBK" w:cs="方正仿宋_GBK"/>
                <w:sz w:val="28"/>
                <w:szCs w:val="28"/>
              </w:rPr>
              <w:t>等项目。加快推进狮子滩抽水蓄能前期工作。</w:t>
            </w:r>
          </w:p>
        </w:tc>
      </w:tr>
    </w:tbl>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楷体_GBK" w:cs="方正楷体_GBK"/>
          <w:sz w:val="32"/>
        </w:rPr>
      </w:pPr>
      <w:r>
        <w:rPr>
          <w:rFonts w:hint="eastAsia" w:ascii="Times New Roman" w:hAnsi="Times New Roman" w:eastAsia="方正楷体_GBK" w:cs="方正楷体_GBK"/>
          <w:sz w:val="32"/>
        </w:rPr>
        <w:t>（三）以文兴业推动全域文旅康养融合发展，加快打造世界级运动康养旅游目的地。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坚持农文旅融合、产城园景一体，推动“寿城”“寿湖”“寿山”“寿谷”“寿泉”相融共生，在长游客人均消费增长15%左右。加快推进国家级旅游度假区和国家级运动康养旅游示范地创建，编制西山文旅规划，联动广安打造五华山休闲旅游度假区和大洪湖康养度假区，推进蓝莓基地、万顺温泉、</w:t>
      </w:r>
      <w:r>
        <w:rPr>
          <w:rFonts w:hint="eastAsia" w:ascii="Times New Roman" w:hAnsi="Times New Roman" w:eastAsia="方正仿宋_GBK" w:cs="方正仿宋_GBK"/>
          <w:sz w:val="32"/>
          <w:szCs w:val="32"/>
        </w:rPr>
        <w:t>长寿湖卧龙谷人工湿地</w:t>
      </w:r>
      <w:r>
        <w:rPr>
          <w:rFonts w:hint="eastAsia" w:ascii="Times New Roman" w:hAnsi="Times New Roman" w:eastAsia="方正仿宋_GBK"/>
          <w:sz w:val="32"/>
        </w:rPr>
        <w:t>等支撑性项目建设，积极推进滨江长寿谷、三道拐街区等城市景区建设，发展工业遗址旅游，文旅项目完成投资10亿元。分区域打造四季赏花、登山健身、研学娱乐、观山赏水等开放式景点，支持每个街镇建设1个以上成熟的景点，满足市民周末游、亲子游、季节游需求，探索与第三方合作培育文旅IP和网红景点。有序举办</w:t>
      </w:r>
      <w:r>
        <w:rPr>
          <w:rFonts w:ascii="Times New Roman" w:hAnsi="Times New Roman" w:eastAsia="方正仿宋_GBK"/>
          <w:sz w:val="32"/>
        </w:rPr>
        <w:t>铁人三项赛、龙舟赛、半程马拉松赛</w:t>
      </w:r>
      <w:r>
        <w:rPr>
          <w:rFonts w:hint="eastAsia" w:ascii="Times New Roman" w:hAnsi="Times New Roman" w:eastAsia="方正仿宋_GBK"/>
          <w:sz w:val="32"/>
        </w:rPr>
        <w:t>、</w:t>
      </w:r>
      <w:r>
        <w:rPr>
          <w:rFonts w:ascii="Times New Roman" w:hAnsi="Times New Roman" w:eastAsia="方正仿宋_GBK"/>
          <w:sz w:val="32"/>
        </w:rPr>
        <w:t>菩提山登高赛等</w:t>
      </w:r>
      <w:r>
        <w:rPr>
          <w:rFonts w:hint="eastAsia" w:ascii="Times New Roman" w:hAnsi="Times New Roman" w:eastAsia="方正仿宋_GBK"/>
          <w:sz w:val="32"/>
        </w:rPr>
        <w:t>精品</w:t>
      </w:r>
      <w:r>
        <w:rPr>
          <w:rFonts w:ascii="Times New Roman" w:hAnsi="Times New Roman" w:eastAsia="方正仿宋_GBK"/>
          <w:sz w:val="32"/>
        </w:rPr>
        <w:t>赛事</w:t>
      </w:r>
      <w:r>
        <w:rPr>
          <w:rFonts w:hint="eastAsia" w:ascii="Times New Roman" w:hAnsi="Times New Roman" w:eastAsia="方正仿宋_GBK"/>
          <w:sz w:val="32"/>
        </w:rPr>
        <w:t>活动</w:t>
      </w:r>
      <w:r>
        <w:rPr>
          <w:rFonts w:ascii="Times New Roman" w:hAnsi="Times New Roman" w:eastAsia="方正仿宋_GBK"/>
          <w:sz w:val="32"/>
        </w:rPr>
        <w:t>，</w:t>
      </w:r>
      <w:r>
        <w:rPr>
          <w:rFonts w:hint="eastAsia" w:ascii="Times New Roman" w:hAnsi="Times New Roman" w:eastAsia="方正仿宋_GBK"/>
          <w:sz w:val="32"/>
        </w:rPr>
        <w:t>联合川渝各地打造</w:t>
      </w:r>
      <w:r>
        <w:rPr>
          <w:rFonts w:ascii="Times New Roman" w:hAnsi="Times New Roman" w:eastAsia="方正仿宋_GBK"/>
          <w:sz w:val="32"/>
        </w:rPr>
        <w:t>具有</w:t>
      </w:r>
      <w:r>
        <w:rPr>
          <w:rFonts w:hint="eastAsia" w:ascii="Times New Roman" w:hAnsi="Times New Roman" w:eastAsia="方正仿宋_GBK"/>
          <w:sz w:val="32"/>
        </w:rPr>
        <w:t>全国</w:t>
      </w:r>
      <w:r>
        <w:rPr>
          <w:rFonts w:ascii="Times New Roman" w:hAnsi="Times New Roman" w:eastAsia="方正仿宋_GBK"/>
          <w:sz w:val="32"/>
        </w:rPr>
        <w:t>影响力的体育赛事活动</w:t>
      </w:r>
      <w:r>
        <w:rPr>
          <w:rFonts w:hint="eastAsia" w:ascii="Times New Roman" w:hAnsi="Times New Roman" w:eastAsia="方正仿宋_GBK"/>
          <w:sz w:val="32"/>
        </w:rPr>
        <w:t>，将“长寿赛事”打造为全国知名度高、影响力大、聚集力强的赛事活动品牌。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育文化提素养，建设书香长寿、人文长寿。加强文化设施建设，竣工古镇会展中心、长寿湖泊知识展览馆等文化项目，加快推进杨克明故居修缮、青少年活动中心、凤城图书馆迁建等项目。大力推进遗产保护和非遗传承，推进重点文物保护单位抢救修缮。积极构建以区老年大学为支撑、社区学习中心为主要补充的老年文化学习体系。创造性转化发展长寿地域文化，推动历史人文与城市发展互促并进、有机融合，做大做强现代文化市场主体，围绕党的二十大等重要时间节点推动一批精品文艺作品，新培育规上文化企业5家，文旅产业增加值占GDP比重再提升0.9个百分点。大力推进婚俗改革试点示范工作。</w:t>
      </w:r>
    </w:p>
    <w:p>
      <w:pPr>
        <w:pStyle w:val="2"/>
      </w:pPr>
    </w:p>
    <w:p>
      <w:pPr>
        <w:pStyle w:val="13"/>
        <w:spacing w:line="560" w:lineRule="exact"/>
        <w:ind w:left="980" w:hanging="560"/>
        <w:jc w:val="center"/>
        <w:rPr>
          <w:rFonts w:ascii="Times New Roman" w:hAnsi="Times New Roman"/>
        </w:rPr>
      </w:pPr>
      <w:r>
        <w:rPr>
          <w:rFonts w:hint="eastAsia" w:ascii="Times New Roman" w:hAnsi="Times New Roman" w:eastAsia="方正黑体_GBK" w:cs="方正黑体_GBK"/>
          <w:sz w:val="28"/>
          <w:szCs w:val="28"/>
        </w:rPr>
        <w:t>专栏3：2022年运动康养旅游及文化重点项目</w:t>
      </w:r>
    </w:p>
    <w:tbl>
      <w:tblPr>
        <w:tblStyle w:val="17"/>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tcPr>
          <w:p>
            <w:pPr>
              <w:keepNext w:val="0"/>
              <w:keepLines w:val="0"/>
              <w:pageBreakBefore w:val="0"/>
              <w:widowControl w:val="0"/>
              <w:kinsoku/>
              <w:wordWrap/>
              <w:overflowPunct/>
              <w:topLinePunct w:val="0"/>
              <w:autoSpaceDE/>
              <w:autoSpaceDN/>
              <w:bidi w:val="0"/>
              <w:adjustRightInd/>
              <w:snapToGrid/>
              <w:spacing w:line="380" w:lineRule="exact"/>
              <w:ind w:firstLine="420" w:firstLineChars="150"/>
              <w:textAlignment w:val="auto"/>
              <w:rPr>
                <w:rFonts w:ascii="Times New Roman" w:hAnsi="Times New Roman"/>
                <w:color w:val="FF0000"/>
              </w:rPr>
            </w:pPr>
            <w:r>
              <w:rPr>
                <w:rFonts w:hint="eastAsia" w:ascii="Times New Roman" w:hAnsi="Times New Roman" w:eastAsia="方正仿宋_GBK" w:cs="方正仿宋_GBK"/>
                <w:sz w:val="28"/>
                <w:szCs w:val="28"/>
              </w:rPr>
              <w:t>新开工长寿湖旅游大道、成渝旅游协同发展交通建设工程（云台镇）、杨克明故居修缮、明月岭禅修、龙河片区美丽乡村示范带建设等项目。续建长寿湖西岸环湖路景观带、长寿湖东岸环湖路景观带、长寿湖景观绿化提升、清迈良园、云裳樱花、德庄农旅、渔乐仙谷、紫耘花海、橘香悦动村（二期）、万顺温泉康养度假基地、五华山蓝莓康养度假区等项目。完工滨江长寿谷库岸整治、长寿湖民宿文化村、长寿湖卧龙谷人工湿地、长寿湖山庄装修改造、古镇会展中心、长寿湖泊知识展览馆等项目。</w:t>
            </w:r>
          </w:p>
        </w:tc>
      </w:tr>
    </w:tbl>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楷体_GBK"/>
          <w:sz w:val="32"/>
        </w:rPr>
      </w:pPr>
      <w:r>
        <w:rPr>
          <w:rFonts w:hint="eastAsia" w:ascii="Times New Roman" w:hAnsi="Times New Roman" w:eastAsia="方正楷体_GBK" w:cs="方正楷体_GBK"/>
          <w:sz w:val="32"/>
        </w:rPr>
        <w:t>（四）</w:t>
      </w:r>
      <w:r>
        <w:rPr>
          <w:rFonts w:hint="eastAsia" w:ascii="Times New Roman" w:hAnsi="Times New Roman" w:eastAsia="方正楷体_GBK" w:cs="方正楷体_GBK"/>
          <w:spacing w:val="-6"/>
          <w:sz w:val="32"/>
        </w:rPr>
        <w:t>构建高品质城市空间体系和全民全生命周期管理体系，加速打造中国长寿生命科学城。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bCs/>
          <w:sz w:val="32"/>
        </w:rPr>
      </w:pPr>
      <w:r>
        <w:rPr>
          <w:rFonts w:hint="eastAsia" w:ascii="Times New Roman" w:hAnsi="Times New Roman" w:eastAsia="方正仿宋_GBK"/>
          <w:sz w:val="32"/>
        </w:rPr>
        <w:t>推进全域城市空间规划，加快完善城市骨架体系，进一步优化不同城市组团空间联系，大力推进经开区快速连接道改造、横三路西段、古滨路等组团联络线建设。推进城市有机提升，对17个老旧小区开展更新改造，对望江路社区等开展供水管线提质升级，接续推进滨江区域排危纾困后续工作。推进智慧城市建设，</w:t>
      </w:r>
      <w:r>
        <w:rPr>
          <w:rFonts w:hint="eastAsia" w:ascii="Times New Roman" w:hAnsi="Times New Roman" w:eastAsia="方正仿宋_GBK" w:cs="方正仿宋_GBK"/>
          <w:sz w:val="32"/>
          <w:szCs w:val="32"/>
        </w:rPr>
        <w:t>实施智慧停车、智慧消防物联网、智慧园区、智慧校园建设，</w:t>
      </w:r>
      <w:r>
        <w:rPr>
          <w:rFonts w:hint="eastAsia" w:ascii="Times New Roman" w:hAnsi="Times New Roman" w:eastAsia="方正仿宋_GBK" w:cs="Times New Roman"/>
          <w:sz w:val="32"/>
          <w:szCs w:val="32"/>
        </w:rPr>
        <w:t>建成北斗应用项目示范区，积</w:t>
      </w:r>
      <w:r>
        <w:rPr>
          <w:rFonts w:hint="eastAsia" w:ascii="Times New Roman" w:hAnsi="Times New Roman" w:eastAsia="方正仿宋_GBK"/>
          <w:sz w:val="32"/>
        </w:rPr>
        <w:t>极推行“互联网+政务服务”建设。加快绿色城市建设，创建国家生态园林城市，推进</w:t>
      </w:r>
      <w:r>
        <w:rPr>
          <w:rFonts w:hint="eastAsia" w:ascii="Times New Roman" w:hAnsi="Times New Roman" w:eastAsia="仿宋_GB2312" w:cs="Times New Roman"/>
          <w:kern w:val="0"/>
          <w:sz w:val="32"/>
          <w:szCs w:val="32"/>
        </w:rPr>
        <w:t>环卫绿化一体化管护改革，提质更新全域景观园林，新增城市公园2个、城市绿地15公顷，对城市公园开展文化改造，积极开展“水管家+能源管家+绿色发展”示范试点，</w:t>
      </w:r>
      <w:r>
        <w:rPr>
          <w:rFonts w:hint="eastAsia" w:ascii="Times New Roman" w:hAnsi="Times New Roman" w:eastAsia="方正仿宋_GBK"/>
          <w:sz w:val="32"/>
        </w:rPr>
        <w:t>打造蓝绿交织、清新明亮、人文荟萃、山水共融的山水田园花园城市。稳步发展房地产经济，坚持“房住不炒”，稳步增加改善性住房供给，打造“长有宜居”名片。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Cs/>
          <w:sz w:val="32"/>
        </w:rPr>
        <w:t>重养老推幼育，助推长有颐养、长有善育。</w:t>
      </w:r>
      <w:r>
        <w:rPr>
          <w:rFonts w:hint="eastAsia" w:ascii="Times New Roman" w:hAnsi="Times New Roman" w:eastAsia="方正仿宋_GBK" w:cs="方正仿宋_GBK"/>
          <w:bCs/>
          <w:sz w:val="32"/>
          <w:szCs w:val="32"/>
        </w:rPr>
        <w:t>推进街镇养老服务中心、社区养老服务站点全覆盖，推进</w:t>
      </w:r>
      <w:r>
        <w:rPr>
          <w:rFonts w:hint="eastAsia" w:ascii="Times New Roman" w:hAnsi="Times New Roman" w:eastAsia="方正仿宋_GBK" w:cs="方正仿宋_GBK"/>
          <w:sz w:val="32"/>
          <w:szCs w:val="32"/>
        </w:rPr>
        <w:t>鹿坪、兴隆老年养护院建设，推进智慧养老服务指挥中心建设，新增养老服</w:t>
      </w:r>
      <w:r>
        <w:rPr>
          <w:rFonts w:ascii="Times New Roman" w:hAnsi="Times New Roman" w:eastAsia="方正仿宋_GBK" w:cs="Times New Roman"/>
          <w:sz w:val="32"/>
          <w:szCs w:val="32"/>
        </w:rPr>
        <w:t>务床位300张，</w:t>
      </w:r>
      <w:r>
        <w:rPr>
          <w:rFonts w:ascii="Times New Roman" w:hAnsi="Times New Roman" w:eastAsia="方正仿宋_GBK" w:cs="Times New Roman"/>
          <w:bCs/>
          <w:sz w:val="32"/>
          <w:szCs w:val="32"/>
        </w:rPr>
        <w:t>打造15分钟养老服务圈，对7.5万老人开展免</w:t>
      </w:r>
      <w:r>
        <w:rPr>
          <w:rFonts w:hint="eastAsia" w:ascii="Times New Roman" w:hAnsi="Times New Roman" w:eastAsia="方正仿宋_GBK" w:cs="方正仿宋_GBK"/>
          <w:bCs/>
          <w:sz w:val="32"/>
          <w:szCs w:val="32"/>
        </w:rPr>
        <w:t>费健康体检，</w:t>
      </w:r>
      <w:r>
        <w:rPr>
          <w:rFonts w:hint="eastAsia" w:ascii="Times New Roman" w:hAnsi="Times New Roman" w:eastAsia="方正仿宋_GBK" w:cs="方正仿宋_GBK"/>
          <w:sz w:val="32"/>
          <w:szCs w:val="32"/>
        </w:rPr>
        <w:t>引进第三方专业团队开展养老护理员培训，大力培育专业化养老服务人员。研究出台“三孩”配套政策，加强</w:t>
      </w:r>
      <w:r>
        <w:rPr>
          <w:rFonts w:hint="eastAsia" w:ascii="Times New Roman" w:hAnsi="Times New Roman" w:eastAsia="方正仿宋_GBK" w:cs="Times New Roman"/>
          <w:bCs/>
          <w:sz w:val="32"/>
          <w:szCs w:val="32"/>
        </w:rPr>
        <w:t>孕期健康筛查</w:t>
      </w:r>
      <w:r>
        <w:rPr>
          <w:rFonts w:hint="eastAsia" w:ascii="Times New Roman" w:hAnsi="Times New Roman" w:eastAsia="方正仿宋_GBK" w:cs="方正仿宋_GBK"/>
          <w:sz w:val="32"/>
          <w:szCs w:val="32"/>
        </w:rPr>
        <w:t>，</w:t>
      </w:r>
      <w:r>
        <w:rPr>
          <w:rFonts w:hint="eastAsia" w:ascii="Times New Roman" w:hAnsi="Times New Roman" w:eastAsia="方正仿宋_GBK"/>
          <w:bCs/>
          <w:sz w:val="32"/>
          <w:szCs w:val="32"/>
        </w:rPr>
        <w:t>发展普惠</w:t>
      </w:r>
      <w:r>
        <w:rPr>
          <w:rFonts w:ascii="Times New Roman" w:hAnsi="Times New Roman" w:eastAsia="方正仿宋_GBK" w:cs="Times New Roman"/>
          <w:bCs/>
          <w:sz w:val="32"/>
          <w:szCs w:val="32"/>
        </w:rPr>
        <w:t>托育机构3家，新增托位200个。</w:t>
      </w:r>
      <w:r>
        <w:rPr>
          <w:rFonts w:ascii="Times New Roman" w:hAnsi="Times New Roman" w:eastAsia="方正仿宋_GBK" w:cs="Times New Roman"/>
          <w:sz w:val="32"/>
          <w:szCs w:val="32"/>
        </w:rPr>
        <w:t>持续</w:t>
      </w:r>
      <w:r>
        <w:rPr>
          <w:rFonts w:ascii="Times New Roman" w:hAnsi="Times New Roman" w:eastAsia="方正仿宋_GBK" w:cs="Times New Roman"/>
          <w:sz w:val="32"/>
        </w:rPr>
        <w:t>推进学前教育普惠，</w:t>
      </w:r>
      <w:r>
        <w:rPr>
          <w:rFonts w:ascii="Times New Roman" w:hAnsi="Times New Roman" w:eastAsia="方正仿宋_GBK"/>
          <w:bCs/>
          <w:kern w:val="0"/>
          <w:sz w:val="32"/>
          <w:szCs w:val="36"/>
        </w:rPr>
        <w:t>大</w:t>
      </w:r>
      <w:r>
        <w:rPr>
          <w:rFonts w:ascii="Times New Roman" w:hAnsi="Times New Roman" w:eastAsia="方正仿宋_GBK"/>
          <w:sz w:val="32"/>
          <w:szCs w:val="32"/>
        </w:rPr>
        <w:t>力发展公办园，鼓励</w:t>
      </w:r>
      <w:r>
        <w:rPr>
          <w:rFonts w:hint="eastAsia" w:ascii="Times New Roman" w:hAnsi="Times New Roman" w:eastAsia="方正仿宋_GBK"/>
          <w:sz w:val="32"/>
          <w:szCs w:val="32"/>
        </w:rPr>
        <w:t>规范</w:t>
      </w:r>
      <w:r>
        <w:rPr>
          <w:rFonts w:ascii="Times New Roman" w:hAnsi="Times New Roman" w:eastAsia="方正仿宋_GBK"/>
          <w:sz w:val="32"/>
          <w:szCs w:val="32"/>
        </w:rPr>
        <w:t>社会力量参与</w:t>
      </w:r>
      <w:r>
        <w:rPr>
          <w:rFonts w:hint="eastAsia" w:ascii="Times New Roman" w:hAnsi="Times New Roman" w:eastAsia="方正仿宋_GBK"/>
          <w:sz w:val="32"/>
          <w:szCs w:val="32"/>
        </w:rPr>
        <w:t>发展</w:t>
      </w:r>
      <w:r>
        <w:rPr>
          <w:rFonts w:ascii="Times New Roman" w:hAnsi="Times New Roman" w:eastAsia="方正仿宋_GBK"/>
          <w:sz w:val="32"/>
          <w:szCs w:val="32"/>
        </w:rPr>
        <w:t>幼儿园</w:t>
      </w:r>
      <w:r>
        <w:rPr>
          <w:rFonts w:hint="eastAsia" w:ascii="Times New Roman" w:hAnsi="Times New Roman" w:eastAsia="方正仿宋_GBK"/>
          <w:sz w:val="32"/>
          <w:szCs w:val="32"/>
        </w:rPr>
        <w:t>，普惠率达到90%。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bCs/>
          <w:sz w:val="32"/>
        </w:rPr>
      </w:pPr>
      <w:r>
        <w:rPr>
          <w:rFonts w:hint="eastAsia" w:ascii="Times New Roman" w:hAnsi="Times New Roman" w:eastAsia="方正仿宋_GBK"/>
          <w:bCs/>
          <w:sz w:val="32"/>
        </w:rPr>
        <w:t>强卫生优教育，推进长有优学、长有健康。加快实施“人人长寿”健康行动计划，</w:t>
      </w:r>
      <w:r>
        <w:rPr>
          <w:rStyle w:val="45"/>
          <w:rFonts w:ascii="Times New Roman" w:hAnsi="Times New Roman" w:eastAsia="方正仿宋_GBK"/>
          <w:sz w:val="32"/>
          <w:szCs w:val="32"/>
        </w:rPr>
        <w:t>搭建数字化基础设</w:t>
      </w:r>
      <w:r>
        <w:rPr>
          <w:rFonts w:hint="eastAsia" w:ascii="Times New Roman" w:hAnsi="Times New Roman" w:eastAsia="方正仿宋_GBK" w:cs="方正仿宋_GBK"/>
          <w:bCs/>
          <w:sz w:val="32"/>
          <w:szCs w:val="32"/>
        </w:rPr>
        <w:t>施，建立覆盖全民的全生命周期管理工作机制。加强卫生项目建设，开工区疾控中心迁建、区精神卫生中心扩建等项目，加快提档升级街镇卫生院，竣工区中医院医技大楼。提升医疗服务水平，巩固公立医院综合改革成果，深化分级诊疗制度，完善应急公共卫生体系建设，持续推进高素质卫生人才队伍建设，满足群众多样化高品质就医需求。</w:t>
      </w:r>
      <w:r>
        <w:rPr>
          <w:rFonts w:hint="eastAsia" w:ascii="Times New Roman" w:hAnsi="Times New Roman" w:eastAsia="方正仿宋_GBK" w:cs="Times New Roman"/>
          <w:sz w:val="32"/>
          <w:szCs w:val="32"/>
        </w:rPr>
        <w:t>大力推进长寿生命科学公共服务平台、中欧医疗健康产业园等项目前期工作，争取国家和市级生命科学重大科技基础设施落地。</w:t>
      </w:r>
      <w:r>
        <w:rPr>
          <w:rFonts w:hint="eastAsia" w:ascii="Times New Roman" w:hAnsi="Times New Roman" w:eastAsia="方正仿宋_GBK" w:cs="方正仿宋_GBK"/>
          <w:bCs/>
          <w:sz w:val="32"/>
          <w:szCs w:val="32"/>
        </w:rPr>
        <w:t>持续改善教育基础设施，</w:t>
      </w:r>
      <w:r>
        <w:rPr>
          <w:rFonts w:hint="eastAsia" w:ascii="Times New Roman" w:hAnsi="Times New Roman" w:eastAsia="方正仿宋_GBK"/>
          <w:bCs/>
          <w:sz w:val="32"/>
        </w:rPr>
        <w:t>投用桃花溪中学、古镇二小、阳鹤山小学、启明幼儿园、桃花溪幼儿园5个学校项目，加快区教师发展中心、明德小学、重庆医药学校迁建前期工作，投资1.2亿元实施</w:t>
      </w:r>
      <w:r>
        <w:rPr>
          <w:rFonts w:hint="eastAsia" w:ascii="Times New Roman" w:hAnsi="Times New Roman" w:eastAsia="方正仿宋_GBK" w:cs="方正仿宋_GBK"/>
          <w:sz w:val="32"/>
          <w:szCs w:val="32"/>
        </w:rPr>
        <w:t>义务教育薄弱环节改善提升工程</w:t>
      </w:r>
      <w:r>
        <w:rPr>
          <w:rFonts w:hint="eastAsia" w:ascii="Times New Roman" w:hAnsi="Times New Roman" w:eastAsia="方正仿宋_GBK"/>
          <w:bCs/>
          <w:sz w:val="32"/>
        </w:rPr>
        <w:t>。</w:t>
      </w:r>
      <w:r>
        <w:rPr>
          <w:rFonts w:hint="eastAsia" w:ascii="Times New Roman" w:hAnsi="Times New Roman" w:eastAsia="方正仿宋_GBK" w:cs="Times New Roman"/>
          <w:sz w:val="32"/>
          <w:szCs w:val="32"/>
        </w:rPr>
        <w:t>加快智慧教育建设，提升数字化智能化教学场景。全面开展中小学青少年心理健康教育，持续推进</w:t>
      </w:r>
      <w:r>
        <w:rPr>
          <w:rFonts w:hint="eastAsia" w:ascii="Times New Roman" w:hAnsi="Times New Roman" w:eastAsia="方正仿宋_GBK"/>
          <w:sz w:val="32"/>
        </w:rPr>
        <w:t>“双减”工作。</w:t>
      </w:r>
      <w:r>
        <w:rPr>
          <w:rFonts w:hint="eastAsia" w:ascii="Times New Roman" w:hAnsi="Times New Roman" w:eastAsia="方正仿宋_GBK"/>
          <w:bCs/>
          <w:sz w:val="32"/>
        </w:rPr>
        <w:t>落实教师队伍“</w:t>
      </w:r>
      <w:r>
        <w:rPr>
          <w:rFonts w:hint="eastAsia" w:ascii="Times New Roman" w:hAnsi="Times New Roman" w:eastAsia="方正仿宋_GBK" w:cs="Times New Roman"/>
          <w:sz w:val="32"/>
          <w:szCs w:val="32"/>
        </w:rPr>
        <w:t>区管校聘</w:t>
      </w:r>
      <w:r>
        <w:rPr>
          <w:rFonts w:hint="eastAsia" w:ascii="Times New Roman" w:hAnsi="Times New Roman" w:eastAsia="方正仿宋_GBK"/>
          <w:bCs/>
          <w:sz w:val="32"/>
        </w:rPr>
        <w:t>”改革</w:t>
      </w:r>
      <w:r>
        <w:rPr>
          <w:rFonts w:hint="eastAsia" w:ascii="Times New Roman" w:hAnsi="Times New Roman" w:eastAsia="方正仿宋_GBK" w:cs="Times New Roman"/>
          <w:sz w:val="32"/>
          <w:szCs w:val="32"/>
        </w:rPr>
        <w:t>，深化教育督导体制机制改革。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rPr>
      </w:pPr>
      <w:r>
        <w:rPr>
          <w:rFonts w:hint="eastAsia" w:ascii="Times New Roman" w:hAnsi="Times New Roman" w:eastAsia="方正仿宋_GBK"/>
          <w:sz w:val="32"/>
        </w:rPr>
        <w:t>抓就业兜底线，确保劳有厚得、弱有所扶。抓好高校毕业生、农民工等重点人群的就业创业工作，城镇新增就业1.6万人，投放创业担保贷款1亿元以上，推进全体居民人均收入增长8%。加快完善社会救助体系，深化社会救助综合改革，推进</w:t>
      </w:r>
      <w:r>
        <w:rPr>
          <w:rFonts w:hint="eastAsia" w:ascii="Times New Roman" w:hAnsi="Times New Roman" w:eastAsia="方正仿宋_GBK" w:cs="Times New Roman"/>
          <w:sz w:val="32"/>
          <w:szCs w:val="32"/>
        </w:rPr>
        <w:t>社会救助规范化管理</w:t>
      </w:r>
      <w:r>
        <w:rPr>
          <w:rFonts w:ascii="Times New Roman" w:hAnsi="Times New Roman" w:eastAsia="方正仿宋_GBK"/>
          <w:sz w:val="32"/>
        </w:rPr>
        <w:t>，做好临时救助救急工</w:t>
      </w:r>
      <w:r>
        <w:rPr>
          <w:rFonts w:hint="eastAsia" w:ascii="Times New Roman" w:hAnsi="Times New Roman" w:eastAsia="方正仿宋_GBK" w:cs="Times New Roman"/>
          <w:sz w:val="32"/>
          <w:szCs w:val="32"/>
        </w:rPr>
        <w:t>作。持续推进全民参保计划，城乡医保、养老保险参保率分别保持在98%、95%以上。</w:t>
      </w:r>
      <w:r>
        <w:rPr>
          <w:rFonts w:ascii="Times New Roman" w:hAnsi="Times New Roman" w:eastAsia="方正仿宋_GBK"/>
          <w:sz w:val="32"/>
        </w:rPr>
        <w:t>完善退役军人服务保障体系建设</w:t>
      </w:r>
      <w:r>
        <w:rPr>
          <w:rFonts w:hint="eastAsia" w:ascii="Times New Roman" w:hAnsi="Times New Roman" w:eastAsia="方正仿宋_GBK"/>
          <w:sz w:val="32"/>
        </w:rPr>
        <w:t>，推进双拥模范城创建，</w:t>
      </w:r>
      <w:r>
        <w:rPr>
          <w:rFonts w:hint="eastAsia" w:ascii="Times New Roman" w:hAnsi="Times New Roman" w:eastAsia="方正仿宋_GBK"/>
          <w:sz w:val="32"/>
          <w:szCs w:val="32"/>
        </w:rPr>
        <w:t>加强烈士纪念设施建设</w:t>
      </w:r>
      <w:r>
        <w:rPr>
          <w:rFonts w:hint="eastAsia" w:ascii="Times New Roman" w:hAnsi="Times New Roman" w:eastAsia="方正仿宋_GBK"/>
          <w:sz w:val="32"/>
        </w:rPr>
        <w:t>。</w:t>
      </w:r>
      <w:r>
        <w:rPr>
          <w:rFonts w:hint="eastAsia" w:ascii="Times New Roman" w:hAnsi="Times New Roman" w:eastAsia="方正仿宋_GBK" w:cs="方正仿宋_GBK"/>
          <w:bCs/>
          <w:sz w:val="32"/>
          <w:szCs w:val="32"/>
        </w:rPr>
        <w:t>强化基本殡葬服务，加快公益性公墓规划建设。</w:t>
      </w:r>
    </w:p>
    <w:p>
      <w:pPr>
        <w:pStyle w:val="7"/>
        <w:spacing w:line="560" w:lineRule="exact"/>
        <w:rPr>
          <w:rFonts w:ascii="Times New Roman" w:hAnsi="Times New Roman"/>
          <w:color w:val="auto"/>
          <w:sz w:val="36"/>
          <w:szCs w:val="28"/>
        </w:rPr>
      </w:pPr>
      <w:r>
        <w:rPr>
          <w:rFonts w:hint="eastAsia" w:ascii="Times New Roman" w:hAnsi="Times New Roman" w:eastAsia="方正黑体_GBK" w:cs="方正黑体_GBK"/>
          <w:color w:val="auto"/>
          <w:sz w:val="28"/>
          <w:szCs w:val="28"/>
        </w:rPr>
        <w:t>专栏4：2022年城市建设及社会民生重点项目</w:t>
      </w:r>
    </w:p>
    <w:tbl>
      <w:tblPr>
        <w:tblStyle w:val="1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tcPr>
          <w:p>
            <w:pPr>
              <w:spacing w:line="380" w:lineRule="exact"/>
              <w:ind w:firstLine="420" w:firstLineChars="150"/>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城市能级提升板块：新开工场镇基础设施改造提升、菩提公园及长寿菩提社区公园、桃花溪流域环境综合整治、葛兰至新市段公路改建工程（北城大道延伸段）、小石门长江水源工程。续建两江新区至长寿快速通道、渝宜高速渡舟立交、老旧小区改造、龙溪河环境综合整治与生态保护、城乡供水一体化（一期）等项目，推进璟樾府、铂宸、常春藤等房地产等项目。完工经开区智慧园区、城市品质提升(一期）、阳鹤南北中路绿化等项目。</w:t>
            </w:r>
          </w:p>
          <w:p>
            <w:pPr>
              <w:spacing w:line="380" w:lineRule="exact"/>
              <w:ind w:firstLine="420" w:firstLineChars="150"/>
              <w:rPr>
                <w:rFonts w:ascii="Times New Roman" w:hAnsi="Times New Roman" w:eastAsia="方正仿宋_GBK"/>
                <w:color w:val="FF0000"/>
              </w:rPr>
            </w:pPr>
            <w:r>
              <w:rPr>
                <w:rFonts w:hint="eastAsia" w:ascii="Times New Roman" w:hAnsi="Times New Roman" w:eastAsia="方正仿宋_GBK" w:cs="方正仿宋_GBK"/>
                <w:sz w:val="28"/>
                <w:szCs w:val="28"/>
              </w:rPr>
              <w:t>社会民生板块：新开工区疾控中心整体迁建、区精神卫生扩建、阳鹤山综合训练基地、鹿坪老年养护院、兴隆老年养护院、长寿湖泊知识展览馆项目。续建古镇中学、区公共卫生服务能力提升、区中医院医养中心、青少年活动中心、城区医养康融合等项目。完工桃花溪中学、古镇二小、阳鹤山小学、桃花溪幼儿园、启明幼儿园、重庆工信职业学院（一期）、中医院医技大楼、江南康养服务中心、古镇会展中心项目。大力推进区教师发展中心、明德小学、至善小学、云台中心幼儿园、长寿健康产业基地、长寿生命科学城公共服务平台、中欧医疗健康产业园、凤城图书馆迁建等项目前期工作。</w:t>
            </w:r>
          </w:p>
        </w:tc>
      </w:tr>
    </w:tbl>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构建新型工农城乡关系，全面推进乡村振兴，推动工农互促、城乡互补、共同富裕，加快建设全市乡村振兴和城乡融合发展先行示范区。巩固拓展脱贫攻坚与乡村振兴的有效衔接，进一步健全防止返贫监测和帮扶机制，防止已脱贫人员返贫，大力推进10个</w:t>
      </w:r>
      <w:r>
        <w:rPr>
          <w:rFonts w:ascii="Times New Roman" w:hAnsi="Times New Roman" w:eastAsia="方正仿宋_GBK"/>
          <w:sz w:val="32"/>
        </w:rPr>
        <w:t>脱贫村</w:t>
      </w:r>
      <w:r>
        <w:rPr>
          <w:rFonts w:hint="eastAsia" w:ascii="Times New Roman" w:hAnsi="Times New Roman" w:eastAsia="方正仿宋_GBK" w:cs="Times New Roman"/>
          <w:sz w:val="32"/>
          <w:szCs w:val="32"/>
        </w:rPr>
        <w:t>、5个重点帮扶村</w:t>
      </w:r>
      <w:r>
        <w:rPr>
          <w:rFonts w:ascii="Times New Roman" w:hAnsi="Times New Roman" w:eastAsia="方正仿宋_GBK"/>
          <w:sz w:val="32"/>
        </w:rPr>
        <w:t>特色产业可持续发展</w:t>
      </w:r>
      <w:r>
        <w:rPr>
          <w:rFonts w:hint="eastAsia" w:ascii="Times New Roman" w:hAnsi="Times New Roman" w:eastAsia="方正仿宋_GBK"/>
          <w:sz w:val="32"/>
        </w:rPr>
        <w:t>，做大做强集体经济。深化农业农村改革，力争在建立进城落户农民依法自愿有偿转让退出农村权益制度、健全金融服务城乡融合发展机制、搭建城中村改造合作平台和城乡产业协同发展平台等方面实现突破，争取纳入全市集体经营性建设用地入市试点，提高土地出让收入用于农业农村的比例</w:t>
      </w:r>
      <w:r>
        <w:rPr>
          <w:rFonts w:hint="eastAsia" w:ascii="Times New Roman" w:hAnsi="Times New Roman" w:eastAsia="方正仿宋_GBK"/>
          <w:sz w:val="32"/>
          <w:lang w:eastAsia="zh-CN"/>
        </w:rPr>
        <w:t>，着力</w:t>
      </w:r>
      <w:r>
        <w:rPr>
          <w:rFonts w:hint="eastAsia" w:ascii="Times New Roman" w:hAnsi="Times New Roman" w:eastAsia="方正仿宋_GBK"/>
          <w:sz w:val="32"/>
        </w:rPr>
        <w:t>解决农村土地荒芜化、用地无序化、产业散弱化问题</w:t>
      </w:r>
      <w:r>
        <w:rPr>
          <w:rFonts w:hint="eastAsia" w:ascii="Times New Roman" w:hAnsi="Times New Roman" w:eastAsia="方正仿宋_GBK"/>
          <w:sz w:val="32"/>
          <w:lang w:eastAsia="zh-CN"/>
        </w:rPr>
        <w:t>。</w:t>
      </w:r>
      <w:r>
        <w:rPr>
          <w:rFonts w:hint="eastAsia" w:ascii="Times New Roman" w:hAnsi="Times New Roman" w:eastAsia="方正仿宋_GBK"/>
          <w:sz w:val="32"/>
        </w:rPr>
        <w:t>推进乡村建设行动，制定农村人居环境整治提升五年行动方案，</w:t>
      </w:r>
      <w:r>
        <w:rPr>
          <w:rFonts w:ascii="Times New Roman" w:hAnsi="Times New Roman" w:eastAsia="方正仿宋_GBK" w:cs="Times New Roman"/>
          <w:sz w:val="32"/>
          <w:szCs w:val="32"/>
        </w:rPr>
        <w:t>完成乡镇集中式饮用水水源地信息化和规范化建设</w:t>
      </w:r>
      <w:r>
        <w:rPr>
          <w:rFonts w:hint="eastAsia" w:ascii="Times New Roman" w:hAnsi="Times New Roman" w:eastAsia="方正仿宋_GBK" w:cs="Times New Roman"/>
          <w:sz w:val="32"/>
          <w:szCs w:val="32"/>
        </w:rPr>
        <w:t>，改造提升25座农村小型水厂，继续推进“四好农村路”建设，在109个村开展垃圾分类试点</w:t>
      </w:r>
      <w:r>
        <w:rPr>
          <w:rFonts w:hint="eastAsia" w:ascii="Times New Roman" w:hAnsi="Times New Roman" w:eastAsia="方正仿宋_GBK"/>
          <w:sz w:val="32"/>
        </w:rPr>
        <w:t>。大力发展现代都市农业，建成高标准农田5.1万亩，稳定优质粮油种植面，主要粮食产量</w:t>
      </w:r>
      <w:r>
        <w:rPr>
          <w:rFonts w:hint="eastAsia" w:ascii="Times New Roman" w:hAnsi="Times New Roman" w:eastAsia="方正仿宋_GBK"/>
          <w:sz w:val="32"/>
          <w:lang w:eastAsia="zh-CN"/>
        </w:rPr>
        <w:t>稳定在</w:t>
      </w:r>
      <w:r>
        <w:rPr>
          <w:rFonts w:hint="eastAsia" w:ascii="Times New Roman" w:hAnsi="Times New Roman" w:eastAsia="方正仿宋_GBK"/>
          <w:sz w:val="32"/>
        </w:rPr>
        <w:t>33万吨</w:t>
      </w:r>
      <w:r>
        <w:rPr>
          <w:rFonts w:hint="eastAsia" w:ascii="Times New Roman" w:hAnsi="Times New Roman" w:eastAsia="方正仿宋_GBK"/>
          <w:sz w:val="32"/>
          <w:lang w:eastAsia="zh-CN"/>
        </w:rPr>
        <w:t>规模</w:t>
      </w:r>
      <w:r>
        <w:rPr>
          <w:rFonts w:hint="eastAsia" w:ascii="Times New Roman" w:hAnsi="Times New Roman" w:eastAsia="方正仿宋_GBK"/>
          <w:sz w:val="32"/>
        </w:rPr>
        <w:t>，“柚橘鱼蛋”及果蔬产量产值稳中有增。大力发展镇域经济，支持各街镇做大做强主导产业，加快推进一二三产业融合发展，实施街镇基础设施、场镇面貌和商业设施提升改造，</w:t>
      </w:r>
      <w:r>
        <w:rPr>
          <w:rFonts w:hint="eastAsia" w:ascii="Times New Roman" w:hAnsi="Times New Roman" w:eastAsia="方正仿宋_GBK"/>
          <w:sz w:val="32"/>
          <w:lang w:eastAsia="zh-CN"/>
        </w:rPr>
        <w:t>加快推进</w:t>
      </w:r>
      <w:r>
        <w:rPr>
          <w:rFonts w:hint="eastAsia" w:ascii="Times New Roman" w:hAnsi="Times New Roman" w:eastAsia="方正仿宋_GBK"/>
          <w:sz w:val="32"/>
        </w:rPr>
        <w:t>城乡供水一体化项目，</w:t>
      </w:r>
      <w:r>
        <w:rPr>
          <w:rFonts w:ascii="Times New Roman" w:hAnsi="Times New Roman" w:eastAsia="方正仿宋_GBK"/>
          <w:sz w:val="32"/>
        </w:rPr>
        <w:t>在示范镇村</w:t>
      </w:r>
      <w:r>
        <w:rPr>
          <w:rFonts w:hint="eastAsia" w:ascii="Times New Roman" w:hAnsi="Times New Roman" w:eastAsia="方正仿宋_GBK"/>
          <w:sz w:val="32"/>
        </w:rPr>
        <w:t>实现</w:t>
      </w:r>
      <w:r>
        <w:rPr>
          <w:rFonts w:ascii="Times New Roman" w:hAnsi="Times New Roman" w:eastAsia="方正仿宋_GBK"/>
          <w:sz w:val="32"/>
        </w:rPr>
        <w:t>5G网络覆盖</w:t>
      </w:r>
      <w:r>
        <w:rPr>
          <w:rFonts w:hint="eastAsia" w:ascii="Times New Roman" w:hAnsi="Times New Roman" w:eastAsia="方正仿宋_GBK"/>
          <w:sz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楷体_GBK" w:cs="方正楷体_GBK"/>
          <w:sz w:val="32"/>
        </w:rPr>
      </w:pPr>
      <w:r>
        <w:rPr>
          <w:rFonts w:hint="eastAsia" w:ascii="Times New Roman" w:hAnsi="Times New Roman" w:eastAsia="方正楷体_GBK" w:cs="方正楷体_GBK"/>
          <w:sz w:val="32"/>
        </w:rPr>
        <w:t>（五）千方百计扩大内需，加快构建更加畅通高效的国民经济循环。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以“工业基建”双核共促更好发挥投资带动作用。全面实施“3113”项目攻坚行动计划，完善“六个一批”工作机制，加强要素保障和全周期服务，加快形成以大项目带动大投资、以大建设引领大发展的局面。在项目建设上下功夫。动态完善项目达产、投产、完工、新开工“四张表”，聚焦投产项目抓达产，促进新增产能转化为现实产值，新增工业产值100亿元；聚焦竣工项目抓投产，促进有效投资转化为新增产能；聚焦在建项目抓进度，促进投资计划转化为实物投资；聚焦签约项目抓开工，促进储备项目转化为现实投资，固定资产项目在库余额稳定在350亿元以上。纳入全市“十四五”规划的重大项目在建量达到40个，项目落地率达到75%。在改革创新上下功夫。加强前期工作深度，用好用活重大项目前期工作经费，重点解决前期工作速度不快、深度不够问题；加强项目收益管理，强化融资可达性理念，狠抓现金流管理，积极谋划利用特许经营权等方式补足项目融资条件，尽最大努力实现项目自身平衡；加强投融资方式创新，组合用好中央预算内投资、专项债、企业债、政策性银行贷款、央企合作、社会性资本等多元融资方式，争取各类上级资金25亿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以“线上线下”双轮驱动释放新型消费巨大潜力。顺应消费分级分层趋势，提升消费品质能级，壮大商务消费，做强居民消费。进一步提升消费基础条件，动态完善桃花、古镇、协信等商圈消费环境，加快爱琴海商业综合体建设，丰富夜间经济、体验消费、一站式消费等新兴消费场景，电商经济增长8%。进一步释放居民消费潜力，适度增加汽车、美食、建材等展会频次，邀请垫江等区县共办农特产品展，加快将长寿湖打造为全市重要的高端展会基地。进一步激发农村消费潜力，优化完善街镇商业配套设施，健全多层次的物流配送体系，基本建成三级冷链物流体系。进一步推动养老、托育、家政等生活性服务业发展，新升规服务业企业30家，所有服务业领域实现规上（限上）企业全覆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以“国内国外”双向发力促进外经贸经济稳步发展。推动对外贸易量质提升，将稳外贸作为外向经济主要抓手，抓紧研究出台专项扶持政策，积极解决集装箱用箱难、运费贵等问题，大力支持发展服务外包业务，实现出口总额30亿元。积极抓好高质量进口，在抓好铁矿石等一般性进口贸易的同时扩大优质水果、冷冻食品等进口业务，助力改善全区消费质量，实现进口额30亿元。强化外资项目引进，加强对香港、新加坡等外资重点来源地项目的洽谈引进工作，大力推进精细化工、新材料等重点储备外资项目，实际利用外资完成2亿美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楷体_GBK" w:cs="方正楷体_GBK"/>
          <w:sz w:val="32"/>
        </w:rPr>
      </w:pPr>
      <w:r>
        <w:rPr>
          <w:rFonts w:hint="eastAsia" w:ascii="Times New Roman" w:hAnsi="Times New Roman" w:eastAsia="方正楷体_GBK" w:cs="方正楷体_GBK"/>
          <w:sz w:val="32"/>
        </w:rPr>
        <w:t>（六）更高起点构建高标准市场体系，加快提升市场活力和社会创造力。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加快建设全市重要的创新支点</w:t>
      </w:r>
      <w:r>
        <w:rPr>
          <w:rFonts w:ascii="Times New Roman" w:hAnsi="Times New Roman" w:eastAsia="方正仿宋_GBK"/>
          <w:sz w:val="32"/>
        </w:rPr>
        <w:t>。</w:t>
      </w:r>
      <w:r>
        <w:rPr>
          <w:rFonts w:hint="eastAsia" w:ascii="Times New Roman" w:hAnsi="Times New Roman" w:eastAsia="方正仿宋_GBK"/>
          <w:sz w:val="32"/>
        </w:rPr>
        <w:t>持续提升科技创新能力，积极扩大</w:t>
      </w:r>
      <w:r>
        <w:rPr>
          <w:rFonts w:ascii="Times New Roman" w:hAnsi="Times New Roman" w:eastAsia="方正仿宋_GBK"/>
          <w:sz w:val="32"/>
        </w:rPr>
        <w:t>经开区科技创新园</w:t>
      </w:r>
      <w:r>
        <w:rPr>
          <w:rFonts w:hint="eastAsia" w:ascii="Times New Roman" w:hAnsi="Times New Roman" w:eastAsia="方正仿宋_GBK"/>
          <w:sz w:val="32"/>
        </w:rPr>
        <w:t>创新要素集聚功能，再签约入驻一批研发机构和团队，中科未来城创新产业园竣工投用，长寿生命科学城建设迈入实质阶段。加大科技研发投入，进一步发挥</w:t>
      </w:r>
      <w:r>
        <w:rPr>
          <w:rFonts w:ascii="Times New Roman" w:hAnsi="Times New Roman" w:eastAsia="方正仿宋_GBK"/>
          <w:sz w:val="32"/>
        </w:rPr>
        <w:t>科技型企业知识价值信用贷款风险补偿基金、经开区股权引导基金</w:t>
      </w:r>
      <w:r>
        <w:rPr>
          <w:rFonts w:hint="eastAsia" w:ascii="Times New Roman" w:hAnsi="Times New Roman" w:eastAsia="方正仿宋_GBK"/>
          <w:sz w:val="32"/>
        </w:rPr>
        <w:t>、</w:t>
      </w:r>
      <w:r>
        <w:rPr>
          <w:rFonts w:ascii="Times New Roman" w:hAnsi="Times New Roman" w:eastAsia="方正仿宋_GBK"/>
          <w:sz w:val="32"/>
        </w:rPr>
        <w:t>长寿高新区创业种子投资基</w:t>
      </w:r>
      <w:r>
        <w:rPr>
          <w:rFonts w:hint="eastAsia" w:ascii="Times New Roman" w:hAnsi="Times New Roman" w:eastAsia="方正仿宋_GBK"/>
          <w:sz w:val="32"/>
        </w:rPr>
        <w:t>金的杠杆作用，新设立</w:t>
      </w:r>
      <w:r>
        <w:rPr>
          <w:rFonts w:ascii="Times New Roman" w:hAnsi="Times New Roman" w:eastAsia="方正仿宋_GBK" w:cs="Times New Roman"/>
          <w:bCs/>
          <w:sz w:val="32"/>
          <w:szCs w:val="22"/>
        </w:rPr>
        <w:t>研发平台20家</w:t>
      </w:r>
      <w:r>
        <w:rPr>
          <w:rFonts w:hint="eastAsia" w:ascii="Times New Roman" w:hAnsi="Times New Roman" w:eastAsia="方正仿宋_GBK"/>
          <w:sz w:val="32"/>
        </w:rPr>
        <w:t>，</w:t>
      </w:r>
      <w:r>
        <w:rPr>
          <w:rFonts w:ascii="Times New Roman" w:hAnsi="Times New Roman" w:eastAsia="方正仿宋_GBK"/>
          <w:sz w:val="32"/>
        </w:rPr>
        <w:t>全社会</w:t>
      </w:r>
      <w:r>
        <w:rPr>
          <w:rFonts w:hint="eastAsia" w:ascii="Times New Roman" w:hAnsi="Times New Roman" w:eastAsia="方正仿宋_GBK"/>
          <w:sz w:val="32"/>
        </w:rPr>
        <w:t>研究与试验发展（R&amp;D）经费投入占GDP的比重达到3</w:t>
      </w:r>
      <w:r>
        <w:rPr>
          <w:rFonts w:ascii="Times New Roman" w:hAnsi="Times New Roman" w:eastAsia="方正仿宋_GBK"/>
          <w:sz w:val="32"/>
        </w:rPr>
        <w:t>%，新培育入库科技型企业100家</w:t>
      </w:r>
      <w:r>
        <w:rPr>
          <w:rFonts w:hint="eastAsia" w:ascii="Times New Roman" w:hAnsi="Times New Roman" w:eastAsia="方正仿宋_GBK"/>
          <w:sz w:val="32"/>
        </w:rPr>
        <w:t>、</w:t>
      </w:r>
      <w:r>
        <w:rPr>
          <w:rFonts w:ascii="Times New Roman" w:hAnsi="Times New Roman" w:eastAsia="方正仿宋_GBK"/>
          <w:sz w:val="32"/>
        </w:rPr>
        <w:t>高新技术企业</w:t>
      </w:r>
      <w:r>
        <w:rPr>
          <w:rFonts w:hint="eastAsia" w:ascii="Times New Roman" w:hAnsi="Times New Roman" w:eastAsia="方正仿宋_GBK"/>
          <w:sz w:val="32"/>
        </w:rPr>
        <w:t>30</w:t>
      </w:r>
      <w:r>
        <w:rPr>
          <w:rFonts w:ascii="Times New Roman" w:hAnsi="Times New Roman" w:eastAsia="方正仿宋_GBK"/>
          <w:sz w:val="32"/>
        </w:rPr>
        <w:t>家</w:t>
      </w:r>
      <w:r>
        <w:rPr>
          <w:rFonts w:hint="eastAsia" w:ascii="Times New Roman" w:hAnsi="Times New Roman" w:eastAsia="方正仿宋_GBK"/>
          <w:sz w:val="32"/>
        </w:rPr>
        <w:t>。持续推动协同创新</w:t>
      </w:r>
      <w:r>
        <w:rPr>
          <w:rFonts w:ascii="Times New Roman" w:hAnsi="Times New Roman" w:eastAsia="方正仿宋_GBK"/>
          <w:sz w:val="32"/>
        </w:rPr>
        <w:t>，深化长江上游新材料产业协同创新联盟合作</w:t>
      </w:r>
      <w:r>
        <w:rPr>
          <w:rFonts w:hint="eastAsia" w:ascii="Times New Roman" w:hAnsi="Times New Roman" w:eastAsia="方正仿宋_GBK"/>
          <w:sz w:val="32"/>
        </w:rPr>
        <w:t>，推动与重庆、成都、绵阳等地科研机构合作转化科技成果10项以上，联合广安等地举办“双创”大赛</w:t>
      </w:r>
      <w:r>
        <w:rPr>
          <w:rFonts w:ascii="Times New Roman" w:hAnsi="Times New Roman" w:eastAsia="方正仿宋_GBK"/>
          <w:sz w:val="32"/>
        </w:rPr>
        <w:t>。</w:t>
      </w:r>
      <w:r>
        <w:rPr>
          <w:rFonts w:hint="eastAsia" w:ascii="Times New Roman" w:hAnsi="Times New Roman" w:eastAsia="方正仿宋_GBK"/>
          <w:sz w:val="32"/>
        </w:rPr>
        <w:t>大力鼓励各类市场主体开展商业模式创新。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大力</w:t>
      </w:r>
      <w:r>
        <w:rPr>
          <w:rFonts w:ascii="Times New Roman" w:hAnsi="Times New Roman" w:eastAsia="方正仿宋_GBK"/>
          <w:sz w:val="32"/>
        </w:rPr>
        <w:t>推进重点改革</w:t>
      </w:r>
      <w:r>
        <w:rPr>
          <w:rFonts w:hint="eastAsia" w:ascii="Times New Roman" w:hAnsi="Times New Roman" w:eastAsia="方正仿宋_GBK"/>
          <w:sz w:val="32"/>
        </w:rPr>
        <w:t>再突破。加快营造市场化法治化国际化营商环境，出台营商环境提升行动方案，广泛推进容缺办理和并联审批，畅通政务数据链路，</w:t>
      </w:r>
      <w:r>
        <w:rPr>
          <w:rFonts w:ascii="Times New Roman" w:hAnsi="Times New Roman" w:eastAsia="方正仿宋_GBK" w:cs="Times New Roman"/>
          <w:sz w:val="32"/>
          <w:szCs w:val="32"/>
        </w:rPr>
        <w:t>即办事项比例</w:t>
      </w:r>
      <w:r>
        <w:rPr>
          <w:rFonts w:hint="eastAsia" w:ascii="Times New Roman" w:hAnsi="Times New Roman" w:eastAsia="方正仿宋_GBK" w:cs="Times New Roman"/>
          <w:sz w:val="32"/>
          <w:szCs w:val="32"/>
        </w:rPr>
        <w:t>达到5</w:t>
      </w:r>
      <w:r>
        <w:rPr>
          <w:rFonts w:ascii="Times New Roman" w:hAnsi="Times New Roman" w:eastAsia="方正仿宋_GBK" w:cs="Times New Roman"/>
          <w:sz w:val="32"/>
          <w:szCs w:val="32"/>
        </w:rPr>
        <w:t>0%以上</w:t>
      </w:r>
      <w:r>
        <w:rPr>
          <w:rFonts w:hint="eastAsia" w:ascii="Times New Roman" w:hAnsi="Times New Roman" w:eastAsia="方正仿宋_GBK"/>
          <w:sz w:val="32"/>
        </w:rPr>
        <w:t>，</w:t>
      </w:r>
      <w:r>
        <w:rPr>
          <w:rFonts w:ascii="Times New Roman" w:hAnsi="Times New Roman" w:eastAsia="方正仿宋_GBK" w:cs="Times New Roman"/>
          <w:sz w:val="32"/>
          <w:szCs w:val="32"/>
        </w:rPr>
        <w:t>区级行</w:t>
      </w:r>
      <w:r>
        <w:rPr>
          <w:rFonts w:hint="eastAsia" w:ascii="Times New Roman" w:hAnsi="Times New Roman" w:eastAsia="方正仿宋_GBK" w:cs="方正仿宋_GBK"/>
          <w:sz w:val="32"/>
          <w:szCs w:val="32"/>
        </w:rPr>
        <w:t>政许可事项“全程网办”</w:t>
      </w:r>
      <w:r>
        <w:rPr>
          <w:rFonts w:hint="eastAsia" w:ascii="Times New Roman" w:hAnsi="Times New Roman" w:eastAsia="方正仿宋_GBK" w:cs="Times New Roman"/>
          <w:sz w:val="32"/>
          <w:szCs w:val="32"/>
        </w:rPr>
        <w:t>达到</w:t>
      </w:r>
      <w:r>
        <w:rPr>
          <w:rFonts w:ascii="Times New Roman" w:hAnsi="Times New Roman" w:eastAsia="方正仿宋_GBK" w:cs="Times New Roman"/>
          <w:sz w:val="32"/>
          <w:szCs w:val="32"/>
        </w:rPr>
        <w:t>80%</w:t>
      </w:r>
      <w:r>
        <w:rPr>
          <w:rFonts w:hint="eastAsia" w:ascii="Times New Roman" w:hAnsi="Times New Roman" w:eastAsia="方正仿宋_GBK" w:cs="Times New Roman"/>
          <w:sz w:val="32"/>
          <w:szCs w:val="32"/>
        </w:rPr>
        <w:t>以上</w:t>
      </w:r>
      <w:r>
        <w:rPr>
          <w:rFonts w:hint="eastAsia" w:ascii="Times New Roman" w:hAnsi="Times New Roman" w:eastAsia="方正仿宋_GBK"/>
          <w:sz w:val="32"/>
        </w:rPr>
        <w:t>。加快推进市级信用示范城市创建，推出区级失信联合惩戒措施清单，完善失信约束机制，积极推进信易批、信易游等“信易+”试点。提高资源要素配置效率，加强公共资源交易监管</w:t>
      </w:r>
      <w:r>
        <w:rPr>
          <w:rFonts w:ascii="Times New Roman" w:hAnsi="Times New Roman" w:eastAsia="方正仿宋_GBK"/>
          <w:sz w:val="32"/>
        </w:rPr>
        <w:t>。深化财政金融改革</w:t>
      </w:r>
      <w:r>
        <w:rPr>
          <w:rFonts w:hint="eastAsia" w:ascii="Times New Roman" w:hAnsi="Times New Roman" w:eastAsia="方正仿宋_GBK"/>
          <w:sz w:val="32"/>
        </w:rPr>
        <w:t>，持续推进</w:t>
      </w:r>
      <w:r>
        <w:rPr>
          <w:rFonts w:ascii="Times New Roman" w:hAnsi="Times New Roman" w:eastAsia="方正仿宋_GBK"/>
          <w:sz w:val="32"/>
        </w:rPr>
        <w:t>预算绩效管理</w:t>
      </w:r>
      <w:r>
        <w:rPr>
          <w:rFonts w:hint="eastAsia" w:ascii="Times New Roman" w:hAnsi="Times New Roman" w:eastAsia="方正仿宋_GBK"/>
          <w:sz w:val="32"/>
        </w:rPr>
        <w:t>，完成街镇财政体制改革</w:t>
      </w:r>
      <w:r>
        <w:rPr>
          <w:rFonts w:ascii="Times New Roman" w:hAnsi="Times New Roman" w:eastAsia="方正仿宋_GBK"/>
          <w:sz w:val="32"/>
        </w:rPr>
        <w:t>。</w:t>
      </w:r>
      <w:r>
        <w:rPr>
          <w:rFonts w:hint="eastAsia" w:ascii="Times New Roman" w:hAnsi="Times New Roman" w:eastAsia="方正仿宋_GBK"/>
          <w:sz w:val="32"/>
        </w:rPr>
        <w:t>优化民营经济发展环境，减轻企业经营负担，加强金融支持力度，民营经济增加值增长8%</w:t>
      </w:r>
      <w:r>
        <w:rPr>
          <w:rFonts w:ascii="Times New Roman" w:hAnsi="Times New Roman" w:eastAsia="方正仿宋_GBK"/>
          <w:sz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全面建设对外开放新高地</w:t>
      </w:r>
      <w:r>
        <w:rPr>
          <w:rFonts w:ascii="Times New Roman" w:hAnsi="Times New Roman" w:eastAsia="方正仿宋_GBK"/>
          <w:sz w:val="32"/>
        </w:rPr>
        <w:t>。</w:t>
      </w:r>
      <w:r>
        <w:rPr>
          <w:rFonts w:hint="eastAsia" w:ascii="Times New Roman" w:hAnsi="Times New Roman" w:eastAsia="方正仿宋_GBK"/>
          <w:sz w:val="32"/>
        </w:rPr>
        <w:t>大力推进对外通道建设，积极推进渝宜高铁重庆北至长寿北、渝宜高速长寿至梁平段加宽等项目建设，持续推进长江航道整治，推动铁路专用线进港建设。主动融入国际经济体系，西部陆海新通道铁海联运长寿班列运量达到1万标箱</w:t>
      </w:r>
      <w:r>
        <w:rPr>
          <w:rFonts w:hint="eastAsia" w:ascii="Times New Roman" w:hAnsi="Times New Roman" w:eastAsia="方正仿宋_GBK" w:cs="Times New Roman"/>
          <w:sz w:val="32"/>
          <w:szCs w:val="32"/>
        </w:rPr>
        <w:t>，新设经开区行政服务中心海关服务窗口，积极推进长寿综合保税区前期工作</w:t>
      </w:r>
      <w:r>
        <w:rPr>
          <w:rFonts w:hint="eastAsia" w:ascii="Times New Roman" w:hAnsi="Times New Roman" w:eastAsia="方正仿宋_GBK"/>
          <w:sz w:val="32"/>
        </w:rPr>
        <w:t>，深度参与中新（重庆）战略性互联互通示范项目。打好招大引强攻坚战，聚焦主导产业，突出一链一图、一链一策，用好智博会、西洽会等重要招商平台，合同引资600亿元，其中工业引资占比70%，战新产业引资达到240亿元。狠抓签约项目落地率，签约项目转化率达到三分之一，</w:t>
      </w:r>
      <w:r>
        <w:rPr>
          <w:rFonts w:ascii="Times New Roman" w:hAnsi="Times New Roman" w:eastAsia="方正仿宋_GBK"/>
          <w:sz w:val="32"/>
        </w:rPr>
        <w:t>市外项目到位资金</w:t>
      </w:r>
      <w:r>
        <w:rPr>
          <w:rFonts w:hint="eastAsia" w:ascii="Times New Roman" w:hAnsi="Times New Roman" w:eastAsia="方正仿宋_GBK"/>
          <w:sz w:val="32"/>
        </w:rPr>
        <w:t>150</w:t>
      </w:r>
      <w:r>
        <w:rPr>
          <w:rFonts w:ascii="Times New Roman" w:hAnsi="Times New Roman" w:eastAsia="方正仿宋_GBK"/>
          <w:sz w:val="32"/>
        </w:rPr>
        <w:t>亿元</w:t>
      </w:r>
      <w:r>
        <w:rPr>
          <w:rFonts w:hint="eastAsia" w:ascii="Times New Roman" w:hAnsi="Times New Roman" w:eastAsia="方正仿宋_GBK"/>
          <w:sz w:val="32"/>
        </w:rPr>
        <w:t>以上。加强合作交流，积极学习张家港市、靖江市等先进地区经济社会发展经验，更大力度承接东部产业转移，更大力度用好用活全国资源，更大力度推进与一流央企国企战略合作，加快将已签署协议转化为现实生产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楷体_GBK" w:cs="方正楷体_GBK"/>
          <w:sz w:val="32"/>
        </w:rPr>
      </w:pPr>
      <w:r>
        <w:rPr>
          <w:rFonts w:hint="eastAsia" w:ascii="Times New Roman" w:hAnsi="Times New Roman" w:eastAsia="方正楷体_GBK" w:cs="方正楷体_GBK"/>
          <w:sz w:val="32"/>
        </w:rPr>
        <w:t>（七）始</w:t>
      </w:r>
      <w:r>
        <w:rPr>
          <w:rFonts w:hint="eastAsia" w:ascii="Times New Roman" w:hAnsi="Times New Roman" w:eastAsia="方正楷体_GBK" w:cs="方正楷体_GBK"/>
          <w:spacing w:val="0"/>
          <w:sz w:val="32"/>
        </w:rPr>
        <w:t>终坚持生态优先绿色发展，加快建设山清水秀美丽之地。</w:t>
      </w:r>
    </w:p>
    <w:p>
      <w:pPr>
        <w:pStyle w:val="40"/>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持续打好污染防治攻坚战，提升全域生态环境容量和质量。</w:t>
      </w:r>
      <w:r>
        <w:rPr>
          <w:rFonts w:ascii="Times New Roman" w:hAnsi="Times New Roman" w:eastAsia="方正仿宋_GBK"/>
          <w:sz w:val="32"/>
        </w:rPr>
        <w:t>着力打好蓝天保卫战</w:t>
      </w:r>
      <w:r>
        <w:rPr>
          <w:rFonts w:hint="eastAsia" w:ascii="Times New Roman" w:hAnsi="Times New Roman" w:eastAsia="方正仿宋_GBK"/>
          <w:sz w:val="32"/>
        </w:rPr>
        <w:t>，开展工业废气等重点污染源治理</w:t>
      </w:r>
      <w:r>
        <w:rPr>
          <w:rFonts w:ascii="Times New Roman" w:hAnsi="Times New Roman" w:eastAsia="方正仿宋_GBK"/>
          <w:sz w:val="32"/>
        </w:rPr>
        <w:t>，</w:t>
      </w:r>
      <w:r>
        <w:rPr>
          <w:rFonts w:hint="eastAsia" w:ascii="Times New Roman" w:hAnsi="Times New Roman" w:eastAsia="方正仿宋_GBK"/>
          <w:sz w:val="32"/>
        </w:rPr>
        <w:t>城区</w:t>
      </w:r>
      <w:r>
        <w:rPr>
          <w:rFonts w:ascii="Times New Roman" w:hAnsi="Times New Roman" w:eastAsia="方正仿宋_GBK"/>
          <w:sz w:val="32"/>
        </w:rPr>
        <w:t>空气优良天数</w:t>
      </w:r>
      <w:r>
        <w:rPr>
          <w:rFonts w:hint="eastAsia" w:ascii="Times New Roman" w:hAnsi="Times New Roman" w:eastAsia="方正仿宋_GBK"/>
          <w:sz w:val="32"/>
        </w:rPr>
        <w:t>达到321天，PM2.5浓度基本达标</w:t>
      </w:r>
      <w:r>
        <w:rPr>
          <w:rFonts w:ascii="Times New Roman" w:hAnsi="Times New Roman" w:eastAsia="方正仿宋_GBK"/>
          <w:sz w:val="32"/>
        </w:rPr>
        <w:t>。</w:t>
      </w:r>
      <w:r>
        <w:rPr>
          <w:rFonts w:hint="eastAsia" w:ascii="Times New Roman" w:hAnsi="Times New Roman" w:eastAsia="方正仿宋_GBK"/>
          <w:sz w:val="32"/>
        </w:rPr>
        <w:t>全力</w:t>
      </w:r>
      <w:r>
        <w:rPr>
          <w:rFonts w:ascii="Times New Roman" w:hAnsi="Times New Roman" w:eastAsia="方正仿宋_GBK"/>
          <w:sz w:val="32"/>
        </w:rPr>
        <w:t>打好碧水保卫战，</w:t>
      </w:r>
      <w:r>
        <w:rPr>
          <w:rFonts w:hint="eastAsia" w:ascii="Times New Roman" w:hAnsi="Times New Roman" w:eastAsia="方正仿宋_GBK"/>
          <w:sz w:val="32"/>
        </w:rPr>
        <w:t>持续夯实河（湖）长制，</w:t>
      </w:r>
      <w:r>
        <w:rPr>
          <w:rFonts w:ascii="Times New Roman" w:hAnsi="Times New Roman" w:eastAsia="方正仿宋_GBK"/>
          <w:sz w:val="32"/>
        </w:rPr>
        <w:t>加快实施龙溪河环境综合整治与生态保护示范项目</w:t>
      </w:r>
      <w:r>
        <w:rPr>
          <w:rFonts w:hint="eastAsia" w:ascii="Times New Roman" w:hAnsi="Times New Roman" w:eastAsia="方正仿宋_GBK"/>
          <w:sz w:val="32"/>
        </w:rPr>
        <w:t>，国家考核断面水质100%达标，</w:t>
      </w:r>
      <w:r>
        <w:rPr>
          <w:rFonts w:hint="eastAsia" w:ascii="Times New Roman" w:hAnsi="Times New Roman" w:eastAsia="方正仿宋_GBK" w:cs="Times New Roman"/>
          <w:kern w:val="2"/>
          <w:sz w:val="32"/>
          <w:szCs w:val="32"/>
        </w:rPr>
        <w:t>完善</w:t>
      </w:r>
      <w:r>
        <w:rPr>
          <w:rFonts w:ascii="Times New Roman" w:hAnsi="Times New Roman" w:eastAsia="方正仿宋_GBK" w:cs="Times New Roman"/>
          <w:kern w:val="2"/>
          <w:sz w:val="32"/>
          <w:szCs w:val="32"/>
        </w:rPr>
        <w:t>区级流域横向生态保护补偿机制。</w:t>
      </w:r>
      <w:r>
        <w:rPr>
          <w:rFonts w:hint="eastAsia" w:ascii="Times New Roman" w:hAnsi="Times New Roman" w:eastAsia="方正仿宋_GBK"/>
          <w:sz w:val="32"/>
        </w:rPr>
        <w:t>用</w:t>
      </w:r>
      <w:r>
        <w:rPr>
          <w:rFonts w:ascii="Times New Roman" w:hAnsi="Times New Roman" w:eastAsia="方正仿宋_GBK"/>
          <w:sz w:val="32"/>
        </w:rPr>
        <w:t>力打好净土保卫战，土壤、</w:t>
      </w:r>
      <w:r>
        <w:rPr>
          <w:rFonts w:hint="eastAsia" w:ascii="Times New Roman" w:hAnsi="Times New Roman" w:eastAsia="方正仿宋_GBK"/>
          <w:sz w:val="32"/>
        </w:rPr>
        <w:t>噪声</w:t>
      </w:r>
      <w:r>
        <w:rPr>
          <w:rFonts w:ascii="Times New Roman" w:hAnsi="Times New Roman" w:eastAsia="方正仿宋_GBK"/>
          <w:sz w:val="32"/>
        </w:rPr>
        <w:t>和辐射环境质量保持稳定，</w:t>
      </w:r>
      <w:r>
        <w:rPr>
          <w:rFonts w:hint="eastAsia" w:ascii="Times New Roman" w:hAnsi="Times New Roman" w:eastAsia="方正仿宋_GBK"/>
          <w:sz w:val="32"/>
        </w:rPr>
        <w:t>严格建设用地土壤调查和风险管理</w:t>
      </w:r>
      <w:r>
        <w:rPr>
          <w:rFonts w:ascii="Times New Roman" w:hAnsi="Times New Roman" w:eastAsia="方正仿宋_GBK"/>
          <w:sz w:val="32"/>
        </w:rPr>
        <w:t>。</w:t>
      </w:r>
      <w:r>
        <w:rPr>
          <w:rFonts w:ascii="Times New Roman" w:hAnsi="Times New Roman" w:eastAsia="方正仿宋_GBK" w:cs="Times New Roman"/>
          <w:kern w:val="2"/>
          <w:sz w:val="32"/>
          <w:szCs w:val="32"/>
        </w:rPr>
        <w:t>严格实施环境执法</w:t>
      </w:r>
      <w:r>
        <w:rPr>
          <w:rFonts w:hint="eastAsia" w:ascii="Times New Roman" w:hAnsi="Times New Roman" w:eastAsia="方正仿宋_GBK" w:cs="Times New Roman"/>
          <w:kern w:val="2"/>
          <w:sz w:val="32"/>
          <w:szCs w:val="32"/>
        </w:rPr>
        <w:t>和分级分类监管，</w:t>
      </w:r>
      <w:r>
        <w:rPr>
          <w:rFonts w:ascii="Times New Roman" w:hAnsi="Times New Roman" w:eastAsia="方正仿宋_GBK" w:cs="Times New Roman"/>
          <w:kern w:val="2"/>
          <w:sz w:val="32"/>
          <w:szCs w:val="32"/>
        </w:rPr>
        <w:t>严肃查处各类环境违法行为。</w:t>
      </w:r>
      <w:r>
        <w:rPr>
          <w:rFonts w:hint="eastAsia" w:ascii="Times New Roman" w:hAnsi="Times New Roman" w:eastAsia="方正仿宋_GBK"/>
          <w:sz w:val="32"/>
        </w:rPr>
        <w:t>开展生态修复保护，</w:t>
      </w:r>
      <w:r>
        <w:rPr>
          <w:rFonts w:ascii="Times New Roman" w:hAnsi="Times New Roman" w:eastAsia="方正仿宋_GBK"/>
          <w:sz w:val="32"/>
        </w:rPr>
        <w:t>坚持山水林田湖草协同治理，</w:t>
      </w:r>
      <w:r>
        <w:rPr>
          <w:rFonts w:hint="eastAsia" w:ascii="Times New Roman" w:hAnsi="Times New Roman" w:eastAsia="方正仿宋_GBK"/>
          <w:sz w:val="32"/>
        </w:rPr>
        <w:t>加强水土流失治理力度，完成滨江长寿谷库岸整治，推进明月山废弃矿山生态修复项目18个，两岸青山·千里林带改造提升林地5000亩。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彰显“两高范例”，加快推动绿色低碳转型。严把项目审批关口，</w:t>
      </w:r>
      <w:r>
        <w:rPr>
          <w:rFonts w:ascii="Times New Roman" w:hAnsi="Times New Roman" w:eastAsia="方正仿宋_GBK"/>
          <w:sz w:val="32"/>
        </w:rPr>
        <w:t>坚决遏制</w:t>
      </w:r>
      <w:r>
        <w:rPr>
          <w:rFonts w:hint="eastAsia" w:ascii="Times New Roman" w:hAnsi="Times New Roman" w:eastAsia="方正仿宋_GBK" w:cs="方正仿宋_GBK"/>
          <w:sz w:val="32"/>
        </w:rPr>
        <w:t>“两高”</w:t>
      </w:r>
      <w:r>
        <w:rPr>
          <w:rFonts w:ascii="Times New Roman" w:hAnsi="Times New Roman" w:eastAsia="方正仿宋_GBK"/>
          <w:sz w:val="32"/>
        </w:rPr>
        <w:t>项目盲目发展</w:t>
      </w:r>
      <w:r>
        <w:rPr>
          <w:rFonts w:hint="eastAsia" w:ascii="Times New Roman" w:hAnsi="Times New Roman" w:eastAsia="方正仿宋_GBK"/>
          <w:sz w:val="32"/>
        </w:rPr>
        <w:t>，</w:t>
      </w:r>
      <w:r>
        <w:rPr>
          <w:rFonts w:ascii="Times New Roman" w:hAnsi="Times New Roman" w:eastAsia="方正仿宋_GBK"/>
          <w:sz w:val="32"/>
        </w:rPr>
        <w:t>加快节能降碳改造</w:t>
      </w:r>
      <w:r>
        <w:rPr>
          <w:rFonts w:hint="eastAsia" w:ascii="Times New Roman" w:hAnsi="Times New Roman" w:eastAsia="方正仿宋_GBK"/>
          <w:sz w:val="32"/>
        </w:rPr>
        <w:t>和落后产能退出，单位GDP能耗下降4%，积极研究碳排放总量和强度“双控”落地机制。牢记“国之大者”，践行绿色发展理念，强化绿色发展新导向，推进“以耗均、碳均论英雄”，提高项目单位投资强度、产出强度，探索建立生态产品价值实现机制，提高产业项目的“含绿量”。研究制定产业、交通、能源等结构调整的方向路径，建立投资、财政、金融、核算等一体化的碳达峰碳中和政策支撑保障体系。</w:t>
      </w:r>
      <w:r>
        <w:rPr>
          <w:rFonts w:ascii="Times New Roman" w:hAnsi="Times New Roman" w:eastAsia="方正仿宋_GBK"/>
          <w:sz w:val="32"/>
        </w:rPr>
        <w:t>加快推进再生资源综合利用示范项目</w:t>
      </w:r>
      <w:r>
        <w:rPr>
          <w:rFonts w:hint="eastAsia" w:ascii="Times New Roman" w:hAnsi="Times New Roman" w:eastAsia="方正仿宋_GBK"/>
          <w:sz w:val="32"/>
        </w:rPr>
        <w:t>建设</w:t>
      </w:r>
      <w:r>
        <w:rPr>
          <w:rFonts w:ascii="Times New Roman" w:hAnsi="Times New Roman" w:eastAsia="方正仿宋_GBK"/>
          <w:sz w:val="32"/>
        </w:rPr>
        <w:t>，</w:t>
      </w:r>
      <w:r>
        <w:rPr>
          <w:rFonts w:hint="eastAsia" w:ascii="Times New Roman" w:hAnsi="Times New Roman" w:eastAsia="方正仿宋_GBK"/>
          <w:sz w:val="32"/>
        </w:rPr>
        <w:t>推动农业废弃物资源化利用，大力推进节约型机关等生态文明建设示范创建，建设“无废城市”</w:t>
      </w:r>
      <w:r>
        <w:rPr>
          <w:rFonts w:ascii="Times New Roman" w:hAnsi="Times New Roman" w:eastAsia="方正仿宋_GBK"/>
          <w:sz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sz w:val="32"/>
        </w:rPr>
      </w:pPr>
      <w:r>
        <w:rPr>
          <w:rFonts w:hint="eastAsia" w:ascii="Times New Roman" w:hAnsi="Times New Roman" w:eastAsia="方正仿宋_GBK"/>
          <w:sz w:val="32"/>
        </w:rPr>
        <w:t>筑牢安</w:t>
      </w:r>
      <w:r>
        <w:rPr>
          <w:rFonts w:hint="eastAsia" w:ascii="Times New Roman" w:hAnsi="Times New Roman" w:eastAsia="方正仿宋_GBK"/>
          <w:bCs/>
          <w:sz w:val="32"/>
        </w:rPr>
        <w:t>全发展底线</w:t>
      </w:r>
      <w:r>
        <w:rPr>
          <w:rFonts w:hint="eastAsia" w:ascii="Times New Roman" w:hAnsi="Times New Roman" w:eastAsia="方正仿宋_GBK"/>
          <w:sz w:val="32"/>
        </w:rPr>
        <w:t>。更大力度统筹疫情防控和经济社会发展，毫不放松抓好以基层社会治理体系为依托的常态化疫情防控，落实落细治安防控、社会稳定各项工作。构建更加严密的安全管理体系，巩固提升安全生产专项整治三年行动成效，加强道路交通、建筑施工、危险化学品等重点行业及领域的排查整治，不断完善安全风险分级管控机制和隐患排查治理机制。健全公共应急管理体系，加强抢险救援和救灾救助物资储备，完善重大突发事件应急响应和跨区域联动机制。落实粮食安全首长责任制，全面加强粮食生产、储备和流通能力建设，保障粮食安全。稳妥</w:t>
      </w:r>
      <w:r>
        <w:rPr>
          <w:rFonts w:ascii="Times New Roman" w:hAnsi="Times New Roman" w:eastAsia="方正仿宋_GBK"/>
          <w:sz w:val="32"/>
        </w:rPr>
        <w:t>化解</w:t>
      </w:r>
      <w:r>
        <w:rPr>
          <w:rFonts w:hint="eastAsia" w:ascii="Times New Roman" w:hAnsi="Times New Roman" w:eastAsia="方正仿宋_GBK"/>
          <w:sz w:val="32"/>
        </w:rPr>
        <w:t>存量</w:t>
      </w:r>
      <w:r>
        <w:rPr>
          <w:rFonts w:ascii="Times New Roman" w:hAnsi="Times New Roman" w:eastAsia="方正仿宋_GBK"/>
          <w:sz w:val="32"/>
        </w:rPr>
        <w:t>隐性债务</w:t>
      </w:r>
      <w:r>
        <w:rPr>
          <w:rFonts w:hint="eastAsia" w:ascii="Times New Roman" w:hAnsi="Times New Roman" w:eastAsia="方正仿宋_GBK"/>
          <w:sz w:val="32"/>
        </w:rPr>
        <w:t>，严密</w:t>
      </w:r>
      <w:r>
        <w:rPr>
          <w:rFonts w:ascii="Times New Roman" w:hAnsi="Times New Roman" w:eastAsia="方正仿宋_GBK"/>
          <w:sz w:val="32"/>
        </w:rPr>
        <w:t>防范债务</w:t>
      </w:r>
      <w:r>
        <w:rPr>
          <w:rFonts w:hint="eastAsia" w:ascii="Times New Roman" w:hAnsi="Times New Roman" w:eastAsia="方正仿宋_GBK"/>
          <w:sz w:val="32"/>
        </w:rPr>
        <w:t>违约</w:t>
      </w:r>
      <w:r>
        <w:rPr>
          <w:rFonts w:ascii="Times New Roman" w:hAnsi="Times New Roman" w:eastAsia="方正仿宋_GBK"/>
          <w:sz w:val="32"/>
        </w:rPr>
        <w:t>风险</w:t>
      </w:r>
      <w:r>
        <w:rPr>
          <w:rFonts w:hint="eastAsia" w:ascii="Times New Roman" w:hAnsi="Times New Roman" w:eastAsia="方正仿宋_GBK"/>
          <w:sz w:val="32"/>
        </w:rPr>
        <w:t>。加强金融风险防控，严厉打击非法金融活动，坚决守住不发生系统性风险的底线。加强民生物资保供和价格监测，做好重要节假日和重大时间节点的市场供应和价格稳定工作。深入推进法治宣传教育，抓好“八五”普法规划实施，在全社会营造尊重法律、崇尚法治的良好氛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sz w:val="32"/>
        </w:rPr>
        <w:t>发展蓝图已经绘就，美丽长寿前景可期</w:t>
      </w:r>
      <w:r>
        <w:rPr>
          <w:rFonts w:ascii="Times New Roman" w:hAnsi="Times New Roman" w:eastAsia="方正仿宋_GBK"/>
          <w:sz w:val="32"/>
        </w:rPr>
        <w:t>。我们将坚持以习近平新时代中国特色社会主义思想为指导，在</w:t>
      </w:r>
      <w:r>
        <w:rPr>
          <w:rFonts w:hint="eastAsia" w:ascii="Times New Roman" w:hAnsi="Times New Roman" w:eastAsia="方正仿宋_GBK"/>
          <w:sz w:val="32"/>
        </w:rPr>
        <w:t>区委</w:t>
      </w:r>
      <w:r>
        <w:rPr>
          <w:rFonts w:ascii="Times New Roman" w:hAnsi="Times New Roman" w:eastAsia="方正仿宋_GBK"/>
          <w:sz w:val="32"/>
        </w:rPr>
        <w:t>坚强领导下，在</w:t>
      </w:r>
      <w:r>
        <w:rPr>
          <w:rFonts w:hint="eastAsia" w:ascii="Times New Roman" w:hAnsi="Times New Roman" w:eastAsia="方正仿宋_GBK"/>
          <w:sz w:val="32"/>
        </w:rPr>
        <w:t>区</w:t>
      </w:r>
      <w:r>
        <w:rPr>
          <w:rFonts w:ascii="Times New Roman" w:hAnsi="Times New Roman" w:eastAsia="方正仿宋_GBK"/>
          <w:sz w:val="32"/>
        </w:rPr>
        <w:t>人大和</w:t>
      </w:r>
      <w:r>
        <w:rPr>
          <w:rFonts w:hint="eastAsia" w:ascii="Times New Roman" w:hAnsi="Times New Roman" w:eastAsia="方正仿宋_GBK"/>
          <w:sz w:val="32"/>
        </w:rPr>
        <w:t>区</w:t>
      </w:r>
      <w:r>
        <w:rPr>
          <w:rFonts w:ascii="Times New Roman" w:hAnsi="Times New Roman" w:eastAsia="方正仿宋_GBK"/>
          <w:sz w:val="32"/>
        </w:rPr>
        <w:t>政协</w:t>
      </w:r>
      <w:r>
        <w:rPr>
          <w:rFonts w:hint="eastAsia" w:ascii="Times New Roman" w:hAnsi="Times New Roman" w:eastAsia="方正仿宋_GBK"/>
          <w:sz w:val="32"/>
        </w:rPr>
        <w:t>的</w:t>
      </w:r>
      <w:r>
        <w:rPr>
          <w:rFonts w:ascii="Times New Roman" w:hAnsi="Times New Roman" w:eastAsia="方正仿宋_GBK"/>
          <w:sz w:val="32"/>
        </w:rPr>
        <w:t>监督下，以更加开阔的视野、更加务实的作风、更加有为的担当，</w:t>
      </w:r>
      <w:r>
        <w:rPr>
          <w:rFonts w:hint="eastAsia" w:ascii="Times New Roman" w:hAnsi="Times New Roman" w:eastAsia="方正仿宋_GBK"/>
          <w:sz w:val="32"/>
        </w:rPr>
        <w:t>解放思想、奋勇争先，知重负重、攻坚克难</w:t>
      </w:r>
      <w:r>
        <w:rPr>
          <w:rFonts w:ascii="Times New Roman" w:hAnsi="Times New Roman" w:eastAsia="方正仿宋_GBK"/>
          <w:sz w:val="32"/>
        </w:rPr>
        <w:t>，</w:t>
      </w:r>
      <w:r>
        <w:rPr>
          <w:rFonts w:hint="eastAsia" w:ascii="Times New Roman" w:hAnsi="Times New Roman" w:eastAsia="方正仿宋_GBK"/>
          <w:sz w:val="32"/>
        </w:rPr>
        <w:t>加速建设高质量发展高品质生活新范例和同城化发展先行区，加快建设中国长寿城，以优异的成绩迎接党的二十大胜利召开。</w:t>
      </w:r>
    </w:p>
    <w:tbl>
      <w:tblPr>
        <w:tblStyle w:val="16"/>
        <w:tblpPr w:leftFromText="180" w:rightFromText="180" w:vertAnchor="text" w:horzAnchor="page" w:tblpX="1412" w:tblpY="10151"/>
        <w:tblOverlap w:val="never"/>
        <w:tblW w:w="9208"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08"/>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08" w:type="dxa"/>
          </w:tcPr>
          <w:p>
            <w:pPr>
              <w:spacing w:line="480" w:lineRule="exact"/>
              <w:rPr>
                <w:rFonts w:ascii="Times New Roman" w:hAnsi="Times New Roman" w:eastAsia="方正仿宋_GBK"/>
                <w:sz w:val="28"/>
                <w:szCs w:val="28"/>
              </w:rPr>
            </w:pPr>
            <w:r>
              <w:rPr>
                <w:rFonts w:ascii="Times New Roman" w:hAnsi="Times New Roman" w:eastAsia="方正仿宋_GBK"/>
                <w:sz w:val="28"/>
                <w:szCs w:val="28"/>
              </w:rPr>
              <w:t>区</w:t>
            </w:r>
            <w:r>
              <w:rPr>
                <w:rFonts w:hint="eastAsia" w:ascii="Times New Roman" w:hAnsi="Times New Roman" w:eastAsia="方正仿宋_GBK"/>
                <w:sz w:val="28"/>
                <w:szCs w:val="28"/>
              </w:rPr>
              <w:t>十九</w:t>
            </w:r>
            <w:r>
              <w:rPr>
                <w:rFonts w:ascii="Times New Roman" w:hAnsi="Times New Roman" w:eastAsia="方正仿宋_GBK"/>
                <w:sz w:val="28"/>
                <w:szCs w:val="28"/>
              </w:rPr>
              <w:t>届人大</w:t>
            </w:r>
            <w:r>
              <w:rPr>
                <w:rFonts w:hint="eastAsia" w:ascii="Times New Roman" w:hAnsi="Times New Roman" w:eastAsia="方正仿宋_GBK"/>
                <w:sz w:val="28"/>
                <w:szCs w:val="28"/>
              </w:rPr>
              <w:t>一</w:t>
            </w:r>
            <w:r>
              <w:rPr>
                <w:rFonts w:ascii="Times New Roman" w:hAnsi="Times New Roman" w:eastAsia="方正仿宋_GBK"/>
                <w:sz w:val="28"/>
                <w:szCs w:val="28"/>
              </w:rPr>
              <w:t>次会议秘书处                    20</w:t>
            </w:r>
            <w:r>
              <w:rPr>
                <w:rFonts w:hint="eastAsia" w:ascii="Times New Roman" w:hAnsi="Times New Roman" w:eastAsia="方正仿宋_GBK"/>
                <w:sz w:val="28"/>
                <w:szCs w:val="28"/>
              </w:rPr>
              <w:t>22</w:t>
            </w:r>
            <w:r>
              <w:rPr>
                <w:rFonts w:ascii="Times New Roman" w:hAnsi="Times New Roman" w:eastAsia="方正仿宋_GBK"/>
                <w:sz w:val="28"/>
                <w:szCs w:val="28"/>
              </w:rPr>
              <w:t>年1月</w:t>
            </w:r>
            <w:r>
              <w:rPr>
                <w:rFonts w:hint="eastAsia" w:ascii="Times New Roman" w:hAnsi="Times New Roman" w:eastAsia="方正仿宋_GBK"/>
                <w:sz w:val="28"/>
                <w:szCs w:val="28"/>
                <w:lang w:val="en-US" w:eastAsia="zh-CN"/>
              </w:rPr>
              <w:t>5</w:t>
            </w:r>
            <w:r>
              <w:rPr>
                <w:rFonts w:ascii="Times New Roman" w:hAnsi="Times New Roman" w:eastAsia="方正仿宋_GBK"/>
                <w:sz w:val="28"/>
                <w:szCs w:val="28"/>
              </w:rPr>
              <w:t>日印制</w:t>
            </w:r>
          </w:p>
        </w:tc>
      </w:tr>
    </w:tbl>
    <w:p>
      <w:pPr>
        <w:spacing w:line="560" w:lineRule="exact"/>
        <w:ind w:firstLine="640" w:firstLineChars="200"/>
        <w:rPr>
          <w:rFonts w:ascii="Times New Roman" w:hAnsi="Times New Roman" w:eastAsia="方正仿宋_GBK"/>
          <w:sz w:val="32"/>
        </w:rPr>
        <w:sectPr>
          <w:headerReference r:id="rId4" w:type="default"/>
          <w:footerReference r:id="rId5" w:type="default"/>
          <w:footnotePr>
            <w:numFmt w:val="decimalEnclosedCircleChinese"/>
          </w:footnotePr>
          <w:pgSz w:w="11906" w:h="16838"/>
          <w:pgMar w:top="1984" w:right="1446" w:bottom="1644" w:left="1446" w:header="851" w:footer="1474" w:gutter="0"/>
          <w:pgNumType w:fmt="numberInDash" w:start="1"/>
          <w:cols w:space="0" w:num="1"/>
          <w:rtlGutter w:val="0"/>
          <w:docGrid w:type="lines" w:linePitch="312" w:charSpace="0"/>
        </w:sectPr>
      </w:pPr>
    </w:p>
    <w:p>
      <w:pPr>
        <w:rPr>
          <w:rFonts w:ascii="Times New Roman" w:hAnsi="Times New Roman"/>
        </w:rPr>
      </w:pPr>
    </w:p>
    <w:p>
      <w:pPr>
        <w:pStyle w:val="8"/>
        <w:ind w:left="5250"/>
        <w:rPr>
          <w:rFonts w:ascii="Times New Roman" w:hAnsi="Times New Roman"/>
        </w:rPr>
      </w:pPr>
    </w:p>
    <w:p>
      <w:pPr>
        <w:pStyle w:val="39"/>
        <w:spacing w:line="240" w:lineRule="auto"/>
        <w:rPr>
          <w:rFonts w:ascii="Times New Roman" w:hAnsi="Times New Roman" w:eastAsia="方正黑体_GBK" w:cs="方正黑体_GBK"/>
          <w:szCs w:val="32"/>
        </w:rPr>
      </w:pPr>
    </w:p>
    <w:p>
      <w:pPr>
        <w:pStyle w:val="39"/>
        <w:spacing w:line="240" w:lineRule="auto"/>
        <w:rPr>
          <w:rFonts w:ascii="Times New Roman" w:hAnsi="Times New Roman" w:eastAsia="方正黑体_GBK" w:cs="方正黑体_GBK"/>
          <w:szCs w:val="32"/>
        </w:rPr>
      </w:pPr>
    </w:p>
    <w:p>
      <w:pPr>
        <w:pStyle w:val="39"/>
        <w:spacing w:line="240" w:lineRule="auto"/>
        <w:rPr>
          <w:rFonts w:ascii="Times New Roman" w:hAnsi="Times New Roman" w:eastAsia="方正黑体_GBK" w:cs="方正黑体_GBK"/>
          <w:szCs w:val="32"/>
        </w:rPr>
      </w:pPr>
    </w:p>
    <w:p>
      <w:pPr>
        <w:pStyle w:val="39"/>
        <w:spacing w:line="240" w:lineRule="auto"/>
        <w:rPr>
          <w:rFonts w:ascii="Times New Roman" w:hAnsi="Times New Roman" w:eastAsia="方正黑体_GBK" w:cs="方正黑体_GBK"/>
          <w:szCs w:val="32"/>
        </w:rPr>
      </w:pPr>
    </w:p>
    <w:p>
      <w:pPr>
        <w:pStyle w:val="39"/>
        <w:spacing w:line="240" w:lineRule="auto"/>
        <w:rPr>
          <w:rFonts w:ascii="Times New Roman" w:hAnsi="Times New Roman" w:eastAsia="方正黑体_GBK" w:cs="方正黑体_GBK"/>
          <w:szCs w:val="32"/>
        </w:rPr>
      </w:pPr>
    </w:p>
    <w:p>
      <w:pPr>
        <w:pStyle w:val="39"/>
        <w:spacing w:line="240" w:lineRule="auto"/>
        <w:rPr>
          <w:rFonts w:ascii="Times New Roman" w:hAnsi="Times New Roman" w:eastAsia="方正黑体_GBK" w:cs="方正黑体_GBK"/>
          <w:szCs w:val="32"/>
        </w:rPr>
      </w:pPr>
    </w:p>
    <w:p>
      <w:pPr>
        <w:pStyle w:val="39"/>
        <w:spacing w:line="240" w:lineRule="auto"/>
        <w:rPr>
          <w:rFonts w:ascii="Times New Roman" w:hAnsi="Times New Roman" w:eastAsia="方正黑体_GBK" w:cs="方正黑体_GBK"/>
          <w:szCs w:val="32"/>
        </w:rPr>
      </w:pPr>
    </w:p>
    <w:p>
      <w:pPr>
        <w:pStyle w:val="39"/>
        <w:spacing w:line="240" w:lineRule="auto"/>
        <w:rPr>
          <w:rFonts w:ascii="Times New Roman" w:hAnsi="Times New Roman" w:eastAsia="方正黑体_GBK" w:cs="方正黑体_GBK"/>
          <w:szCs w:val="32"/>
        </w:rPr>
      </w:pPr>
    </w:p>
    <w:p>
      <w:pPr>
        <w:pStyle w:val="39"/>
        <w:spacing w:line="240" w:lineRule="auto"/>
        <w:rPr>
          <w:rFonts w:ascii="Times New Roman" w:hAnsi="Times New Roman" w:eastAsia="方正黑体_GBK" w:cs="方正黑体_GBK"/>
          <w:szCs w:val="32"/>
        </w:rPr>
      </w:pPr>
    </w:p>
    <w:p>
      <w:pPr>
        <w:pStyle w:val="39"/>
        <w:spacing w:line="240" w:lineRule="auto"/>
        <w:rPr>
          <w:rFonts w:ascii="Times New Roman" w:hAnsi="Times New Roman" w:eastAsia="方正黑体_GBK" w:cs="方正黑体_GBK"/>
          <w:szCs w:val="32"/>
        </w:rPr>
      </w:pPr>
    </w:p>
    <w:p>
      <w:pPr>
        <w:pStyle w:val="39"/>
        <w:spacing w:line="240" w:lineRule="auto"/>
        <w:rPr>
          <w:rFonts w:ascii="Times New Roman" w:hAnsi="Times New Roman" w:eastAsia="方正黑体_GBK" w:cs="方正黑体_GBK"/>
          <w:szCs w:val="32"/>
        </w:rPr>
      </w:pPr>
    </w:p>
    <w:p>
      <w:pPr>
        <w:pStyle w:val="39"/>
        <w:spacing w:line="240" w:lineRule="auto"/>
        <w:rPr>
          <w:rFonts w:ascii="Times New Roman" w:hAnsi="Times New Roman" w:eastAsia="方正黑体_GBK" w:cs="方正黑体_GBK"/>
          <w:szCs w:val="32"/>
        </w:rPr>
      </w:pPr>
    </w:p>
    <w:p>
      <w:pPr>
        <w:pStyle w:val="39"/>
        <w:spacing w:line="240" w:lineRule="auto"/>
        <w:rPr>
          <w:rFonts w:ascii="Times New Roman" w:hAnsi="Times New Roman" w:eastAsia="方正黑体_GBK" w:cs="方正黑体_GBK"/>
          <w:szCs w:val="32"/>
        </w:rPr>
      </w:pPr>
    </w:p>
    <w:p>
      <w:pPr>
        <w:pStyle w:val="39"/>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黑体_GBK" w:cs="方正黑体_GBK"/>
          <w:szCs w:val="32"/>
        </w:rPr>
      </w:pPr>
    </w:p>
    <w:p>
      <w:pPr>
        <w:pStyle w:val="39"/>
        <w:spacing w:line="240" w:lineRule="auto"/>
        <w:rPr>
          <w:rFonts w:ascii="Times New Roman" w:hAnsi="Times New Roman" w:eastAsia="方正黑体_GBK" w:cs="方正黑体_GBK"/>
          <w:szCs w:val="32"/>
        </w:rPr>
      </w:pPr>
    </w:p>
    <w:p>
      <w:pPr>
        <w:pStyle w:val="39"/>
        <w:spacing w:line="240" w:lineRule="auto"/>
        <w:rPr>
          <w:rFonts w:ascii="Times New Roman" w:hAnsi="Times New Roman" w:eastAsia="方正黑体_GBK" w:cs="方正黑体_GBK"/>
          <w:szCs w:val="32"/>
        </w:rPr>
      </w:pPr>
    </w:p>
    <w:p>
      <w:pPr>
        <w:pStyle w:val="39"/>
        <w:spacing w:line="240" w:lineRule="auto"/>
        <w:rPr>
          <w:rFonts w:ascii="Times New Roman" w:hAnsi="Times New Roman" w:eastAsia="方正黑体_GBK" w:cs="方正黑体_GBK"/>
          <w:szCs w:val="32"/>
        </w:rPr>
      </w:pPr>
    </w:p>
    <w:p>
      <w:pPr>
        <w:pStyle w:val="39"/>
        <w:spacing w:line="240" w:lineRule="auto"/>
        <w:rPr>
          <w:rFonts w:ascii="Times New Roman" w:hAnsi="Times New Roman" w:eastAsia="方正黑体_GBK" w:cs="方正黑体_GBK"/>
          <w:szCs w:val="32"/>
        </w:rPr>
      </w:pPr>
    </w:p>
    <w:p>
      <w:pPr>
        <w:pStyle w:val="39"/>
        <w:spacing w:line="240" w:lineRule="auto"/>
        <w:rPr>
          <w:rFonts w:ascii="Times New Roman" w:hAnsi="Times New Roman" w:eastAsia="方正黑体_GBK" w:cs="方正黑体_GBK"/>
          <w:szCs w:val="32"/>
        </w:rPr>
      </w:pPr>
    </w:p>
    <w:sectPr>
      <w:footerReference r:id="rId6" w:type="default"/>
      <w:pgSz w:w="11906" w:h="16838"/>
      <w:pgMar w:top="2098" w:right="1361" w:bottom="1701" w:left="136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- 30 -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r1Npk7IB&#10;AABOAwAADgAAAAAAAAABACAAAAAeAQAAZHJzL2Uyb0RvYy54bWxQSwUGAAAAAAYABgBZAQAAQgUA&#10;AAAA&#10;">
              <v:fill on="f" focussize="0,0"/>
              <v:stroke on="f"/>
              <v:imagedata o:title=""/>
              <o:lock v:ext="edit" aspectratio="f"/>
              <v:textbox inset="0mm,0mm,0mm,0mm" style="mso-fit-shape-to-text:t;">
                <w:txbxContent>
                  <w:p>
                    <w:pPr>
                      <w:pStyle w:val="9"/>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- 30 -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H7nTJsQEA&#10;AE4DAAAOAAAAAAAAAAEAIAAAAB4BAABkcnMvZTJvRG9jLnhtbFBLBQYAAAAABgAGAFkBAABBBQAA&#10;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keepNext w:val="0"/>
        <w:keepLines w:val="0"/>
        <w:pageBreakBefore w:val="0"/>
        <w:widowControl w:val="0"/>
        <w:kinsoku/>
        <w:wordWrap/>
        <w:overflowPunct/>
        <w:topLinePunct w:val="0"/>
        <w:autoSpaceDE/>
        <w:autoSpaceDN/>
        <w:bidi w:val="0"/>
        <w:adjustRightInd/>
        <w:snapToGrid w:val="0"/>
        <w:spacing w:line="240" w:lineRule="exact"/>
        <w:textAlignment w:val="auto"/>
        <w:rPr>
          <w:sz w:val="20"/>
          <w:szCs w:val="20"/>
        </w:rPr>
      </w:pPr>
      <w:r>
        <w:rPr>
          <w:rStyle w:val="25"/>
          <w:sz w:val="20"/>
          <w:szCs w:val="20"/>
        </w:rPr>
        <w:footnoteRef/>
      </w:r>
      <w:r>
        <w:rPr>
          <w:sz w:val="20"/>
          <w:szCs w:val="20"/>
        </w:rPr>
        <w:t xml:space="preserve"> </w:t>
      </w:r>
      <w:r>
        <w:rPr>
          <w:rStyle w:val="45"/>
          <w:rFonts w:hint="eastAsia" w:ascii="Times New Roman" w:hAnsi="Times New Roman" w:eastAsia="方正仿宋_GBK" w:cs="Times New Roman"/>
          <w:color w:val="000000"/>
          <w:sz w:val="20"/>
          <w:szCs w:val="20"/>
        </w:rPr>
        <w:t>即区域协同发展体系、现代产业体系、高品质城市空间体系、产学研协同创新体系、高标准市场体系、全域人文体系、绿色发展体系、全民全生命周期管理的民生保障和现代社会治理体系。</w:t>
      </w:r>
    </w:p>
  </w:footnote>
  <w:footnote w:id="1">
    <w:p>
      <w:pPr>
        <w:pStyle w:val="12"/>
        <w:keepNext w:val="0"/>
        <w:keepLines w:val="0"/>
        <w:pageBreakBefore w:val="0"/>
        <w:widowControl w:val="0"/>
        <w:kinsoku/>
        <w:wordWrap/>
        <w:overflowPunct/>
        <w:topLinePunct w:val="0"/>
        <w:autoSpaceDE/>
        <w:autoSpaceDN/>
        <w:bidi w:val="0"/>
        <w:adjustRightInd/>
        <w:snapToGrid w:val="0"/>
        <w:spacing w:line="240" w:lineRule="exact"/>
        <w:textAlignment w:val="auto"/>
        <w:rPr>
          <w:rFonts w:ascii="Times New Roman" w:hAnsi="Times New Roman" w:eastAsia="方正仿宋_GBK" w:cs="Times New Roman"/>
          <w:sz w:val="21"/>
          <w:szCs w:val="21"/>
        </w:rPr>
      </w:pPr>
      <w:r>
        <w:rPr>
          <w:rStyle w:val="25"/>
          <w:rFonts w:ascii="Times New Roman" w:hAnsi="Times New Roman" w:eastAsia="方正仿宋_GBK" w:cs="Times New Roman"/>
          <w:sz w:val="20"/>
          <w:szCs w:val="20"/>
        </w:rPr>
        <w:footnoteRef/>
      </w:r>
      <w:r>
        <w:rPr>
          <w:rStyle w:val="45"/>
          <w:rFonts w:ascii="Times New Roman" w:hAnsi="Times New Roman" w:eastAsia="方正仿宋_GBK" w:cs="Times New Roman"/>
          <w:color w:val="000000"/>
          <w:sz w:val="20"/>
          <w:szCs w:val="20"/>
        </w:rPr>
        <w:t>围绕建设具有全球影响力的新材料高地、世界级运动康养旅游目的地、中国长寿生命科学城3个专项，</w:t>
      </w:r>
      <w:r>
        <w:rPr>
          <w:rStyle w:val="45"/>
          <w:rFonts w:hint="eastAsia" w:ascii="Times New Roman" w:hAnsi="Times New Roman" w:eastAsia="方正仿宋_GBK" w:cs="Times New Roman"/>
          <w:color w:val="000000"/>
          <w:sz w:val="20"/>
          <w:szCs w:val="20"/>
        </w:rPr>
        <w:t>形成每个专项10个特别重大项目、100个重大项目，总投资3000亿元的大发展格局</w:t>
      </w:r>
      <w:r>
        <w:rPr>
          <w:rStyle w:val="45"/>
          <w:rFonts w:ascii="Times New Roman" w:hAnsi="Times New Roman" w:eastAsia="方正仿宋_GBK" w:cs="Times New Roman"/>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A57F9"/>
    <w:rsid w:val="00040846"/>
    <w:rsid w:val="00051BA2"/>
    <w:rsid w:val="00054714"/>
    <w:rsid w:val="0006081A"/>
    <w:rsid w:val="000B1BE5"/>
    <w:rsid w:val="000B69B3"/>
    <w:rsid w:val="000E5F23"/>
    <w:rsid w:val="001514B6"/>
    <w:rsid w:val="00154099"/>
    <w:rsid w:val="001805C0"/>
    <w:rsid w:val="001A7EB1"/>
    <w:rsid w:val="001C6DD1"/>
    <w:rsid w:val="00224708"/>
    <w:rsid w:val="002D1702"/>
    <w:rsid w:val="002E0184"/>
    <w:rsid w:val="00340FE9"/>
    <w:rsid w:val="00352FCA"/>
    <w:rsid w:val="003563E6"/>
    <w:rsid w:val="0037538D"/>
    <w:rsid w:val="003B6244"/>
    <w:rsid w:val="0043316B"/>
    <w:rsid w:val="004F158C"/>
    <w:rsid w:val="00524330"/>
    <w:rsid w:val="005532E0"/>
    <w:rsid w:val="0059426A"/>
    <w:rsid w:val="005A39D4"/>
    <w:rsid w:val="005C5074"/>
    <w:rsid w:val="005E55D1"/>
    <w:rsid w:val="0066497D"/>
    <w:rsid w:val="00672D9E"/>
    <w:rsid w:val="00687497"/>
    <w:rsid w:val="006B6E93"/>
    <w:rsid w:val="006E40F7"/>
    <w:rsid w:val="007214FC"/>
    <w:rsid w:val="00740EDB"/>
    <w:rsid w:val="00741320"/>
    <w:rsid w:val="0079471C"/>
    <w:rsid w:val="007B498A"/>
    <w:rsid w:val="007C284D"/>
    <w:rsid w:val="0087792E"/>
    <w:rsid w:val="008850D1"/>
    <w:rsid w:val="008A483B"/>
    <w:rsid w:val="008A53CB"/>
    <w:rsid w:val="009279E9"/>
    <w:rsid w:val="0094478B"/>
    <w:rsid w:val="00957484"/>
    <w:rsid w:val="009B79CE"/>
    <w:rsid w:val="009C7644"/>
    <w:rsid w:val="00A662DF"/>
    <w:rsid w:val="00AD5855"/>
    <w:rsid w:val="00AD7AFB"/>
    <w:rsid w:val="00AF2496"/>
    <w:rsid w:val="00AF2BA4"/>
    <w:rsid w:val="00B53454"/>
    <w:rsid w:val="00B6645A"/>
    <w:rsid w:val="00BB7FE4"/>
    <w:rsid w:val="00BD57EE"/>
    <w:rsid w:val="00BE6A5E"/>
    <w:rsid w:val="00C03267"/>
    <w:rsid w:val="00C67013"/>
    <w:rsid w:val="00C70CE2"/>
    <w:rsid w:val="00C96A09"/>
    <w:rsid w:val="00C97C31"/>
    <w:rsid w:val="00D37DA0"/>
    <w:rsid w:val="00D4643F"/>
    <w:rsid w:val="00D47444"/>
    <w:rsid w:val="00D56E98"/>
    <w:rsid w:val="00DB34AB"/>
    <w:rsid w:val="00DD0C1B"/>
    <w:rsid w:val="00DD6B54"/>
    <w:rsid w:val="00DE672D"/>
    <w:rsid w:val="00E27871"/>
    <w:rsid w:val="00E466FC"/>
    <w:rsid w:val="00E55DA2"/>
    <w:rsid w:val="00EA582F"/>
    <w:rsid w:val="00EB61EA"/>
    <w:rsid w:val="00EB62F9"/>
    <w:rsid w:val="00EC6561"/>
    <w:rsid w:val="00FA79DA"/>
    <w:rsid w:val="00FD2744"/>
    <w:rsid w:val="010008A7"/>
    <w:rsid w:val="010162C9"/>
    <w:rsid w:val="01085AE7"/>
    <w:rsid w:val="011A4FDE"/>
    <w:rsid w:val="01272D67"/>
    <w:rsid w:val="01274DC0"/>
    <w:rsid w:val="012B7EF2"/>
    <w:rsid w:val="012E7819"/>
    <w:rsid w:val="013050AC"/>
    <w:rsid w:val="013F50BA"/>
    <w:rsid w:val="0141487D"/>
    <w:rsid w:val="01442F6F"/>
    <w:rsid w:val="01471206"/>
    <w:rsid w:val="014962F9"/>
    <w:rsid w:val="014A0BEC"/>
    <w:rsid w:val="014A50CD"/>
    <w:rsid w:val="01522E93"/>
    <w:rsid w:val="01632E40"/>
    <w:rsid w:val="016624ED"/>
    <w:rsid w:val="01670635"/>
    <w:rsid w:val="01872EF8"/>
    <w:rsid w:val="018B4B1E"/>
    <w:rsid w:val="018C412E"/>
    <w:rsid w:val="018D08A9"/>
    <w:rsid w:val="01A068CF"/>
    <w:rsid w:val="01A33B2A"/>
    <w:rsid w:val="01A6177F"/>
    <w:rsid w:val="01B00D57"/>
    <w:rsid w:val="01B57502"/>
    <w:rsid w:val="01BC30B6"/>
    <w:rsid w:val="01C36377"/>
    <w:rsid w:val="01C52227"/>
    <w:rsid w:val="01CE1193"/>
    <w:rsid w:val="01D830C7"/>
    <w:rsid w:val="01D87496"/>
    <w:rsid w:val="01DA7868"/>
    <w:rsid w:val="01E4406B"/>
    <w:rsid w:val="01FB31A2"/>
    <w:rsid w:val="01FC35EE"/>
    <w:rsid w:val="0203694E"/>
    <w:rsid w:val="020B6952"/>
    <w:rsid w:val="020C6541"/>
    <w:rsid w:val="020D6FC9"/>
    <w:rsid w:val="02143262"/>
    <w:rsid w:val="021C7B9F"/>
    <w:rsid w:val="021F4B1C"/>
    <w:rsid w:val="022553A9"/>
    <w:rsid w:val="02275933"/>
    <w:rsid w:val="022F6A98"/>
    <w:rsid w:val="0232173C"/>
    <w:rsid w:val="02354D56"/>
    <w:rsid w:val="023921EA"/>
    <w:rsid w:val="02473B60"/>
    <w:rsid w:val="025906A4"/>
    <w:rsid w:val="025F1C6D"/>
    <w:rsid w:val="025F3A94"/>
    <w:rsid w:val="026346D7"/>
    <w:rsid w:val="026B5C5E"/>
    <w:rsid w:val="026D16DD"/>
    <w:rsid w:val="02730C3D"/>
    <w:rsid w:val="027A5714"/>
    <w:rsid w:val="0281366A"/>
    <w:rsid w:val="02827A9D"/>
    <w:rsid w:val="028C4AD0"/>
    <w:rsid w:val="028D7CC3"/>
    <w:rsid w:val="02974D8C"/>
    <w:rsid w:val="029C1412"/>
    <w:rsid w:val="029E094F"/>
    <w:rsid w:val="02A34E3C"/>
    <w:rsid w:val="02A91E3F"/>
    <w:rsid w:val="02B3219B"/>
    <w:rsid w:val="02BA4B4E"/>
    <w:rsid w:val="02C93CF5"/>
    <w:rsid w:val="02CC776D"/>
    <w:rsid w:val="02CD4E7A"/>
    <w:rsid w:val="02D77316"/>
    <w:rsid w:val="02ED7C66"/>
    <w:rsid w:val="02FD4BD6"/>
    <w:rsid w:val="03152AE1"/>
    <w:rsid w:val="031E0AF0"/>
    <w:rsid w:val="03210EAF"/>
    <w:rsid w:val="03210F4D"/>
    <w:rsid w:val="032C20CB"/>
    <w:rsid w:val="03353F78"/>
    <w:rsid w:val="03360CCC"/>
    <w:rsid w:val="03373090"/>
    <w:rsid w:val="03383D29"/>
    <w:rsid w:val="035B0FA4"/>
    <w:rsid w:val="035F648A"/>
    <w:rsid w:val="036178F0"/>
    <w:rsid w:val="03676518"/>
    <w:rsid w:val="03693385"/>
    <w:rsid w:val="036B6A44"/>
    <w:rsid w:val="03786364"/>
    <w:rsid w:val="037A66B6"/>
    <w:rsid w:val="038B0F37"/>
    <w:rsid w:val="03952BFC"/>
    <w:rsid w:val="039E3599"/>
    <w:rsid w:val="03A45E6E"/>
    <w:rsid w:val="03B416D7"/>
    <w:rsid w:val="03B62317"/>
    <w:rsid w:val="03BD7138"/>
    <w:rsid w:val="03C067D8"/>
    <w:rsid w:val="03C85F98"/>
    <w:rsid w:val="03CB1C42"/>
    <w:rsid w:val="03D26960"/>
    <w:rsid w:val="03E000EC"/>
    <w:rsid w:val="03E92034"/>
    <w:rsid w:val="03FD6A66"/>
    <w:rsid w:val="03FE0E95"/>
    <w:rsid w:val="03FF1506"/>
    <w:rsid w:val="04042795"/>
    <w:rsid w:val="040658EC"/>
    <w:rsid w:val="040E5940"/>
    <w:rsid w:val="0422740F"/>
    <w:rsid w:val="04236A46"/>
    <w:rsid w:val="04340228"/>
    <w:rsid w:val="04360A69"/>
    <w:rsid w:val="04375C8C"/>
    <w:rsid w:val="043C5F0F"/>
    <w:rsid w:val="04491D51"/>
    <w:rsid w:val="044A1A0F"/>
    <w:rsid w:val="044A48C7"/>
    <w:rsid w:val="045A6266"/>
    <w:rsid w:val="045D4520"/>
    <w:rsid w:val="04601189"/>
    <w:rsid w:val="04722E73"/>
    <w:rsid w:val="047F6468"/>
    <w:rsid w:val="0482577D"/>
    <w:rsid w:val="04A4509F"/>
    <w:rsid w:val="04AE5DAB"/>
    <w:rsid w:val="04BB3C5A"/>
    <w:rsid w:val="04BB7A45"/>
    <w:rsid w:val="04C618A3"/>
    <w:rsid w:val="04C973A1"/>
    <w:rsid w:val="04CB45D8"/>
    <w:rsid w:val="04CC2E79"/>
    <w:rsid w:val="04D37062"/>
    <w:rsid w:val="04E12D4F"/>
    <w:rsid w:val="04E95220"/>
    <w:rsid w:val="04ED12F5"/>
    <w:rsid w:val="04ED1354"/>
    <w:rsid w:val="04F20EA6"/>
    <w:rsid w:val="04F73D97"/>
    <w:rsid w:val="04F96251"/>
    <w:rsid w:val="04FE1814"/>
    <w:rsid w:val="0503300F"/>
    <w:rsid w:val="05111DAD"/>
    <w:rsid w:val="0513752C"/>
    <w:rsid w:val="05197426"/>
    <w:rsid w:val="0526421A"/>
    <w:rsid w:val="05270CA1"/>
    <w:rsid w:val="0531646A"/>
    <w:rsid w:val="05360735"/>
    <w:rsid w:val="053869C7"/>
    <w:rsid w:val="053D7261"/>
    <w:rsid w:val="053F028F"/>
    <w:rsid w:val="054634EE"/>
    <w:rsid w:val="0547440D"/>
    <w:rsid w:val="05482F69"/>
    <w:rsid w:val="054F7DF4"/>
    <w:rsid w:val="05517469"/>
    <w:rsid w:val="05566288"/>
    <w:rsid w:val="05610365"/>
    <w:rsid w:val="05611088"/>
    <w:rsid w:val="05615797"/>
    <w:rsid w:val="0570121B"/>
    <w:rsid w:val="05767A94"/>
    <w:rsid w:val="057A2756"/>
    <w:rsid w:val="057A5A9C"/>
    <w:rsid w:val="057C40F4"/>
    <w:rsid w:val="05800E1D"/>
    <w:rsid w:val="059806BE"/>
    <w:rsid w:val="05A30C85"/>
    <w:rsid w:val="05AE3B86"/>
    <w:rsid w:val="05B37228"/>
    <w:rsid w:val="05C22082"/>
    <w:rsid w:val="05C558BD"/>
    <w:rsid w:val="05C62351"/>
    <w:rsid w:val="05E825F8"/>
    <w:rsid w:val="05EA7A90"/>
    <w:rsid w:val="05EC679C"/>
    <w:rsid w:val="05ED1548"/>
    <w:rsid w:val="05F32AB6"/>
    <w:rsid w:val="05FB5AE9"/>
    <w:rsid w:val="06046BDB"/>
    <w:rsid w:val="060C6AD8"/>
    <w:rsid w:val="060D1EC7"/>
    <w:rsid w:val="06184FAE"/>
    <w:rsid w:val="061B3405"/>
    <w:rsid w:val="062A2DC6"/>
    <w:rsid w:val="06366BDE"/>
    <w:rsid w:val="0642159A"/>
    <w:rsid w:val="06453AFB"/>
    <w:rsid w:val="064C4FAD"/>
    <w:rsid w:val="065342AA"/>
    <w:rsid w:val="065E223F"/>
    <w:rsid w:val="065F25C8"/>
    <w:rsid w:val="06671E2D"/>
    <w:rsid w:val="066D6BF5"/>
    <w:rsid w:val="066D7A05"/>
    <w:rsid w:val="0682147E"/>
    <w:rsid w:val="068D344E"/>
    <w:rsid w:val="06920C63"/>
    <w:rsid w:val="06977D3E"/>
    <w:rsid w:val="06A26D09"/>
    <w:rsid w:val="06A7648E"/>
    <w:rsid w:val="06A94585"/>
    <w:rsid w:val="06AF03C7"/>
    <w:rsid w:val="06AF3632"/>
    <w:rsid w:val="06B22C3E"/>
    <w:rsid w:val="06B82745"/>
    <w:rsid w:val="06BA1DE6"/>
    <w:rsid w:val="06C60FBA"/>
    <w:rsid w:val="06E83CC7"/>
    <w:rsid w:val="06ED7DED"/>
    <w:rsid w:val="06F53464"/>
    <w:rsid w:val="070D4B3D"/>
    <w:rsid w:val="071362B6"/>
    <w:rsid w:val="07170E2F"/>
    <w:rsid w:val="07300FB1"/>
    <w:rsid w:val="07314AD0"/>
    <w:rsid w:val="073A64E6"/>
    <w:rsid w:val="074B66D5"/>
    <w:rsid w:val="07543683"/>
    <w:rsid w:val="07564C57"/>
    <w:rsid w:val="076C4874"/>
    <w:rsid w:val="076C50A9"/>
    <w:rsid w:val="077E1D02"/>
    <w:rsid w:val="07814D0E"/>
    <w:rsid w:val="07824C6E"/>
    <w:rsid w:val="078F310D"/>
    <w:rsid w:val="07912931"/>
    <w:rsid w:val="079474B3"/>
    <w:rsid w:val="079647E5"/>
    <w:rsid w:val="07970635"/>
    <w:rsid w:val="0799570D"/>
    <w:rsid w:val="079E0931"/>
    <w:rsid w:val="07A56F49"/>
    <w:rsid w:val="07AB5284"/>
    <w:rsid w:val="07AD5030"/>
    <w:rsid w:val="07B74409"/>
    <w:rsid w:val="07B8662B"/>
    <w:rsid w:val="07CA043C"/>
    <w:rsid w:val="07D855F5"/>
    <w:rsid w:val="07FB3798"/>
    <w:rsid w:val="07FF10D5"/>
    <w:rsid w:val="08044161"/>
    <w:rsid w:val="080864BC"/>
    <w:rsid w:val="08246037"/>
    <w:rsid w:val="082F7AB0"/>
    <w:rsid w:val="0845107C"/>
    <w:rsid w:val="084D3B21"/>
    <w:rsid w:val="084E547E"/>
    <w:rsid w:val="08550FFE"/>
    <w:rsid w:val="08585C39"/>
    <w:rsid w:val="0861094D"/>
    <w:rsid w:val="0861304B"/>
    <w:rsid w:val="08626CDD"/>
    <w:rsid w:val="08631810"/>
    <w:rsid w:val="08681242"/>
    <w:rsid w:val="087279A9"/>
    <w:rsid w:val="087909AE"/>
    <w:rsid w:val="08791A26"/>
    <w:rsid w:val="087A1887"/>
    <w:rsid w:val="08852226"/>
    <w:rsid w:val="0886070E"/>
    <w:rsid w:val="0890533E"/>
    <w:rsid w:val="089137CD"/>
    <w:rsid w:val="08A32C36"/>
    <w:rsid w:val="08B34806"/>
    <w:rsid w:val="08B3775E"/>
    <w:rsid w:val="08B91348"/>
    <w:rsid w:val="08BC6723"/>
    <w:rsid w:val="08BD37AA"/>
    <w:rsid w:val="08C60CC5"/>
    <w:rsid w:val="08C76266"/>
    <w:rsid w:val="08D93BCB"/>
    <w:rsid w:val="08DF49BA"/>
    <w:rsid w:val="08E61308"/>
    <w:rsid w:val="08E6468C"/>
    <w:rsid w:val="08F0689B"/>
    <w:rsid w:val="08F5422F"/>
    <w:rsid w:val="08FA44BA"/>
    <w:rsid w:val="08FB6BAB"/>
    <w:rsid w:val="0905358B"/>
    <w:rsid w:val="090F3FF8"/>
    <w:rsid w:val="09131581"/>
    <w:rsid w:val="09144963"/>
    <w:rsid w:val="09274735"/>
    <w:rsid w:val="09291515"/>
    <w:rsid w:val="092F2AE2"/>
    <w:rsid w:val="093357CD"/>
    <w:rsid w:val="0942612E"/>
    <w:rsid w:val="09460266"/>
    <w:rsid w:val="094D5E2E"/>
    <w:rsid w:val="095467FC"/>
    <w:rsid w:val="095F5E05"/>
    <w:rsid w:val="09607C1E"/>
    <w:rsid w:val="096530EE"/>
    <w:rsid w:val="09665DB8"/>
    <w:rsid w:val="096A3114"/>
    <w:rsid w:val="09714E16"/>
    <w:rsid w:val="09851EC7"/>
    <w:rsid w:val="099D5B26"/>
    <w:rsid w:val="09A422AD"/>
    <w:rsid w:val="09A64DB6"/>
    <w:rsid w:val="09B75C1D"/>
    <w:rsid w:val="09BB14F7"/>
    <w:rsid w:val="09CE57EB"/>
    <w:rsid w:val="09CE5BF8"/>
    <w:rsid w:val="09E00E11"/>
    <w:rsid w:val="09E10F70"/>
    <w:rsid w:val="09F14F0B"/>
    <w:rsid w:val="09FD5CAD"/>
    <w:rsid w:val="09FF776C"/>
    <w:rsid w:val="0A0E4619"/>
    <w:rsid w:val="0A0F1C0A"/>
    <w:rsid w:val="0A1766F0"/>
    <w:rsid w:val="0A1C0A98"/>
    <w:rsid w:val="0A1C3FDE"/>
    <w:rsid w:val="0A251CE8"/>
    <w:rsid w:val="0A2B1003"/>
    <w:rsid w:val="0A2D6A84"/>
    <w:rsid w:val="0A327B3B"/>
    <w:rsid w:val="0A3579FD"/>
    <w:rsid w:val="0A3C55BE"/>
    <w:rsid w:val="0A3F10C4"/>
    <w:rsid w:val="0A4656FA"/>
    <w:rsid w:val="0A505F0E"/>
    <w:rsid w:val="0A622FFC"/>
    <w:rsid w:val="0A6A3E95"/>
    <w:rsid w:val="0A6B69A6"/>
    <w:rsid w:val="0A6D3C4A"/>
    <w:rsid w:val="0A775D4F"/>
    <w:rsid w:val="0A83092C"/>
    <w:rsid w:val="0A8D31E9"/>
    <w:rsid w:val="0A9636DF"/>
    <w:rsid w:val="0A9F012F"/>
    <w:rsid w:val="0AA065A4"/>
    <w:rsid w:val="0AB745A2"/>
    <w:rsid w:val="0AC8673C"/>
    <w:rsid w:val="0AD44E95"/>
    <w:rsid w:val="0AD6278D"/>
    <w:rsid w:val="0AE70E15"/>
    <w:rsid w:val="0AF11E04"/>
    <w:rsid w:val="0AFB0DDF"/>
    <w:rsid w:val="0B080421"/>
    <w:rsid w:val="0B0853EB"/>
    <w:rsid w:val="0B1042CE"/>
    <w:rsid w:val="0B1365A9"/>
    <w:rsid w:val="0B31102F"/>
    <w:rsid w:val="0B3A5105"/>
    <w:rsid w:val="0B3A703E"/>
    <w:rsid w:val="0B3B224A"/>
    <w:rsid w:val="0B3E7840"/>
    <w:rsid w:val="0B424925"/>
    <w:rsid w:val="0B450D35"/>
    <w:rsid w:val="0B483401"/>
    <w:rsid w:val="0B4A5100"/>
    <w:rsid w:val="0B542CD4"/>
    <w:rsid w:val="0B587C78"/>
    <w:rsid w:val="0B605B2E"/>
    <w:rsid w:val="0B6577C4"/>
    <w:rsid w:val="0B6A6BB7"/>
    <w:rsid w:val="0B6E572F"/>
    <w:rsid w:val="0B7309D5"/>
    <w:rsid w:val="0B7B0ECB"/>
    <w:rsid w:val="0B8A3FA0"/>
    <w:rsid w:val="0B8B2FA2"/>
    <w:rsid w:val="0B944413"/>
    <w:rsid w:val="0B996886"/>
    <w:rsid w:val="0B9D022C"/>
    <w:rsid w:val="0BA868E5"/>
    <w:rsid w:val="0BAB0D84"/>
    <w:rsid w:val="0BB75DF0"/>
    <w:rsid w:val="0BD303AC"/>
    <w:rsid w:val="0BE75FAB"/>
    <w:rsid w:val="0BED5985"/>
    <w:rsid w:val="0BEE2E8B"/>
    <w:rsid w:val="0BEE3658"/>
    <w:rsid w:val="0BF212D7"/>
    <w:rsid w:val="0BF37FEC"/>
    <w:rsid w:val="0BFF781B"/>
    <w:rsid w:val="0C096440"/>
    <w:rsid w:val="0C1009DF"/>
    <w:rsid w:val="0C1036B1"/>
    <w:rsid w:val="0C150479"/>
    <w:rsid w:val="0C19620F"/>
    <w:rsid w:val="0C1D247C"/>
    <w:rsid w:val="0C2C1C2C"/>
    <w:rsid w:val="0C397B34"/>
    <w:rsid w:val="0C4756FF"/>
    <w:rsid w:val="0C4871B9"/>
    <w:rsid w:val="0C4E1FC4"/>
    <w:rsid w:val="0C513718"/>
    <w:rsid w:val="0C56799C"/>
    <w:rsid w:val="0C583E79"/>
    <w:rsid w:val="0C5C25E5"/>
    <w:rsid w:val="0C6319B2"/>
    <w:rsid w:val="0C6C256D"/>
    <w:rsid w:val="0C6C7092"/>
    <w:rsid w:val="0C6D7BD5"/>
    <w:rsid w:val="0C753739"/>
    <w:rsid w:val="0C7B4F96"/>
    <w:rsid w:val="0C8756CB"/>
    <w:rsid w:val="0C891A5D"/>
    <w:rsid w:val="0C891C3E"/>
    <w:rsid w:val="0C8F6FA3"/>
    <w:rsid w:val="0C947CC1"/>
    <w:rsid w:val="0C9C504A"/>
    <w:rsid w:val="0C9C5605"/>
    <w:rsid w:val="0CA40F0A"/>
    <w:rsid w:val="0CA6420C"/>
    <w:rsid w:val="0CB151A7"/>
    <w:rsid w:val="0CB856E4"/>
    <w:rsid w:val="0CBD39A9"/>
    <w:rsid w:val="0CCD78C2"/>
    <w:rsid w:val="0CCF696A"/>
    <w:rsid w:val="0CE0668F"/>
    <w:rsid w:val="0CEF00F0"/>
    <w:rsid w:val="0CF9656F"/>
    <w:rsid w:val="0CFD37DA"/>
    <w:rsid w:val="0D0C0F81"/>
    <w:rsid w:val="0D183585"/>
    <w:rsid w:val="0D1C6AA4"/>
    <w:rsid w:val="0D207F37"/>
    <w:rsid w:val="0D3A0ABE"/>
    <w:rsid w:val="0D441F30"/>
    <w:rsid w:val="0D4752F3"/>
    <w:rsid w:val="0D4A06E4"/>
    <w:rsid w:val="0D4A549A"/>
    <w:rsid w:val="0D5217B5"/>
    <w:rsid w:val="0D5427EE"/>
    <w:rsid w:val="0D583D95"/>
    <w:rsid w:val="0D616AC7"/>
    <w:rsid w:val="0D781C96"/>
    <w:rsid w:val="0D7A1FB4"/>
    <w:rsid w:val="0D7D23E6"/>
    <w:rsid w:val="0D7E5E98"/>
    <w:rsid w:val="0D7F5EAD"/>
    <w:rsid w:val="0DA34532"/>
    <w:rsid w:val="0DA35B9E"/>
    <w:rsid w:val="0DAC44F0"/>
    <w:rsid w:val="0DAD7765"/>
    <w:rsid w:val="0DB47296"/>
    <w:rsid w:val="0DBC20DA"/>
    <w:rsid w:val="0DCC6C77"/>
    <w:rsid w:val="0DD27448"/>
    <w:rsid w:val="0DE3367D"/>
    <w:rsid w:val="0DE8256C"/>
    <w:rsid w:val="0DEA17CA"/>
    <w:rsid w:val="0DF02D20"/>
    <w:rsid w:val="0DF52E6C"/>
    <w:rsid w:val="0DFA5A78"/>
    <w:rsid w:val="0DFE2BD7"/>
    <w:rsid w:val="0E010382"/>
    <w:rsid w:val="0E087AB0"/>
    <w:rsid w:val="0E0B38C0"/>
    <w:rsid w:val="0E100C03"/>
    <w:rsid w:val="0E106CC9"/>
    <w:rsid w:val="0E186329"/>
    <w:rsid w:val="0E186BF5"/>
    <w:rsid w:val="0E23634A"/>
    <w:rsid w:val="0E3425F9"/>
    <w:rsid w:val="0E39541C"/>
    <w:rsid w:val="0E4846C1"/>
    <w:rsid w:val="0E495164"/>
    <w:rsid w:val="0E53779D"/>
    <w:rsid w:val="0E582BEB"/>
    <w:rsid w:val="0E5B5A2C"/>
    <w:rsid w:val="0E76252B"/>
    <w:rsid w:val="0E770A9A"/>
    <w:rsid w:val="0E7A238B"/>
    <w:rsid w:val="0E7B3236"/>
    <w:rsid w:val="0E7D72CA"/>
    <w:rsid w:val="0E8B5EBB"/>
    <w:rsid w:val="0E8E29E1"/>
    <w:rsid w:val="0E8E2E92"/>
    <w:rsid w:val="0E900F65"/>
    <w:rsid w:val="0E9D3E16"/>
    <w:rsid w:val="0E9F7A6E"/>
    <w:rsid w:val="0EA5505A"/>
    <w:rsid w:val="0EAB228A"/>
    <w:rsid w:val="0EAF5061"/>
    <w:rsid w:val="0EB63EFF"/>
    <w:rsid w:val="0EC57E52"/>
    <w:rsid w:val="0EC6288D"/>
    <w:rsid w:val="0EC84F6B"/>
    <w:rsid w:val="0ED2623D"/>
    <w:rsid w:val="0EDF5FE2"/>
    <w:rsid w:val="0EE669EF"/>
    <w:rsid w:val="0EED501E"/>
    <w:rsid w:val="0EF42A6D"/>
    <w:rsid w:val="0EF96E1D"/>
    <w:rsid w:val="0EFA7E70"/>
    <w:rsid w:val="0F0F7628"/>
    <w:rsid w:val="0F124313"/>
    <w:rsid w:val="0F14147A"/>
    <w:rsid w:val="0F212739"/>
    <w:rsid w:val="0F2B24D6"/>
    <w:rsid w:val="0F470D1C"/>
    <w:rsid w:val="0F4C3F63"/>
    <w:rsid w:val="0F4D1960"/>
    <w:rsid w:val="0F5C7EBD"/>
    <w:rsid w:val="0F5D0466"/>
    <w:rsid w:val="0F613B7B"/>
    <w:rsid w:val="0F6B6303"/>
    <w:rsid w:val="0F6D3868"/>
    <w:rsid w:val="0F755B31"/>
    <w:rsid w:val="0F7F519F"/>
    <w:rsid w:val="0F87288C"/>
    <w:rsid w:val="0F891873"/>
    <w:rsid w:val="0F8D1B8C"/>
    <w:rsid w:val="0F8E52E3"/>
    <w:rsid w:val="0F960A30"/>
    <w:rsid w:val="0F9D1889"/>
    <w:rsid w:val="0F9E0B39"/>
    <w:rsid w:val="0FA078A4"/>
    <w:rsid w:val="0FA57469"/>
    <w:rsid w:val="0FA632A0"/>
    <w:rsid w:val="0FAA091A"/>
    <w:rsid w:val="0FAC792A"/>
    <w:rsid w:val="0FB70800"/>
    <w:rsid w:val="0FB731B6"/>
    <w:rsid w:val="0FD96067"/>
    <w:rsid w:val="0FE57004"/>
    <w:rsid w:val="0FEA7796"/>
    <w:rsid w:val="0FEC2920"/>
    <w:rsid w:val="0FEC5EAB"/>
    <w:rsid w:val="0FF63B09"/>
    <w:rsid w:val="0FFD404E"/>
    <w:rsid w:val="0FFF21F4"/>
    <w:rsid w:val="10020917"/>
    <w:rsid w:val="102206FC"/>
    <w:rsid w:val="102208B3"/>
    <w:rsid w:val="10286171"/>
    <w:rsid w:val="102B391D"/>
    <w:rsid w:val="10303E24"/>
    <w:rsid w:val="103178CD"/>
    <w:rsid w:val="10333367"/>
    <w:rsid w:val="103F0A45"/>
    <w:rsid w:val="10463DF4"/>
    <w:rsid w:val="104E1415"/>
    <w:rsid w:val="1053085A"/>
    <w:rsid w:val="10547AAA"/>
    <w:rsid w:val="10667D65"/>
    <w:rsid w:val="106B788D"/>
    <w:rsid w:val="1072270C"/>
    <w:rsid w:val="10757150"/>
    <w:rsid w:val="10812835"/>
    <w:rsid w:val="108A32F3"/>
    <w:rsid w:val="108F6CEF"/>
    <w:rsid w:val="109C0B3B"/>
    <w:rsid w:val="109F6B8A"/>
    <w:rsid w:val="109F78CA"/>
    <w:rsid w:val="10A973DE"/>
    <w:rsid w:val="10AC3F5B"/>
    <w:rsid w:val="10B668B9"/>
    <w:rsid w:val="10B956C1"/>
    <w:rsid w:val="10B97F7B"/>
    <w:rsid w:val="10BB1D78"/>
    <w:rsid w:val="10D21526"/>
    <w:rsid w:val="10D90A3E"/>
    <w:rsid w:val="10DB0DB8"/>
    <w:rsid w:val="10E23A5B"/>
    <w:rsid w:val="10E52FD3"/>
    <w:rsid w:val="10E63227"/>
    <w:rsid w:val="10EB7798"/>
    <w:rsid w:val="11057037"/>
    <w:rsid w:val="110E7A47"/>
    <w:rsid w:val="111148CB"/>
    <w:rsid w:val="111155A0"/>
    <w:rsid w:val="11281D81"/>
    <w:rsid w:val="112A17CF"/>
    <w:rsid w:val="114D0524"/>
    <w:rsid w:val="114D43B2"/>
    <w:rsid w:val="11573885"/>
    <w:rsid w:val="116333D5"/>
    <w:rsid w:val="11695D03"/>
    <w:rsid w:val="11752752"/>
    <w:rsid w:val="119275B0"/>
    <w:rsid w:val="119311B9"/>
    <w:rsid w:val="119974AA"/>
    <w:rsid w:val="11A32F7E"/>
    <w:rsid w:val="11AA3CDF"/>
    <w:rsid w:val="11AC6EA8"/>
    <w:rsid w:val="11B40D15"/>
    <w:rsid w:val="11C46349"/>
    <w:rsid w:val="11D72391"/>
    <w:rsid w:val="11D94FE3"/>
    <w:rsid w:val="11DD376B"/>
    <w:rsid w:val="11DE4E8B"/>
    <w:rsid w:val="11DE74F1"/>
    <w:rsid w:val="11E017AC"/>
    <w:rsid w:val="11ED54AC"/>
    <w:rsid w:val="11EF7984"/>
    <w:rsid w:val="11FD231D"/>
    <w:rsid w:val="12077664"/>
    <w:rsid w:val="121065F8"/>
    <w:rsid w:val="12113D0D"/>
    <w:rsid w:val="121B1385"/>
    <w:rsid w:val="122469F0"/>
    <w:rsid w:val="12272CDB"/>
    <w:rsid w:val="122C7D6D"/>
    <w:rsid w:val="122F757E"/>
    <w:rsid w:val="124C7F3F"/>
    <w:rsid w:val="12554893"/>
    <w:rsid w:val="125948D2"/>
    <w:rsid w:val="12694AF3"/>
    <w:rsid w:val="12700491"/>
    <w:rsid w:val="1271274D"/>
    <w:rsid w:val="12867959"/>
    <w:rsid w:val="12950BC9"/>
    <w:rsid w:val="12965958"/>
    <w:rsid w:val="129E16D5"/>
    <w:rsid w:val="129F1BEE"/>
    <w:rsid w:val="12A62FD0"/>
    <w:rsid w:val="12A70E74"/>
    <w:rsid w:val="12AA352E"/>
    <w:rsid w:val="12B0493D"/>
    <w:rsid w:val="12B26C82"/>
    <w:rsid w:val="12B45CE2"/>
    <w:rsid w:val="12C65F0D"/>
    <w:rsid w:val="12D224DE"/>
    <w:rsid w:val="12E2756D"/>
    <w:rsid w:val="12F94CA0"/>
    <w:rsid w:val="12FA727F"/>
    <w:rsid w:val="13034CA1"/>
    <w:rsid w:val="13034CA9"/>
    <w:rsid w:val="1306226F"/>
    <w:rsid w:val="130637B4"/>
    <w:rsid w:val="130963C6"/>
    <w:rsid w:val="1310201B"/>
    <w:rsid w:val="131C414B"/>
    <w:rsid w:val="13274479"/>
    <w:rsid w:val="13287986"/>
    <w:rsid w:val="132F7EFA"/>
    <w:rsid w:val="133E1718"/>
    <w:rsid w:val="13405505"/>
    <w:rsid w:val="134A0BB3"/>
    <w:rsid w:val="135E162F"/>
    <w:rsid w:val="13783F46"/>
    <w:rsid w:val="138969C6"/>
    <w:rsid w:val="138A0F09"/>
    <w:rsid w:val="138E4885"/>
    <w:rsid w:val="13B47FB3"/>
    <w:rsid w:val="13BD1591"/>
    <w:rsid w:val="13C43FAD"/>
    <w:rsid w:val="13C80036"/>
    <w:rsid w:val="13CC5B4B"/>
    <w:rsid w:val="13E211B8"/>
    <w:rsid w:val="13E526B0"/>
    <w:rsid w:val="13E72694"/>
    <w:rsid w:val="13EE2FB9"/>
    <w:rsid w:val="140358D9"/>
    <w:rsid w:val="141325ED"/>
    <w:rsid w:val="14142C33"/>
    <w:rsid w:val="1415139A"/>
    <w:rsid w:val="14165B69"/>
    <w:rsid w:val="141719DD"/>
    <w:rsid w:val="1426314E"/>
    <w:rsid w:val="142742F9"/>
    <w:rsid w:val="142C3864"/>
    <w:rsid w:val="142C4960"/>
    <w:rsid w:val="14366F6A"/>
    <w:rsid w:val="144E68BD"/>
    <w:rsid w:val="145D6995"/>
    <w:rsid w:val="14672941"/>
    <w:rsid w:val="146E7CDD"/>
    <w:rsid w:val="1473045C"/>
    <w:rsid w:val="14966079"/>
    <w:rsid w:val="149A0632"/>
    <w:rsid w:val="14A5696B"/>
    <w:rsid w:val="14AC72FB"/>
    <w:rsid w:val="14B2053D"/>
    <w:rsid w:val="14BA1E4B"/>
    <w:rsid w:val="14C879C3"/>
    <w:rsid w:val="14CC2AC2"/>
    <w:rsid w:val="14D36F54"/>
    <w:rsid w:val="14DC354C"/>
    <w:rsid w:val="14DD0572"/>
    <w:rsid w:val="14E56380"/>
    <w:rsid w:val="14E57D42"/>
    <w:rsid w:val="14E86775"/>
    <w:rsid w:val="14F7368F"/>
    <w:rsid w:val="150060E2"/>
    <w:rsid w:val="15044470"/>
    <w:rsid w:val="150C014D"/>
    <w:rsid w:val="15172799"/>
    <w:rsid w:val="15197F59"/>
    <w:rsid w:val="15270F22"/>
    <w:rsid w:val="152B0503"/>
    <w:rsid w:val="152F6DD7"/>
    <w:rsid w:val="15310D80"/>
    <w:rsid w:val="153B4A4C"/>
    <w:rsid w:val="154E4DE4"/>
    <w:rsid w:val="1556520C"/>
    <w:rsid w:val="155708F9"/>
    <w:rsid w:val="155B68DD"/>
    <w:rsid w:val="155C4830"/>
    <w:rsid w:val="1563585C"/>
    <w:rsid w:val="15637387"/>
    <w:rsid w:val="156B3579"/>
    <w:rsid w:val="15793F14"/>
    <w:rsid w:val="15830038"/>
    <w:rsid w:val="158350C7"/>
    <w:rsid w:val="15861BA2"/>
    <w:rsid w:val="15866101"/>
    <w:rsid w:val="158768F7"/>
    <w:rsid w:val="158D5666"/>
    <w:rsid w:val="15947CA7"/>
    <w:rsid w:val="159836D3"/>
    <w:rsid w:val="15AD5FDB"/>
    <w:rsid w:val="15B71918"/>
    <w:rsid w:val="15B808CC"/>
    <w:rsid w:val="15B92075"/>
    <w:rsid w:val="15C73F10"/>
    <w:rsid w:val="15D24B73"/>
    <w:rsid w:val="15D43FD1"/>
    <w:rsid w:val="15D84DAA"/>
    <w:rsid w:val="15E255BE"/>
    <w:rsid w:val="15E76FD1"/>
    <w:rsid w:val="15F9347C"/>
    <w:rsid w:val="16042708"/>
    <w:rsid w:val="160427C5"/>
    <w:rsid w:val="160B5185"/>
    <w:rsid w:val="16105E24"/>
    <w:rsid w:val="16163030"/>
    <w:rsid w:val="16201EDC"/>
    <w:rsid w:val="16225F33"/>
    <w:rsid w:val="162E71FD"/>
    <w:rsid w:val="163B7303"/>
    <w:rsid w:val="16400D6B"/>
    <w:rsid w:val="164075C7"/>
    <w:rsid w:val="16422CC7"/>
    <w:rsid w:val="16574A0D"/>
    <w:rsid w:val="166010DA"/>
    <w:rsid w:val="16676971"/>
    <w:rsid w:val="166D4F07"/>
    <w:rsid w:val="1672426C"/>
    <w:rsid w:val="1679034C"/>
    <w:rsid w:val="168E12CA"/>
    <w:rsid w:val="16924C43"/>
    <w:rsid w:val="169A18F4"/>
    <w:rsid w:val="16A0344C"/>
    <w:rsid w:val="16A141A3"/>
    <w:rsid w:val="16A4222B"/>
    <w:rsid w:val="16AA77BE"/>
    <w:rsid w:val="16B135CC"/>
    <w:rsid w:val="16B5300C"/>
    <w:rsid w:val="16B86FC6"/>
    <w:rsid w:val="16BC3716"/>
    <w:rsid w:val="16C97BBC"/>
    <w:rsid w:val="16CD5927"/>
    <w:rsid w:val="16D26176"/>
    <w:rsid w:val="16E019FA"/>
    <w:rsid w:val="16E966E7"/>
    <w:rsid w:val="16F12927"/>
    <w:rsid w:val="16F3321C"/>
    <w:rsid w:val="16F3508E"/>
    <w:rsid w:val="16F8217A"/>
    <w:rsid w:val="170870E0"/>
    <w:rsid w:val="171A11FF"/>
    <w:rsid w:val="171E2F14"/>
    <w:rsid w:val="172338B6"/>
    <w:rsid w:val="172623BA"/>
    <w:rsid w:val="172D0FA2"/>
    <w:rsid w:val="173B2CCE"/>
    <w:rsid w:val="173C4DF4"/>
    <w:rsid w:val="174E3058"/>
    <w:rsid w:val="174E7B92"/>
    <w:rsid w:val="17543169"/>
    <w:rsid w:val="17620FD2"/>
    <w:rsid w:val="17770242"/>
    <w:rsid w:val="177E4EEE"/>
    <w:rsid w:val="17832992"/>
    <w:rsid w:val="17983B76"/>
    <w:rsid w:val="179D5565"/>
    <w:rsid w:val="17A44363"/>
    <w:rsid w:val="17AF5FCC"/>
    <w:rsid w:val="17B91492"/>
    <w:rsid w:val="17BD720C"/>
    <w:rsid w:val="17C22B43"/>
    <w:rsid w:val="17E92142"/>
    <w:rsid w:val="17EA35EE"/>
    <w:rsid w:val="17F62DA1"/>
    <w:rsid w:val="18036A5D"/>
    <w:rsid w:val="18042456"/>
    <w:rsid w:val="180440E6"/>
    <w:rsid w:val="180A3919"/>
    <w:rsid w:val="181A5DD5"/>
    <w:rsid w:val="181F4E2C"/>
    <w:rsid w:val="18252442"/>
    <w:rsid w:val="182C1B4F"/>
    <w:rsid w:val="182D5C9D"/>
    <w:rsid w:val="182E3B43"/>
    <w:rsid w:val="18357AB1"/>
    <w:rsid w:val="1845270D"/>
    <w:rsid w:val="184C1264"/>
    <w:rsid w:val="184E53B0"/>
    <w:rsid w:val="185162C8"/>
    <w:rsid w:val="18620963"/>
    <w:rsid w:val="18656279"/>
    <w:rsid w:val="186A0131"/>
    <w:rsid w:val="186E0D47"/>
    <w:rsid w:val="1873420D"/>
    <w:rsid w:val="18794B01"/>
    <w:rsid w:val="18826032"/>
    <w:rsid w:val="1886791B"/>
    <w:rsid w:val="18874C8E"/>
    <w:rsid w:val="1894747D"/>
    <w:rsid w:val="189C7718"/>
    <w:rsid w:val="18A25F66"/>
    <w:rsid w:val="18A74272"/>
    <w:rsid w:val="18AE5951"/>
    <w:rsid w:val="18C24178"/>
    <w:rsid w:val="18C35316"/>
    <w:rsid w:val="18C4128D"/>
    <w:rsid w:val="18CC7283"/>
    <w:rsid w:val="18D412F0"/>
    <w:rsid w:val="18D60FE8"/>
    <w:rsid w:val="18E45AF9"/>
    <w:rsid w:val="18E9061B"/>
    <w:rsid w:val="190C038B"/>
    <w:rsid w:val="191676EF"/>
    <w:rsid w:val="191D4558"/>
    <w:rsid w:val="192677B3"/>
    <w:rsid w:val="195074D2"/>
    <w:rsid w:val="19557259"/>
    <w:rsid w:val="195677CF"/>
    <w:rsid w:val="195E1EAD"/>
    <w:rsid w:val="196229B8"/>
    <w:rsid w:val="1979061F"/>
    <w:rsid w:val="197E7820"/>
    <w:rsid w:val="198E2EC8"/>
    <w:rsid w:val="19985095"/>
    <w:rsid w:val="19A8659D"/>
    <w:rsid w:val="19AE1C6E"/>
    <w:rsid w:val="19C55DC3"/>
    <w:rsid w:val="19D5496C"/>
    <w:rsid w:val="19E82C9F"/>
    <w:rsid w:val="19E918DF"/>
    <w:rsid w:val="19EC34E7"/>
    <w:rsid w:val="1A020837"/>
    <w:rsid w:val="1A0A6D19"/>
    <w:rsid w:val="1A102742"/>
    <w:rsid w:val="1A16017C"/>
    <w:rsid w:val="1A3E67DB"/>
    <w:rsid w:val="1A444D59"/>
    <w:rsid w:val="1A482EA8"/>
    <w:rsid w:val="1A607F8F"/>
    <w:rsid w:val="1A706950"/>
    <w:rsid w:val="1A777805"/>
    <w:rsid w:val="1A7D692E"/>
    <w:rsid w:val="1A88637D"/>
    <w:rsid w:val="1A9064ED"/>
    <w:rsid w:val="1A95155A"/>
    <w:rsid w:val="1A955209"/>
    <w:rsid w:val="1A9D09A9"/>
    <w:rsid w:val="1A9E699A"/>
    <w:rsid w:val="1AAB33DB"/>
    <w:rsid w:val="1AB52A1E"/>
    <w:rsid w:val="1ABE31BE"/>
    <w:rsid w:val="1ABE3E8A"/>
    <w:rsid w:val="1ACD0626"/>
    <w:rsid w:val="1ACF3665"/>
    <w:rsid w:val="1AD375CB"/>
    <w:rsid w:val="1ADB4187"/>
    <w:rsid w:val="1AF93613"/>
    <w:rsid w:val="1B0650A3"/>
    <w:rsid w:val="1B0715C5"/>
    <w:rsid w:val="1B0E02C7"/>
    <w:rsid w:val="1B1405DE"/>
    <w:rsid w:val="1B245E5A"/>
    <w:rsid w:val="1B2B7E1E"/>
    <w:rsid w:val="1B341585"/>
    <w:rsid w:val="1B5732F3"/>
    <w:rsid w:val="1B57461E"/>
    <w:rsid w:val="1B5D2250"/>
    <w:rsid w:val="1B5E64B7"/>
    <w:rsid w:val="1B673150"/>
    <w:rsid w:val="1B6D475E"/>
    <w:rsid w:val="1B74429C"/>
    <w:rsid w:val="1B8B78FF"/>
    <w:rsid w:val="1B9177D6"/>
    <w:rsid w:val="1B936672"/>
    <w:rsid w:val="1B943D3B"/>
    <w:rsid w:val="1B94650C"/>
    <w:rsid w:val="1B984E22"/>
    <w:rsid w:val="1B9F5CD7"/>
    <w:rsid w:val="1BA33CC0"/>
    <w:rsid w:val="1BB0691C"/>
    <w:rsid w:val="1BB06D22"/>
    <w:rsid w:val="1BCE1B00"/>
    <w:rsid w:val="1BD5263D"/>
    <w:rsid w:val="1BD70712"/>
    <w:rsid w:val="1BDA7231"/>
    <w:rsid w:val="1BDF7D05"/>
    <w:rsid w:val="1BF24E25"/>
    <w:rsid w:val="1BF2697F"/>
    <w:rsid w:val="1BF87BC5"/>
    <w:rsid w:val="1C0C11A6"/>
    <w:rsid w:val="1C0E7880"/>
    <w:rsid w:val="1C1E55AA"/>
    <w:rsid w:val="1C1F693B"/>
    <w:rsid w:val="1C2003BA"/>
    <w:rsid w:val="1C202351"/>
    <w:rsid w:val="1C2746B0"/>
    <w:rsid w:val="1C2B6A2D"/>
    <w:rsid w:val="1C2D2CDF"/>
    <w:rsid w:val="1C2E4201"/>
    <w:rsid w:val="1C3E08FB"/>
    <w:rsid w:val="1C415D2F"/>
    <w:rsid w:val="1C5328E5"/>
    <w:rsid w:val="1C7112F3"/>
    <w:rsid w:val="1C7865B7"/>
    <w:rsid w:val="1C7C64F7"/>
    <w:rsid w:val="1C8B14A4"/>
    <w:rsid w:val="1C9D4009"/>
    <w:rsid w:val="1CA574B8"/>
    <w:rsid w:val="1CA84BB2"/>
    <w:rsid w:val="1CB55036"/>
    <w:rsid w:val="1CBC767F"/>
    <w:rsid w:val="1CC57D28"/>
    <w:rsid w:val="1CCF367D"/>
    <w:rsid w:val="1CD40D88"/>
    <w:rsid w:val="1CD93DB1"/>
    <w:rsid w:val="1CDF484E"/>
    <w:rsid w:val="1CE757CC"/>
    <w:rsid w:val="1CE9003A"/>
    <w:rsid w:val="1CEA04D0"/>
    <w:rsid w:val="1CF3092F"/>
    <w:rsid w:val="1CF41C0D"/>
    <w:rsid w:val="1CFB32E4"/>
    <w:rsid w:val="1CFC597B"/>
    <w:rsid w:val="1CFC71EA"/>
    <w:rsid w:val="1D040A94"/>
    <w:rsid w:val="1D0C7D36"/>
    <w:rsid w:val="1D102940"/>
    <w:rsid w:val="1D22536F"/>
    <w:rsid w:val="1D2260CA"/>
    <w:rsid w:val="1D2B5C48"/>
    <w:rsid w:val="1D2B741F"/>
    <w:rsid w:val="1D2D0B42"/>
    <w:rsid w:val="1D335EDD"/>
    <w:rsid w:val="1D346961"/>
    <w:rsid w:val="1D356312"/>
    <w:rsid w:val="1D3765E6"/>
    <w:rsid w:val="1D4125E7"/>
    <w:rsid w:val="1D4D2D84"/>
    <w:rsid w:val="1D553CE6"/>
    <w:rsid w:val="1D5F788A"/>
    <w:rsid w:val="1D6A36E2"/>
    <w:rsid w:val="1D9D2999"/>
    <w:rsid w:val="1DA82480"/>
    <w:rsid w:val="1DAF71D1"/>
    <w:rsid w:val="1DB8489F"/>
    <w:rsid w:val="1DC26F9F"/>
    <w:rsid w:val="1DC40B5D"/>
    <w:rsid w:val="1DD15F35"/>
    <w:rsid w:val="1DD84982"/>
    <w:rsid w:val="1DEB0A3D"/>
    <w:rsid w:val="1DF20708"/>
    <w:rsid w:val="1DFB669F"/>
    <w:rsid w:val="1E054D7F"/>
    <w:rsid w:val="1E0A382F"/>
    <w:rsid w:val="1E0E7B87"/>
    <w:rsid w:val="1E172401"/>
    <w:rsid w:val="1E1E51E5"/>
    <w:rsid w:val="1E3267FF"/>
    <w:rsid w:val="1E456ABA"/>
    <w:rsid w:val="1E527084"/>
    <w:rsid w:val="1E574FD8"/>
    <w:rsid w:val="1E583DD6"/>
    <w:rsid w:val="1E590FEC"/>
    <w:rsid w:val="1E6319FC"/>
    <w:rsid w:val="1E765C79"/>
    <w:rsid w:val="1E780B14"/>
    <w:rsid w:val="1E8E1C2E"/>
    <w:rsid w:val="1E9732EC"/>
    <w:rsid w:val="1E9A1802"/>
    <w:rsid w:val="1EA20D16"/>
    <w:rsid w:val="1EA7149B"/>
    <w:rsid w:val="1EAA5EC9"/>
    <w:rsid w:val="1EB70445"/>
    <w:rsid w:val="1EC5444B"/>
    <w:rsid w:val="1EC54DF6"/>
    <w:rsid w:val="1EC9564B"/>
    <w:rsid w:val="1ED444F4"/>
    <w:rsid w:val="1EF04397"/>
    <w:rsid w:val="1EF12B85"/>
    <w:rsid w:val="1F0E08FF"/>
    <w:rsid w:val="1F1C096F"/>
    <w:rsid w:val="1F1C0F58"/>
    <w:rsid w:val="1F21246B"/>
    <w:rsid w:val="1F2549D7"/>
    <w:rsid w:val="1F266594"/>
    <w:rsid w:val="1F283899"/>
    <w:rsid w:val="1F2E04B4"/>
    <w:rsid w:val="1F382771"/>
    <w:rsid w:val="1F391F1E"/>
    <w:rsid w:val="1F3C353B"/>
    <w:rsid w:val="1F424ED5"/>
    <w:rsid w:val="1F47514C"/>
    <w:rsid w:val="1F49469C"/>
    <w:rsid w:val="1F4F0E4C"/>
    <w:rsid w:val="1F512644"/>
    <w:rsid w:val="1F5233D9"/>
    <w:rsid w:val="1F583198"/>
    <w:rsid w:val="1F594DB0"/>
    <w:rsid w:val="1F6E3457"/>
    <w:rsid w:val="1F7E71D8"/>
    <w:rsid w:val="1F8057B6"/>
    <w:rsid w:val="1F8632AA"/>
    <w:rsid w:val="1F8B018C"/>
    <w:rsid w:val="1F92186E"/>
    <w:rsid w:val="1FA610AD"/>
    <w:rsid w:val="1FA6520E"/>
    <w:rsid w:val="1FAD456D"/>
    <w:rsid w:val="1FB74E7C"/>
    <w:rsid w:val="1FB97C70"/>
    <w:rsid w:val="1FC02F97"/>
    <w:rsid w:val="1FD067BB"/>
    <w:rsid w:val="1FDA7515"/>
    <w:rsid w:val="1FDC5591"/>
    <w:rsid w:val="1FDE5173"/>
    <w:rsid w:val="1FE03778"/>
    <w:rsid w:val="1FEF740A"/>
    <w:rsid w:val="1FFD78F8"/>
    <w:rsid w:val="20243CA5"/>
    <w:rsid w:val="203B4E0B"/>
    <w:rsid w:val="203C0739"/>
    <w:rsid w:val="20440581"/>
    <w:rsid w:val="20467641"/>
    <w:rsid w:val="204744F0"/>
    <w:rsid w:val="2047704B"/>
    <w:rsid w:val="20486CE5"/>
    <w:rsid w:val="204A6520"/>
    <w:rsid w:val="204D28BF"/>
    <w:rsid w:val="2056163F"/>
    <w:rsid w:val="206F272B"/>
    <w:rsid w:val="207422D7"/>
    <w:rsid w:val="207740EE"/>
    <w:rsid w:val="207E041B"/>
    <w:rsid w:val="208845C7"/>
    <w:rsid w:val="20A410E8"/>
    <w:rsid w:val="20AF6C5F"/>
    <w:rsid w:val="20BF57E4"/>
    <w:rsid w:val="20C664FA"/>
    <w:rsid w:val="20C97DC3"/>
    <w:rsid w:val="20CA0235"/>
    <w:rsid w:val="20CA6F48"/>
    <w:rsid w:val="20E03E81"/>
    <w:rsid w:val="21082BB6"/>
    <w:rsid w:val="210863DF"/>
    <w:rsid w:val="210C0560"/>
    <w:rsid w:val="2126068A"/>
    <w:rsid w:val="212735B4"/>
    <w:rsid w:val="21320D19"/>
    <w:rsid w:val="21360799"/>
    <w:rsid w:val="21363EA9"/>
    <w:rsid w:val="213A021A"/>
    <w:rsid w:val="213B527A"/>
    <w:rsid w:val="213C5C1E"/>
    <w:rsid w:val="21433F32"/>
    <w:rsid w:val="214848C9"/>
    <w:rsid w:val="21487819"/>
    <w:rsid w:val="215F0789"/>
    <w:rsid w:val="215F1513"/>
    <w:rsid w:val="21606B59"/>
    <w:rsid w:val="216E5613"/>
    <w:rsid w:val="21722010"/>
    <w:rsid w:val="21842C4D"/>
    <w:rsid w:val="218C7B53"/>
    <w:rsid w:val="218E42F9"/>
    <w:rsid w:val="219223EC"/>
    <w:rsid w:val="219B1DD1"/>
    <w:rsid w:val="219C054D"/>
    <w:rsid w:val="21A314CA"/>
    <w:rsid w:val="21BC5E70"/>
    <w:rsid w:val="21BE26E3"/>
    <w:rsid w:val="21C953E8"/>
    <w:rsid w:val="21DC68F5"/>
    <w:rsid w:val="21EA37F9"/>
    <w:rsid w:val="21F014C5"/>
    <w:rsid w:val="21FA2182"/>
    <w:rsid w:val="21FC1EEF"/>
    <w:rsid w:val="22120CDD"/>
    <w:rsid w:val="221426E3"/>
    <w:rsid w:val="221E7D38"/>
    <w:rsid w:val="22253D05"/>
    <w:rsid w:val="2233407A"/>
    <w:rsid w:val="22371A64"/>
    <w:rsid w:val="223840DB"/>
    <w:rsid w:val="223B6233"/>
    <w:rsid w:val="224005E1"/>
    <w:rsid w:val="22410377"/>
    <w:rsid w:val="22494AE8"/>
    <w:rsid w:val="224D04F7"/>
    <w:rsid w:val="224E0332"/>
    <w:rsid w:val="224E53CF"/>
    <w:rsid w:val="2250661A"/>
    <w:rsid w:val="22541C15"/>
    <w:rsid w:val="226B35AD"/>
    <w:rsid w:val="226E183C"/>
    <w:rsid w:val="22720C33"/>
    <w:rsid w:val="227E4F4D"/>
    <w:rsid w:val="227F052C"/>
    <w:rsid w:val="228106BE"/>
    <w:rsid w:val="22964AF9"/>
    <w:rsid w:val="229C26C6"/>
    <w:rsid w:val="22A2780D"/>
    <w:rsid w:val="22A75535"/>
    <w:rsid w:val="22B02C82"/>
    <w:rsid w:val="22C90389"/>
    <w:rsid w:val="22CB2B2E"/>
    <w:rsid w:val="22CB7268"/>
    <w:rsid w:val="22DE6959"/>
    <w:rsid w:val="22E029BD"/>
    <w:rsid w:val="22EE2F09"/>
    <w:rsid w:val="22F05149"/>
    <w:rsid w:val="22F5576B"/>
    <w:rsid w:val="230233EE"/>
    <w:rsid w:val="23084D8F"/>
    <w:rsid w:val="231321C5"/>
    <w:rsid w:val="2324185D"/>
    <w:rsid w:val="23246847"/>
    <w:rsid w:val="23266716"/>
    <w:rsid w:val="23324F70"/>
    <w:rsid w:val="23331DCF"/>
    <w:rsid w:val="2333643F"/>
    <w:rsid w:val="23343B2A"/>
    <w:rsid w:val="2334583E"/>
    <w:rsid w:val="233D3DCC"/>
    <w:rsid w:val="2345424D"/>
    <w:rsid w:val="2345649D"/>
    <w:rsid w:val="23461764"/>
    <w:rsid w:val="234D013E"/>
    <w:rsid w:val="234F2CDC"/>
    <w:rsid w:val="237F1957"/>
    <w:rsid w:val="238742F7"/>
    <w:rsid w:val="23A24E78"/>
    <w:rsid w:val="23A602AC"/>
    <w:rsid w:val="23AD0779"/>
    <w:rsid w:val="23B353D7"/>
    <w:rsid w:val="23BA2DD4"/>
    <w:rsid w:val="23BC3F1D"/>
    <w:rsid w:val="23CA306A"/>
    <w:rsid w:val="23CF5F22"/>
    <w:rsid w:val="23D101CB"/>
    <w:rsid w:val="23E359A4"/>
    <w:rsid w:val="23EA385D"/>
    <w:rsid w:val="23EB705D"/>
    <w:rsid w:val="23F01FE2"/>
    <w:rsid w:val="23F146EC"/>
    <w:rsid w:val="23F42BB7"/>
    <w:rsid w:val="23F5021C"/>
    <w:rsid w:val="23F556A2"/>
    <w:rsid w:val="23F97A02"/>
    <w:rsid w:val="23FC037D"/>
    <w:rsid w:val="24031588"/>
    <w:rsid w:val="240818A9"/>
    <w:rsid w:val="24096738"/>
    <w:rsid w:val="24177B12"/>
    <w:rsid w:val="24203D04"/>
    <w:rsid w:val="243B3736"/>
    <w:rsid w:val="244548CD"/>
    <w:rsid w:val="244E0A1C"/>
    <w:rsid w:val="244E7292"/>
    <w:rsid w:val="24533C35"/>
    <w:rsid w:val="24540B0C"/>
    <w:rsid w:val="245D193A"/>
    <w:rsid w:val="245D4D87"/>
    <w:rsid w:val="24604051"/>
    <w:rsid w:val="24694DFD"/>
    <w:rsid w:val="246A08AD"/>
    <w:rsid w:val="246A0DF6"/>
    <w:rsid w:val="24776144"/>
    <w:rsid w:val="24837C3F"/>
    <w:rsid w:val="248504EE"/>
    <w:rsid w:val="2486123B"/>
    <w:rsid w:val="248F35E6"/>
    <w:rsid w:val="2492551B"/>
    <w:rsid w:val="24936E8A"/>
    <w:rsid w:val="249C051E"/>
    <w:rsid w:val="24A37D27"/>
    <w:rsid w:val="24A83207"/>
    <w:rsid w:val="24B23947"/>
    <w:rsid w:val="24B612F9"/>
    <w:rsid w:val="24B81CED"/>
    <w:rsid w:val="24BB032F"/>
    <w:rsid w:val="24BF300A"/>
    <w:rsid w:val="24C237C1"/>
    <w:rsid w:val="24C4419B"/>
    <w:rsid w:val="24CA0856"/>
    <w:rsid w:val="24DB0C59"/>
    <w:rsid w:val="24EB06F7"/>
    <w:rsid w:val="24EC689F"/>
    <w:rsid w:val="24F800F3"/>
    <w:rsid w:val="250121F5"/>
    <w:rsid w:val="25167069"/>
    <w:rsid w:val="25240AF5"/>
    <w:rsid w:val="252B6CA8"/>
    <w:rsid w:val="253356E8"/>
    <w:rsid w:val="25353785"/>
    <w:rsid w:val="254E026A"/>
    <w:rsid w:val="25510CC4"/>
    <w:rsid w:val="255469EE"/>
    <w:rsid w:val="25547A5F"/>
    <w:rsid w:val="25761BE2"/>
    <w:rsid w:val="258067B6"/>
    <w:rsid w:val="25863459"/>
    <w:rsid w:val="25973D17"/>
    <w:rsid w:val="259C0A9C"/>
    <w:rsid w:val="259E0D79"/>
    <w:rsid w:val="25B231AC"/>
    <w:rsid w:val="25B2424C"/>
    <w:rsid w:val="25B70770"/>
    <w:rsid w:val="25C95D7B"/>
    <w:rsid w:val="25CD408A"/>
    <w:rsid w:val="25E35E5B"/>
    <w:rsid w:val="25EA7E56"/>
    <w:rsid w:val="25F31D19"/>
    <w:rsid w:val="25F32BAE"/>
    <w:rsid w:val="25F85502"/>
    <w:rsid w:val="25FB4CB7"/>
    <w:rsid w:val="26057C06"/>
    <w:rsid w:val="26082B01"/>
    <w:rsid w:val="26136F82"/>
    <w:rsid w:val="261D44DE"/>
    <w:rsid w:val="261D4C5E"/>
    <w:rsid w:val="261E43F4"/>
    <w:rsid w:val="261F6481"/>
    <w:rsid w:val="26286183"/>
    <w:rsid w:val="26307185"/>
    <w:rsid w:val="26332656"/>
    <w:rsid w:val="26356993"/>
    <w:rsid w:val="26425D40"/>
    <w:rsid w:val="264609F1"/>
    <w:rsid w:val="26467C89"/>
    <w:rsid w:val="26504FA0"/>
    <w:rsid w:val="26513D46"/>
    <w:rsid w:val="266230A0"/>
    <w:rsid w:val="26655901"/>
    <w:rsid w:val="26706159"/>
    <w:rsid w:val="267A079D"/>
    <w:rsid w:val="267E0DED"/>
    <w:rsid w:val="268C5D0F"/>
    <w:rsid w:val="268F3BF0"/>
    <w:rsid w:val="2698636B"/>
    <w:rsid w:val="2699773C"/>
    <w:rsid w:val="269C1279"/>
    <w:rsid w:val="26A32A47"/>
    <w:rsid w:val="26A72FAB"/>
    <w:rsid w:val="26AA0061"/>
    <w:rsid w:val="26AA0AD0"/>
    <w:rsid w:val="26AA36CD"/>
    <w:rsid w:val="26C753C3"/>
    <w:rsid w:val="26C96163"/>
    <w:rsid w:val="26CA6B3A"/>
    <w:rsid w:val="26D72530"/>
    <w:rsid w:val="26DD4DFB"/>
    <w:rsid w:val="26E24659"/>
    <w:rsid w:val="26E82629"/>
    <w:rsid w:val="26E8749E"/>
    <w:rsid w:val="26EF0A21"/>
    <w:rsid w:val="26F732A0"/>
    <w:rsid w:val="2708093E"/>
    <w:rsid w:val="2708504A"/>
    <w:rsid w:val="271F761C"/>
    <w:rsid w:val="272639E0"/>
    <w:rsid w:val="274423CD"/>
    <w:rsid w:val="27465E77"/>
    <w:rsid w:val="275C0992"/>
    <w:rsid w:val="275F69DB"/>
    <w:rsid w:val="276A02F4"/>
    <w:rsid w:val="276E65DC"/>
    <w:rsid w:val="277C2AA4"/>
    <w:rsid w:val="2783663E"/>
    <w:rsid w:val="27876D44"/>
    <w:rsid w:val="2788715A"/>
    <w:rsid w:val="27893037"/>
    <w:rsid w:val="278A0075"/>
    <w:rsid w:val="27984EAC"/>
    <w:rsid w:val="27AD557B"/>
    <w:rsid w:val="27B2058B"/>
    <w:rsid w:val="27B94239"/>
    <w:rsid w:val="27BC0513"/>
    <w:rsid w:val="27CA1089"/>
    <w:rsid w:val="27CA3DA2"/>
    <w:rsid w:val="27DD0E9C"/>
    <w:rsid w:val="27DD4BFC"/>
    <w:rsid w:val="27E50126"/>
    <w:rsid w:val="27EF3363"/>
    <w:rsid w:val="27F36786"/>
    <w:rsid w:val="27FA7C5E"/>
    <w:rsid w:val="27FC11DC"/>
    <w:rsid w:val="28057290"/>
    <w:rsid w:val="280A2E4E"/>
    <w:rsid w:val="2810574C"/>
    <w:rsid w:val="28174553"/>
    <w:rsid w:val="281948FF"/>
    <w:rsid w:val="28252202"/>
    <w:rsid w:val="28275491"/>
    <w:rsid w:val="28324D93"/>
    <w:rsid w:val="28382D4F"/>
    <w:rsid w:val="284842D7"/>
    <w:rsid w:val="284955B4"/>
    <w:rsid w:val="284B706A"/>
    <w:rsid w:val="284F6F95"/>
    <w:rsid w:val="28595D9A"/>
    <w:rsid w:val="2862748C"/>
    <w:rsid w:val="286774B4"/>
    <w:rsid w:val="2882621B"/>
    <w:rsid w:val="289B53F8"/>
    <w:rsid w:val="289C2AB7"/>
    <w:rsid w:val="28A2060D"/>
    <w:rsid w:val="28A35348"/>
    <w:rsid w:val="28A90D90"/>
    <w:rsid w:val="28B0464D"/>
    <w:rsid w:val="28B632B3"/>
    <w:rsid w:val="28B90D14"/>
    <w:rsid w:val="28C234FC"/>
    <w:rsid w:val="28D678E4"/>
    <w:rsid w:val="28DC7292"/>
    <w:rsid w:val="28F0133B"/>
    <w:rsid w:val="28F90193"/>
    <w:rsid w:val="28FE5B89"/>
    <w:rsid w:val="29063D08"/>
    <w:rsid w:val="290820CB"/>
    <w:rsid w:val="290951FE"/>
    <w:rsid w:val="29145C03"/>
    <w:rsid w:val="291656D3"/>
    <w:rsid w:val="29214135"/>
    <w:rsid w:val="29240AA4"/>
    <w:rsid w:val="292424A7"/>
    <w:rsid w:val="292F7F4D"/>
    <w:rsid w:val="29312D17"/>
    <w:rsid w:val="29340CD7"/>
    <w:rsid w:val="293B7C17"/>
    <w:rsid w:val="293E718A"/>
    <w:rsid w:val="29515B82"/>
    <w:rsid w:val="29535FE1"/>
    <w:rsid w:val="29566029"/>
    <w:rsid w:val="296150AF"/>
    <w:rsid w:val="29655C9C"/>
    <w:rsid w:val="297422FC"/>
    <w:rsid w:val="29745C17"/>
    <w:rsid w:val="297B7BBE"/>
    <w:rsid w:val="29876676"/>
    <w:rsid w:val="29885BDC"/>
    <w:rsid w:val="298A6A29"/>
    <w:rsid w:val="29910F52"/>
    <w:rsid w:val="29993CD4"/>
    <w:rsid w:val="29A95237"/>
    <w:rsid w:val="29B022BE"/>
    <w:rsid w:val="29B14FFA"/>
    <w:rsid w:val="29CE4009"/>
    <w:rsid w:val="29D152A8"/>
    <w:rsid w:val="29D25F8D"/>
    <w:rsid w:val="29E95EE0"/>
    <w:rsid w:val="29F90A73"/>
    <w:rsid w:val="29FB65DF"/>
    <w:rsid w:val="29FF673B"/>
    <w:rsid w:val="2A054565"/>
    <w:rsid w:val="2A0627BC"/>
    <w:rsid w:val="2A1771E9"/>
    <w:rsid w:val="2A18212B"/>
    <w:rsid w:val="2A1B4C59"/>
    <w:rsid w:val="2A2B1489"/>
    <w:rsid w:val="2A2C57B8"/>
    <w:rsid w:val="2A3141A4"/>
    <w:rsid w:val="2A3316B0"/>
    <w:rsid w:val="2A3948B7"/>
    <w:rsid w:val="2A4149FA"/>
    <w:rsid w:val="2A6B5B91"/>
    <w:rsid w:val="2A6E44B5"/>
    <w:rsid w:val="2A7E1938"/>
    <w:rsid w:val="2A914B77"/>
    <w:rsid w:val="2A961D2C"/>
    <w:rsid w:val="2A976B53"/>
    <w:rsid w:val="2AAD0A90"/>
    <w:rsid w:val="2AAE2AA1"/>
    <w:rsid w:val="2AAE3665"/>
    <w:rsid w:val="2AB31BF4"/>
    <w:rsid w:val="2AB52879"/>
    <w:rsid w:val="2AB55A52"/>
    <w:rsid w:val="2AC7422C"/>
    <w:rsid w:val="2AD90E06"/>
    <w:rsid w:val="2AD9404B"/>
    <w:rsid w:val="2ADA4D61"/>
    <w:rsid w:val="2ADC0AC4"/>
    <w:rsid w:val="2ADF25D1"/>
    <w:rsid w:val="2AFA729F"/>
    <w:rsid w:val="2AFC0471"/>
    <w:rsid w:val="2AFD08E1"/>
    <w:rsid w:val="2AFD2290"/>
    <w:rsid w:val="2B015E28"/>
    <w:rsid w:val="2B02681E"/>
    <w:rsid w:val="2B0A6F2E"/>
    <w:rsid w:val="2B147C96"/>
    <w:rsid w:val="2B1B4C80"/>
    <w:rsid w:val="2B1D1E86"/>
    <w:rsid w:val="2B223B43"/>
    <w:rsid w:val="2B2D2DC5"/>
    <w:rsid w:val="2B3A717D"/>
    <w:rsid w:val="2B3C6E53"/>
    <w:rsid w:val="2B5050A4"/>
    <w:rsid w:val="2B6461B0"/>
    <w:rsid w:val="2B6C2F4F"/>
    <w:rsid w:val="2B6D0A7E"/>
    <w:rsid w:val="2B7B4D7C"/>
    <w:rsid w:val="2B83308A"/>
    <w:rsid w:val="2B901A2E"/>
    <w:rsid w:val="2B914390"/>
    <w:rsid w:val="2B931E87"/>
    <w:rsid w:val="2B9831E2"/>
    <w:rsid w:val="2B983DF1"/>
    <w:rsid w:val="2B9B5394"/>
    <w:rsid w:val="2BA24A97"/>
    <w:rsid w:val="2BA94893"/>
    <w:rsid w:val="2BB26D13"/>
    <w:rsid w:val="2BB46AEC"/>
    <w:rsid w:val="2BB558C1"/>
    <w:rsid w:val="2BB97D86"/>
    <w:rsid w:val="2BC04F7C"/>
    <w:rsid w:val="2BCA2248"/>
    <w:rsid w:val="2BE37738"/>
    <w:rsid w:val="2C033A4B"/>
    <w:rsid w:val="2C0B48DA"/>
    <w:rsid w:val="2C0E7395"/>
    <w:rsid w:val="2C11394F"/>
    <w:rsid w:val="2C131E96"/>
    <w:rsid w:val="2C3F4192"/>
    <w:rsid w:val="2C4006DF"/>
    <w:rsid w:val="2C414C1A"/>
    <w:rsid w:val="2C4F3C08"/>
    <w:rsid w:val="2C523219"/>
    <w:rsid w:val="2C5C5C76"/>
    <w:rsid w:val="2C5F3CA5"/>
    <w:rsid w:val="2C6749CB"/>
    <w:rsid w:val="2C751546"/>
    <w:rsid w:val="2C755CDB"/>
    <w:rsid w:val="2C7624E7"/>
    <w:rsid w:val="2C830D9C"/>
    <w:rsid w:val="2C992625"/>
    <w:rsid w:val="2CA67A9E"/>
    <w:rsid w:val="2CA7029A"/>
    <w:rsid w:val="2CAA7AF7"/>
    <w:rsid w:val="2CAC5BCB"/>
    <w:rsid w:val="2CC4533B"/>
    <w:rsid w:val="2CC916C0"/>
    <w:rsid w:val="2CE173CA"/>
    <w:rsid w:val="2CE33ACD"/>
    <w:rsid w:val="2CEB20C9"/>
    <w:rsid w:val="2CF745DB"/>
    <w:rsid w:val="2CFD6EBB"/>
    <w:rsid w:val="2D00141E"/>
    <w:rsid w:val="2D030481"/>
    <w:rsid w:val="2D042B5B"/>
    <w:rsid w:val="2D0573CB"/>
    <w:rsid w:val="2D117581"/>
    <w:rsid w:val="2D1341C2"/>
    <w:rsid w:val="2D176CF0"/>
    <w:rsid w:val="2D1D2C91"/>
    <w:rsid w:val="2D2853B1"/>
    <w:rsid w:val="2D3537B1"/>
    <w:rsid w:val="2D3F28E0"/>
    <w:rsid w:val="2D4C6A94"/>
    <w:rsid w:val="2D524203"/>
    <w:rsid w:val="2D5B05E6"/>
    <w:rsid w:val="2D5D225D"/>
    <w:rsid w:val="2D7F1A36"/>
    <w:rsid w:val="2D830FFC"/>
    <w:rsid w:val="2D896D85"/>
    <w:rsid w:val="2D8C6335"/>
    <w:rsid w:val="2D8E6BB4"/>
    <w:rsid w:val="2D911990"/>
    <w:rsid w:val="2D992DBF"/>
    <w:rsid w:val="2DA97C84"/>
    <w:rsid w:val="2DB05227"/>
    <w:rsid w:val="2DB243EA"/>
    <w:rsid w:val="2DD26042"/>
    <w:rsid w:val="2DD55DA5"/>
    <w:rsid w:val="2DD57FAD"/>
    <w:rsid w:val="2DDE6BB8"/>
    <w:rsid w:val="2DEB0BD9"/>
    <w:rsid w:val="2E01435E"/>
    <w:rsid w:val="2E105151"/>
    <w:rsid w:val="2E1F21C3"/>
    <w:rsid w:val="2E1F76C1"/>
    <w:rsid w:val="2E296796"/>
    <w:rsid w:val="2E2E2CF4"/>
    <w:rsid w:val="2E326EEF"/>
    <w:rsid w:val="2E40007A"/>
    <w:rsid w:val="2E422B58"/>
    <w:rsid w:val="2E497AC6"/>
    <w:rsid w:val="2E4E004E"/>
    <w:rsid w:val="2E626E71"/>
    <w:rsid w:val="2E633C38"/>
    <w:rsid w:val="2E661427"/>
    <w:rsid w:val="2E6935D8"/>
    <w:rsid w:val="2E6E185D"/>
    <w:rsid w:val="2E727274"/>
    <w:rsid w:val="2E7A766B"/>
    <w:rsid w:val="2E7B0825"/>
    <w:rsid w:val="2E7D07E1"/>
    <w:rsid w:val="2E8C2E64"/>
    <w:rsid w:val="2E905656"/>
    <w:rsid w:val="2E941D8A"/>
    <w:rsid w:val="2EA24722"/>
    <w:rsid w:val="2EAC254C"/>
    <w:rsid w:val="2EAE2261"/>
    <w:rsid w:val="2EB04F2D"/>
    <w:rsid w:val="2EB867E4"/>
    <w:rsid w:val="2EBC4CB6"/>
    <w:rsid w:val="2EC55A06"/>
    <w:rsid w:val="2EC62C5F"/>
    <w:rsid w:val="2EC94339"/>
    <w:rsid w:val="2ED370F7"/>
    <w:rsid w:val="2ED90841"/>
    <w:rsid w:val="2EDB0369"/>
    <w:rsid w:val="2EEC0DCE"/>
    <w:rsid w:val="2EF06F3A"/>
    <w:rsid w:val="2EF120ED"/>
    <w:rsid w:val="2F0B75CB"/>
    <w:rsid w:val="2F0D2D47"/>
    <w:rsid w:val="2F135E69"/>
    <w:rsid w:val="2F164C9D"/>
    <w:rsid w:val="2F22190A"/>
    <w:rsid w:val="2F2B69E9"/>
    <w:rsid w:val="2F2F24AF"/>
    <w:rsid w:val="2F344B90"/>
    <w:rsid w:val="2F3927C1"/>
    <w:rsid w:val="2F3B07ED"/>
    <w:rsid w:val="2F3B6E12"/>
    <w:rsid w:val="2F4F05A5"/>
    <w:rsid w:val="2F5315E4"/>
    <w:rsid w:val="2F566776"/>
    <w:rsid w:val="2F6E5BE5"/>
    <w:rsid w:val="2F70702F"/>
    <w:rsid w:val="2F7546FF"/>
    <w:rsid w:val="2F9051CA"/>
    <w:rsid w:val="2F9571D1"/>
    <w:rsid w:val="2F9808D7"/>
    <w:rsid w:val="2F9A4153"/>
    <w:rsid w:val="2FAC4AD9"/>
    <w:rsid w:val="2FAE5A58"/>
    <w:rsid w:val="2FAF3F07"/>
    <w:rsid w:val="2FB002C6"/>
    <w:rsid w:val="2FB678EB"/>
    <w:rsid w:val="2FB86000"/>
    <w:rsid w:val="2FBC7D25"/>
    <w:rsid w:val="2FC754E6"/>
    <w:rsid w:val="2FCE31F5"/>
    <w:rsid w:val="2FD03695"/>
    <w:rsid w:val="2FD65DB8"/>
    <w:rsid w:val="2FD90535"/>
    <w:rsid w:val="2FD94445"/>
    <w:rsid w:val="2FE63562"/>
    <w:rsid w:val="2FE77DDD"/>
    <w:rsid w:val="2FFD11B3"/>
    <w:rsid w:val="30024927"/>
    <w:rsid w:val="301D2ACC"/>
    <w:rsid w:val="302A1239"/>
    <w:rsid w:val="30465D0F"/>
    <w:rsid w:val="30504C07"/>
    <w:rsid w:val="306129B7"/>
    <w:rsid w:val="306566CC"/>
    <w:rsid w:val="306F1D6D"/>
    <w:rsid w:val="307C246D"/>
    <w:rsid w:val="307D1254"/>
    <w:rsid w:val="307E40AB"/>
    <w:rsid w:val="30800391"/>
    <w:rsid w:val="30820F37"/>
    <w:rsid w:val="30835E8D"/>
    <w:rsid w:val="30893136"/>
    <w:rsid w:val="308C1245"/>
    <w:rsid w:val="30921CEC"/>
    <w:rsid w:val="30923CCA"/>
    <w:rsid w:val="309F1F1D"/>
    <w:rsid w:val="30A70389"/>
    <w:rsid w:val="30A771AF"/>
    <w:rsid w:val="30AD5ED9"/>
    <w:rsid w:val="30C3453B"/>
    <w:rsid w:val="30C51E60"/>
    <w:rsid w:val="30D154CD"/>
    <w:rsid w:val="30D81614"/>
    <w:rsid w:val="30E34C63"/>
    <w:rsid w:val="30F8252A"/>
    <w:rsid w:val="30FB159E"/>
    <w:rsid w:val="3103764C"/>
    <w:rsid w:val="31133356"/>
    <w:rsid w:val="311573C0"/>
    <w:rsid w:val="31210F14"/>
    <w:rsid w:val="31287386"/>
    <w:rsid w:val="313659E2"/>
    <w:rsid w:val="313A04A3"/>
    <w:rsid w:val="313D7111"/>
    <w:rsid w:val="31417826"/>
    <w:rsid w:val="314A6D8A"/>
    <w:rsid w:val="314F13E9"/>
    <w:rsid w:val="31530E11"/>
    <w:rsid w:val="316F29A7"/>
    <w:rsid w:val="317C0EEA"/>
    <w:rsid w:val="317C56F1"/>
    <w:rsid w:val="317D5420"/>
    <w:rsid w:val="318C24CA"/>
    <w:rsid w:val="318D6977"/>
    <w:rsid w:val="319819F1"/>
    <w:rsid w:val="319A7D5C"/>
    <w:rsid w:val="319D1B49"/>
    <w:rsid w:val="31AA2738"/>
    <w:rsid w:val="31B1176C"/>
    <w:rsid w:val="31C54564"/>
    <w:rsid w:val="31D20C97"/>
    <w:rsid w:val="3203599B"/>
    <w:rsid w:val="32054323"/>
    <w:rsid w:val="32145EDF"/>
    <w:rsid w:val="32242554"/>
    <w:rsid w:val="32270C37"/>
    <w:rsid w:val="322E6A87"/>
    <w:rsid w:val="32323217"/>
    <w:rsid w:val="32327C20"/>
    <w:rsid w:val="323E44B2"/>
    <w:rsid w:val="323E6497"/>
    <w:rsid w:val="323F3F09"/>
    <w:rsid w:val="324261CA"/>
    <w:rsid w:val="32484BB4"/>
    <w:rsid w:val="32485588"/>
    <w:rsid w:val="32525151"/>
    <w:rsid w:val="32533D00"/>
    <w:rsid w:val="32661317"/>
    <w:rsid w:val="32672628"/>
    <w:rsid w:val="327959A7"/>
    <w:rsid w:val="327B684C"/>
    <w:rsid w:val="32881EDB"/>
    <w:rsid w:val="32931685"/>
    <w:rsid w:val="329462FB"/>
    <w:rsid w:val="329B22FE"/>
    <w:rsid w:val="32AC4499"/>
    <w:rsid w:val="32B606DA"/>
    <w:rsid w:val="32B731A4"/>
    <w:rsid w:val="32BD2B4C"/>
    <w:rsid w:val="32C50C6A"/>
    <w:rsid w:val="32D55E35"/>
    <w:rsid w:val="32D8339A"/>
    <w:rsid w:val="32E51902"/>
    <w:rsid w:val="32F11EF7"/>
    <w:rsid w:val="32F22466"/>
    <w:rsid w:val="330014A9"/>
    <w:rsid w:val="33002AD2"/>
    <w:rsid w:val="33017D15"/>
    <w:rsid w:val="33121CE1"/>
    <w:rsid w:val="33134AD7"/>
    <w:rsid w:val="331951CD"/>
    <w:rsid w:val="331C12DD"/>
    <w:rsid w:val="331E6FBF"/>
    <w:rsid w:val="332761CA"/>
    <w:rsid w:val="33281A87"/>
    <w:rsid w:val="332A206A"/>
    <w:rsid w:val="33333609"/>
    <w:rsid w:val="333413D4"/>
    <w:rsid w:val="333D310D"/>
    <w:rsid w:val="33454132"/>
    <w:rsid w:val="334B3B54"/>
    <w:rsid w:val="335079D1"/>
    <w:rsid w:val="3355486F"/>
    <w:rsid w:val="335678CC"/>
    <w:rsid w:val="335F2FC9"/>
    <w:rsid w:val="33607084"/>
    <w:rsid w:val="33607FBA"/>
    <w:rsid w:val="336423B4"/>
    <w:rsid w:val="3367645E"/>
    <w:rsid w:val="337933D2"/>
    <w:rsid w:val="337D3BB5"/>
    <w:rsid w:val="3380696E"/>
    <w:rsid w:val="338D2FF7"/>
    <w:rsid w:val="339A4650"/>
    <w:rsid w:val="33A23C96"/>
    <w:rsid w:val="33AD46A7"/>
    <w:rsid w:val="33C56610"/>
    <w:rsid w:val="33D54FEC"/>
    <w:rsid w:val="33D91852"/>
    <w:rsid w:val="33E7679E"/>
    <w:rsid w:val="33E94495"/>
    <w:rsid w:val="33EF176C"/>
    <w:rsid w:val="34023CD4"/>
    <w:rsid w:val="34140DED"/>
    <w:rsid w:val="341C6973"/>
    <w:rsid w:val="342514C5"/>
    <w:rsid w:val="342B73C1"/>
    <w:rsid w:val="343038F4"/>
    <w:rsid w:val="34357460"/>
    <w:rsid w:val="343E2362"/>
    <w:rsid w:val="344E34E1"/>
    <w:rsid w:val="345C5B41"/>
    <w:rsid w:val="345D1CB0"/>
    <w:rsid w:val="345E255B"/>
    <w:rsid w:val="34767CD1"/>
    <w:rsid w:val="3477422C"/>
    <w:rsid w:val="348236BC"/>
    <w:rsid w:val="348267C2"/>
    <w:rsid w:val="348508BA"/>
    <w:rsid w:val="34981339"/>
    <w:rsid w:val="34A767DC"/>
    <w:rsid w:val="34B177BE"/>
    <w:rsid w:val="34B579E0"/>
    <w:rsid w:val="34B819F0"/>
    <w:rsid w:val="34BE45D5"/>
    <w:rsid w:val="34BE6E90"/>
    <w:rsid w:val="34C45DA7"/>
    <w:rsid w:val="34D01621"/>
    <w:rsid w:val="34DD6ACE"/>
    <w:rsid w:val="34DF0253"/>
    <w:rsid w:val="34DF556E"/>
    <w:rsid w:val="34E56180"/>
    <w:rsid w:val="34E83D6C"/>
    <w:rsid w:val="34E85E2A"/>
    <w:rsid w:val="34EB7EFA"/>
    <w:rsid w:val="34FC18F8"/>
    <w:rsid w:val="34FD7586"/>
    <w:rsid w:val="35026A79"/>
    <w:rsid w:val="35050F52"/>
    <w:rsid w:val="3508488E"/>
    <w:rsid w:val="35151DCA"/>
    <w:rsid w:val="3517465F"/>
    <w:rsid w:val="3528374F"/>
    <w:rsid w:val="352C1731"/>
    <w:rsid w:val="353554E0"/>
    <w:rsid w:val="35413D40"/>
    <w:rsid w:val="354C32FF"/>
    <w:rsid w:val="354D5B81"/>
    <w:rsid w:val="355568AB"/>
    <w:rsid w:val="356B76D5"/>
    <w:rsid w:val="357323E9"/>
    <w:rsid w:val="35765E1D"/>
    <w:rsid w:val="357D7FE6"/>
    <w:rsid w:val="35924FB4"/>
    <w:rsid w:val="359F7B24"/>
    <w:rsid w:val="35A26616"/>
    <w:rsid w:val="35A669F7"/>
    <w:rsid w:val="35A9226A"/>
    <w:rsid w:val="35A94785"/>
    <w:rsid w:val="35AA1822"/>
    <w:rsid w:val="35AB6F85"/>
    <w:rsid w:val="35B3739F"/>
    <w:rsid w:val="35BB6210"/>
    <w:rsid w:val="35BD5172"/>
    <w:rsid w:val="35C06AD1"/>
    <w:rsid w:val="35E23027"/>
    <w:rsid w:val="35E539F0"/>
    <w:rsid w:val="35EE750C"/>
    <w:rsid w:val="36122964"/>
    <w:rsid w:val="362520FC"/>
    <w:rsid w:val="36416B55"/>
    <w:rsid w:val="36456885"/>
    <w:rsid w:val="36482471"/>
    <w:rsid w:val="36627151"/>
    <w:rsid w:val="36652880"/>
    <w:rsid w:val="367867E4"/>
    <w:rsid w:val="36884D71"/>
    <w:rsid w:val="368E7EDD"/>
    <w:rsid w:val="36967646"/>
    <w:rsid w:val="369D0E2C"/>
    <w:rsid w:val="36BD684A"/>
    <w:rsid w:val="36BE3EA4"/>
    <w:rsid w:val="36C637F6"/>
    <w:rsid w:val="36C70D34"/>
    <w:rsid w:val="36CF413D"/>
    <w:rsid w:val="36D93053"/>
    <w:rsid w:val="36EF1E87"/>
    <w:rsid w:val="370006AE"/>
    <w:rsid w:val="370E1F8C"/>
    <w:rsid w:val="3714763F"/>
    <w:rsid w:val="371C5A35"/>
    <w:rsid w:val="372277C5"/>
    <w:rsid w:val="37235A31"/>
    <w:rsid w:val="3727187F"/>
    <w:rsid w:val="372872A4"/>
    <w:rsid w:val="373803FA"/>
    <w:rsid w:val="373B7026"/>
    <w:rsid w:val="373D1E6B"/>
    <w:rsid w:val="3742708A"/>
    <w:rsid w:val="37447FD5"/>
    <w:rsid w:val="374D5E23"/>
    <w:rsid w:val="37561E64"/>
    <w:rsid w:val="375814C9"/>
    <w:rsid w:val="37596F3D"/>
    <w:rsid w:val="376371CF"/>
    <w:rsid w:val="37721F5B"/>
    <w:rsid w:val="377848B3"/>
    <w:rsid w:val="37795BD0"/>
    <w:rsid w:val="377D0D04"/>
    <w:rsid w:val="377E16AE"/>
    <w:rsid w:val="37847F38"/>
    <w:rsid w:val="378F6482"/>
    <w:rsid w:val="37944B1F"/>
    <w:rsid w:val="379A284C"/>
    <w:rsid w:val="379E5A93"/>
    <w:rsid w:val="37A21EAE"/>
    <w:rsid w:val="37A5387E"/>
    <w:rsid w:val="37A73185"/>
    <w:rsid w:val="37AB3CED"/>
    <w:rsid w:val="37AB67DF"/>
    <w:rsid w:val="37B15F12"/>
    <w:rsid w:val="37B31FFC"/>
    <w:rsid w:val="37B843D3"/>
    <w:rsid w:val="37B93F58"/>
    <w:rsid w:val="37BA0FC3"/>
    <w:rsid w:val="37BA154B"/>
    <w:rsid w:val="37C6617B"/>
    <w:rsid w:val="37C8420C"/>
    <w:rsid w:val="37CB795C"/>
    <w:rsid w:val="37EB38CF"/>
    <w:rsid w:val="37EC1432"/>
    <w:rsid w:val="37FE54D1"/>
    <w:rsid w:val="380A4C2A"/>
    <w:rsid w:val="38187E53"/>
    <w:rsid w:val="381F7DB5"/>
    <w:rsid w:val="3820601B"/>
    <w:rsid w:val="38207224"/>
    <w:rsid w:val="38235207"/>
    <w:rsid w:val="38274964"/>
    <w:rsid w:val="38307DA0"/>
    <w:rsid w:val="383165CF"/>
    <w:rsid w:val="38373AD2"/>
    <w:rsid w:val="384B0D26"/>
    <w:rsid w:val="38500B64"/>
    <w:rsid w:val="38501B0F"/>
    <w:rsid w:val="386D2F14"/>
    <w:rsid w:val="3872678A"/>
    <w:rsid w:val="387346C5"/>
    <w:rsid w:val="387D4899"/>
    <w:rsid w:val="38804F97"/>
    <w:rsid w:val="388D2A33"/>
    <w:rsid w:val="388E29F5"/>
    <w:rsid w:val="38937C00"/>
    <w:rsid w:val="38995FC5"/>
    <w:rsid w:val="389C2CFE"/>
    <w:rsid w:val="38B14D5A"/>
    <w:rsid w:val="38B17950"/>
    <w:rsid w:val="38B506AA"/>
    <w:rsid w:val="38C60236"/>
    <w:rsid w:val="38D20CFE"/>
    <w:rsid w:val="38D46734"/>
    <w:rsid w:val="38D53176"/>
    <w:rsid w:val="38D80836"/>
    <w:rsid w:val="38E543D2"/>
    <w:rsid w:val="38EE5D01"/>
    <w:rsid w:val="38FA1A41"/>
    <w:rsid w:val="391039D4"/>
    <w:rsid w:val="391D3144"/>
    <w:rsid w:val="39201BDD"/>
    <w:rsid w:val="39283AE4"/>
    <w:rsid w:val="393A2770"/>
    <w:rsid w:val="39545787"/>
    <w:rsid w:val="3955068C"/>
    <w:rsid w:val="39573AF3"/>
    <w:rsid w:val="395B0FE4"/>
    <w:rsid w:val="39600FA8"/>
    <w:rsid w:val="397155D0"/>
    <w:rsid w:val="39716569"/>
    <w:rsid w:val="3976001D"/>
    <w:rsid w:val="3985094A"/>
    <w:rsid w:val="39862977"/>
    <w:rsid w:val="398E076C"/>
    <w:rsid w:val="398F1BCC"/>
    <w:rsid w:val="39960D2A"/>
    <w:rsid w:val="39962702"/>
    <w:rsid w:val="399A2CFE"/>
    <w:rsid w:val="39A53FC1"/>
    <w:rsid w:val="39A86099"/>
    <w:rsid w:val="39AA7CB3"/>
    <w:rsid w:val="39BA3003"/>
    <w:rsid w:val="39BC1A7F"/>
    <w:rsid w:val="39BD1F51"/>
    <w:rsid w:val="39C15588"/>
    <w:rsid w:val="39C3448A"/>
    <w:rsid w:val="39C97705"/>
    <w:rsid w:val="39CD79B7"/>
    <w:rsid w:val="39DD5F7E"/>
    <w:rsid w:val="39E4584B"/>
    <w:rsid w:val="39E536DC"/>
    <w:rsid w:val="39ED4412"/>
    <w:rsid w:val="39F777B0"/>
    <w:rsid w:val="39F96036"/>
    <w:rsid w:val="39FD5F58"/>
    <w:rsid w:val="39FD6E23"/>
    <w:rsid w:val="3A1219A3"/>
    <w:rsid w:val="3A1C2B32"/>
    <w:rsid w:val="3A236D28"/>
    <w:rsid w:val="3A2B2547"/>
    <w:rsid w:val="3A4B6DF2"/>
    <w:rsid w:val="3A591F78"/>
    <w:rsid w:val="3A5C6458"/>
    <w:rsid w:val="3A75646E"/>
    <w:rsid w:val="3A7810E5"/>
    <w:rsid w:val="3A7A1761"/>
    <w:rsid w:val="3A7C1E70"/>
    <w:rsid w:val="3A882442"/>
    <w:rsid w:val="3A9E3165"/>
    <w:rsid w:val="3AB4011C"/>
    <w:rsid w:val="3AC751F1"/>
    <w:rsid w:val="3ACD39DF"/>
    <w:rsid w:val="3AE1435C"/>
    <w:rsid w:val="3AEC19E3"/>
    <w:rsid w:val="3AF407DC"/>
    <w:rsid w:val="3B14431B"/>
    <w:rsid w:val="3B1870BB"/>
    <w:rsid w:val="3B2100A9"/>
    <w:rsid w:val="3B295D74"/>
    <w:rsid w:val="3B2A44DD"/>
    <w:rsid w:val="3B2D7101"/>
    <w:rsid w:val="3B420A38"/>
    <w:rsid w:val="3B4F699B"/>
    <w:rsid w:val="3B520B2E"/>
    <w:rsid w:val="3B572661"/>
    <w:rsid w:val="3B586B94"/>
    <w:rsid w:val="3B614245"/>
    <w:rsid w:val="3B7D08B9"/>
    <w:rsid w:val="3B8174F7"/>
    <w:rsid w:val="3B8C2350"/>
    <w:rsid w:val="3B9401F1"/>
    <w:rsid w:val="3B953589"/>
    <w:rsid w:val="3B973283"/>
    <w:rsid w:val="3B9F505D"/>
    <w:rsid w:val="3BA16866"/>
    <w:rsid w:val="3BA749F1"/>
    <w:rsid w:val="3BB15F83"/>
    <w:rsid w:val="3BBF5D16"/>
    <w:rsid w:val="3BC743B9"/>
    <w:rsid w:val="3BCF30AD"/>
    <w:rsid w:val="3BD87D17"/>
    <w:rsid w:val="3BDD317D"/>
    <w:rsid w:val="3BEB2470"/>
    <w:rsid w:val="3BF31BB7"/>
    <w:rsid w:val="3BF82710"/>
    <w:rsid w:val="3BFB5716"/>
    <w:rsid w:val="3BFF38CF"/>
    <w:rsid w:val="3C246332"/>
    <w:rsid w:val="3C257688"/>
    <w:rsid w:val="3C274490"/>
    <w:rsid w:val="3C2B18EE"/>
    <w:rsid w:val="3C2B284E"/>
    <w:rsid w:val="3C332EFA"/>
    <w:rsid w:val="3C457A97"/>
    <w:rsid w:val="3C504F0A"/>
    <w:rsid w:val="3C5100D3"/>
    <w:rsid w:val="3C59579F"/>
    <w:rsid w:val="3C5A251E"/>
    <w:rsid w:val="3C5E0845"/>
    <w:rsid w:val="3C624894"/>
    <w:rsid w:val="3C6368DE"/>
    <w:rsid w:val="3C676674"/>
    <w:rsid w:val="3C705C5E"/>
    <w:rsid w:val="3C836932"/>
    <w:rsid w:val="3C8B2C5A"/>
    <w:rsid w:val="3C98765E"/>
    <w:rsid w:val="3C9902DB"/>
    <w:rsid w:val="3C990F61"/>
    <w:rsid w:val="3CAE6941"/>
    <w:rsid w:val="3CB233A8"/>
    <w:rsid w:val="3CB44A2B"/>
    <w:rsid w:val="3CBB395D"/>
    <w:rsid w:val="3CBD2EC0"/>
    <w:rsid w:val="3CC424A6"/>
    <w:rsid w:val="3CC85F64"/>
    <w:rsid w:val="3CC86ED4"/>
    <w:rsid w:val="3CD524E8"/>
    <w:rsid w:val="3CD5312D"/>
    <w:rsid w:val="3CD53302"/>
    <w:rsid w:val="3CDF05E0"/>
    <w:rsid w:val="3CE36B6D"/>
    <w:rsid w:val="3CE37411"/>
    <w:rsid w:val="3CE96BA3"/>
    <w:rsid w:val="3CF33826"/>
    <w:rsid w:val="3CF97F26"/>
    <w:rsid w:val="3CFD3055"/>
    <w:rsid w:val="3D161B6A"/>
    <w:rsid w:val="3D181971"/>
    <w:rsid w:val="3D196668"/>
    <w:rsid w:val="3D1B169F"/>
    <w:rsid w:val="3D2A2031"/>
    <w:rsid w:val="3D2C3C20"/>
    <w:rsid w:val="3D2D4110"/>
    <w:rsid w:val="3D3530CA"/>
    <w:rsid w:val="3D3D7BF9"/>
    <w:rsid w:val="3D4477F9"/>
    <w:rsid w:val="3D55293D"/>
    <w:rsid w:val="3D582FFA"/>
    <w:rsid w:val="3D5C7D7A"/>
    <w:rsid w:val="3D5F7A21"/>
    <w:rsid w:val="3D625AB2"/>
    <w:rsid w:val="3D6F37B7"/>
    <w:rsid w:val="3D721FC2"/>
    <w:rsid w:val="3D8C4E67"/>
    <w:rsid w:val="3D8F6486"/>
    <w:rsid w:val="3D9B2406"/>
    <w:rsid w:val="3DA60B3C"/>
    <w:rsid w:val="3DAA16D9"/>
    <w:rsid w:val="3DC62B30"/>
    <w:rsid w:val="3DD10999"/>
    <w:rsid w:val="3DD22F5C"/>
    <w:rsid w:val="3DD61BD9"/>
    <w:rsid w:val="3DDB7FFE"/>
    <w:rsid w:val="3DE71C05"/>
    <w:rsid w:val="3DEC7F90"/>
    <w:rsid w:val="3DEF317F"/>
    <w:rsid w:val="3E015B48"/>
    <w:rsid w:val="3E1B73E5"/>
    <w:rsid w:val="3E24340C"/>
    <w:rsid w:val="3E245039"/>
    <w:rsid w:val="3E280B4F"/>
    <w:rsid w:val="3E2E749D"/>
    <w:rsid w:val="3E306348"/>
    <w:rsid w:val="3E3302C4"/>
    <w:rsid w:val="3E38020E"/>
    <w:rsid w:val="3E39513D"/>
    <w:rsid w:val="3E3A0B65"/>
    <w:rsid w:val="3E3A19C7"/>
    <w:rsid w:val="3E415366"/>
    <w:rsid w:val="3E420B1A"/>
    <w:rsid w:val="3E4239FC"/>
    <w:rsid w:val="3E476AC2"/>
    <w:rsid w:val="3E4977DB"/>
    <w:rsid w:val="3E525B18"/>
    <w:rsid w:val="3E5872F1"/>
    <w:rsid w:val="3E5C389C"/>
    <w:rsid w:val="3E611ACD"/>
    <w:rsid w:val="3E6B5282"/>
    <w:rsid w:val="3E7A05FA"/>
    <w:rsid w:val="3E86686E"/>
    <w:rsid w:val="3E870788"/>
    <w:rsid w:val="3E9A22A2"/>
    <w:rsid w:val="3EB73FBD"/>
    <w:rsid w:val="3EBE4E2F"/>
    <w:rsid w:val="3EC077C6"/>
    <w:rsid w:val="3EC913FC"/>
    <w:rsid w:val="3ECF49F0"/>
    <w:rsid w:val="3ED42121"/>
    <w:rsid w:val="3ED53A25"/>
    <w:rsid w:val="3ED81BBA"/>
    <w:rsid w:val="3EDE3676"/>
    <w:rsid w:val="3EE35CC6"/>
    <w:rsid w:val="3EE742F6"/>
    <w:rsid w:val="3EF262A3"/>
    <w:rsid w:val="3F03729D"/>
    <w:rsid w:val="3F093F90"/>
    <w:rsid w:val="3F114F02"/>
    <w:rsid w:val="3F137783"/>
    <w:rsid w:val="3F1C332C"/>
    <w:rsid w:val="3F3103CE"/>
    <w:rsid w:val="3F324DA9"/>
    <w:rsid w:val="3F345011"/>
    <w:rsid w:val="3F373373"/>
    <w:rsid w:val="3F3B738F"/>
    <w:rsid w:val="3F3D0C2A"/>
    <w:rsid w:val="3F405E58"/>
    <w:rsid w:val="3F471F3A"/>
    <w:rsid w:val="3F5B74FC"/>
    <w:rsid w:val="3F6331CF"/>
    <w:rsid w:val="3F6778AF"/>
    <w:rsid w:val="3F6D312A"/>
    <w:rsid w:val="3F724594"/>
    <w:rsid w:val="3F72618E"/>
    <w:rsid w:val="3F7C0A95"/>
    <w:rsid w:val="3F8749B2"/>
    <w:rsid w:val="3F942204"/>
    <w:rsid w:val="3F975AEA"/>
    <w:rsid w:val="3F9C219E"/>
    <w:rsid w:val="3FA34811"/>
    <w:rsid w:val="3FB25D7D"/>
    <w:rsid w:val="3FC47462"/>
    <w:rsid w:val="3FD568F6"/>
    <w:rsid w:val="3FEC45FF"/>
    <w:rsid w:val="3FF2075F"/>
    <w:rsid w:val="3FFA6D1C"/>
    <w:rsid w:val="3FFB703C"/>
    <w:rsid w:val="3FFD0AE5"/>
    <w:rsid w:val="400E2358"/>
    <w:rsid w:val="40115305"/>
    <w:rsid w:val="401B1144"/>
    <w:rsid w:val="401D283D"/>
    <w:rsid w:val="402965E7"/>
    <w:rsid w:val="402E51C3"/>
    <w:rsid w:val="40404B65"/>
    <w:rsid w:val="404671E2"/>
    <w:rsid w:val="40487757"/>
    <w:rsid w:val="405652B3"/>
    <w:rsid w:val="40577CC2"/>
    <w:rsid w:val="40681C27"/>
    <w:rsid w:val="40770F53"/>
    <w:rsid w:val="407A58BF"/>
    <w:rsid w:val="407C46A2"/>
    <w:rsid w:val="408823B0"/>
    <w:rsid w:val="408E19F8"/>
    <w:rsid w:val="409A4E5D"/>
    <w:rsid w:val="40A97D01"/>
    <w:rsid w:val="40AE4F1B"/>
    <w:rsid w:val="40B34E39"/>
    <w:rsid w:val="40B471EB"/>
    <w:rsid w:val="40BC7E78"/>
    <w:rsid w:val="40D2222A"/>
    <w:rsid w:val="40DC710B"/>
    <w:rsid w:val="40E37893"/>
    <w:rsid w:val="40E83B45"/>
    <w:rsid w:val="40EF73FB"/>
    <w:rsid w:val="40F34AB1"/>
    <w:rsid w:val="40FE45B0"/>
    <w:rsid w:val="410453D6"/>
    <w:rsid w:val="411F2315"/>
    <w:rsid w:val="41215D22"/>
    <w:rsid w:val="412262D8"/>
    <w:rsid w:val="412F2E76"/>
    <w:rsid w:val="412F37ED"/>
    <w:rsid w:val="41372DA8"/>
    <w:rsid w:val="41397CAB"/>
    <w:rsid w:val="413D0CA2"/>
    <w:rsid w:val="41444A28"/>
    <w:rsid w:val="41470F84"/>
    <w:rsid w:val="4148284B"/>
    <w:rsid w:val="415624D0"/>
    <w:rsid w:val="41576499"/>
    <w:rsid w:val="41675ABD"/>
    <w:rsid w:val="418639D9"/>
    <w:rsid w:val="41877FCE"/>
    <w:rsid w:val="419806DD"/>
    <w:rsid w:val="419F6FB4"/>
    <w:rsid w:val="41A06D97"/>
    <w:rsid w:val="41A566D5"/>
    <w:rsid w:val="41AC1263"/>
    <w:rsid w:val="41BE48D0"/>
    <w:rsid w:val="41C319F6"/>
    <w:rsid w:val="41CB4BE0"/>
    <w:rsid w:val="41CB7AF4"/>
    <w:rsid w:val="41CC19B2"/>
    <w:rsid w:val="41CD6EE0"/>
    <w:rsid w:val="41D2008E"/>
    <w:rsid w:val="41DB28CB"/>
    <w:rsid w:val="41DB41C1"/>
    <w:rsid w:val="41E23459"/>
    <w:rsid w:val="41F01390"/>
    <w:rsid w:val="41F41D3C"/>
    <w:rsid w:val="41F85CFC"/>
    <w:rsid w:val="42004A03"/>
    <w:rsid w:val="420141AD"/>
    <w:rsid w:val="42121221"/>
    <w:rsid w:val="42161AB5"/>
    <w:rsid w:val="42191469"/>
    <w:rsid w:val="421D78AF"/>
    <w:rsid w:val="42302743"/>
    <w:rsid w:val="42337BB2"/>
    <w:rsid w:val="423621D1"/>
    <w:rsid w:val="423B3B83"/>
    <w:rsid w:val="42462F55"/>
    <w:rsid w:val="42487174"/>
    <w:rsid w:val="424D65B8"/>
    <w:rsid w:val="42504E06"/>
    <w:rsid w:val="42532A2A"/>
    <w:rsid w:val="42672B22"/>
    <w:rsid w:val="42753473"/>
    <w:rsid w:val="42793D76"/>
    <w:rsid w:val="4282410F"/>
    <w:rsid w:val="428630AA"/>
    <w:rsid w:val="428D37F8"/>
    <w:rsid w:val="4290045E"/>
    <w:rsid w:val="429617E4"/>
    <w:rsid w:val="429F015C"/>
    <w:rsid w:val="42A70FB2"/>
    <w:rsid w:val="42BD4D88"/>
    <w:rsid w:val="42DC47BE"/>
    <w:rsid w:val="42FA0E96"/>
    <w:rsid w:val="42FC7282"/>
    <w:rsid w:val="430155C1"/>
    <w:rsid w:val="43040679"/>
    <w:rsid w:val="430A36D8"/>
    <w:rsid w:val="430B7DC0"/>
    <w:rsid w:val="432900A7"/>
    <w:rsid w:val="432B228E"/>
    <w:rsid w:val="43361A34"/>
    <w:rsid w:val="43415102"/>
    <w:rsid w:val="435E3B37"/>
    <w:rsid w:val="435F383F"/>
    <w:rsid w:val="43771613"/>
    <w:rsid w:val="43825140"/>
    <w:rsid w:val="43891A4F"/>
    <w:rsid w:val="43970D80"/>
    <w:rsid w:val="439821EA"/>
    <w:rsid w:val="439D39E3"/>
    <w:rsid w:val="43A25B81"/>
    <w:rsid w:val="43AC72E6"/>
    <w:rsid w:val="43BA0F75"/>
    <w:rsid w:val="43D075CA"/>
    <w:rsid w:val="43DA014F"/>
    <w:rsid w:val="43DB083D"/>
    <w:rsid w:val="43E077FA"/>
    <w:rsid w:val="43E7553E"/>
    <w:rsid w:val="43EA4254"/>
    <w:rsid w:val="43EC31FA"/>
    <w:rsid w:val="43FD5286"/>
    <w:rsid w:val="44132BAB"/>
    <w:rsid w:val="441B3052"/>
    <w:rsid w:val="441D5BB6"/>
    <w:rsid w:val="441E7DEC"/>
    <w:rsid w:val="441F344E"/>
    <w:rsid w:val="44263089"/>
    <w:rsid w:val="4435069C"/>
    <w:rsid w:val="443749A5"/>
    <w:rsid w:val="443E069A"/>
    <w:rsid w:val="443F0631"/>
    <w:rsid w:val="444029F5"/>
    <w:rsid w:val="4446623F"/>
    <w:rsid w:val="44520212"/>
    <w:rsid w:val="44662E87"/>
    <w:rsid w:val="44712C7D"/>
    <w:rsid w:val="447C4904"/>
    <w:rsid w:val="447E62EB"/>
    <w:rsid w:val="44830754"/>
    <w:rsid w:val="448C2FE7"/>
    <w:rsid w:val="448E58CD"/>
    <w:rsid w:val="449169CB"/>
    <w:rsid w:val="44950076"/>
    <w:rsid w:val="44990D48"/>
    <w:rsid w:val="449963FD"/>
    <w:rsid w:val="449E3034"/>
    <w:rsid w:val="44B317B4"/>
    <w:rsid w:val="44BA42D7"/>
    <w:rsid w:val="44BD3348"/>
    <w:rsid w:val="44C34058"/>
    <w:rsid w:val="44CD5C0B"/>
    <w:rsid w:val="44DF29F0"/>
    <w:rsid w:val="44E85B21"/>
    <w:rsid w:val="44FB12F4"/>
    <w:rsid w:val="44FB135A"/>
    <w:rsid w:val="44FD3D00"/>
    <w:rsid w:val="4501783D"/>
    <w:rsid w:val="45045E75"/>
    <w:rsid w:val="45074CC9"/>
    <w:rsid w:val="45095BAC"/>
    <w:rsid w:val="452903F4"/>
    <w:rsid w:val="45544F5D"/>
    <w:rsid w:val="455F3ED5"/>
    <w:rsid w:val="455F6DA0"/>
    <w:rsid w:val="456121E2"/>
    <w:rsid w:val="456B6670"/>
    <w:rsid w:val="456C3B16"/>
    <w:rsid w:val="456E0C30"/>
    <w:rsid w:val="456F138E"/>
    <w:rsid w:val="457E54C9"/>
    <w:rsid w:val="457E7099"/>
    <w:rsid w:val="4588448B"/>
    <w:rsid w:val="458C1031"/>
    <w:rsid w:val="458E1E68"/>
    <w:rsid w:val="45A13E70"/>
    <w:rsid w:val="45A64B37"/>
    <w:rsid w:val="45B40E01"/>
    <w:rsid w:val="45B55719"/>
    <w:rsid w:val="45C57FD2"/>
    <w:rsid w:val="45C854BC"/>
    <w:rsid w:val="45C95D12"/>
    <w:rsid w:val="45D1433A"/>
    <w:rsid w:val="45D428FB"/>
    <w:rsid w:val="45EB505F"/>
    <w:rsid w:val="45EC786B"/>
    <w:rsid w:val="45FA211E"/>
    <w:rsid w:val="46042AC1"/>
    <w:rsid w:val="460970C5"/>
    <w:rsid w:val="460A57F9"/>
    <w:rsid w:val="460D2B2E"/>
    <w:rsid w:val="460D6F11"/>
    <w:rsid w:val="460F745E"/>
    <w:rsid w:val="4613597E"/>
    <w:rsid w:val="461A554B"/>
    <w:rsid w:val="461B2D23"/>
    <w:rsid w:val="462B4176"/>
    <w:rsid w:val="463310CB"/>
    <w:rsid w:val="46390937"/>
    <w:rsid w:val="463E5B74"/>
    <w:rsid w:val="464D3915"/>
    <w:rsid w:val="46557ECE"/>
    <w:rsid w:val="46586D94"/>
    <w:rsid w:val="465916F2"/>
    <w:rsid w:val="46620F60"/>
    <w:rsid w:val="466818DC"/>
    <w:rsid w:val="466E68F0"/>
    <w:rsid w:val="466F0FDA"/>
    <w:rsid w:val="468043C2"/>
    <w:rsid w:val="468267BD"/>
    <w:rsid w:val="46890818"/>
    <w:rsid w:val="468A0296"/>
    <w:rsid w:val="468C2753"/>
    <w:rsid w:val="468E60BE"/>
    <w:rsid w:val="469156B0"/>
    <w:rsid w:val="46971753"/>
    <w:rsid w:val="46A36B81"/>
    <w:rsid w:val="46A446BC"/>
    <w:rsid w:val="46A8596F"/>
    <w:rsid w:val="46A94070"/>
    <w:rsid w:val="46AF399C"/>
    <w:rsid w:val="46B463D0"/>
    <w:rsid w:val="46BF7BF9"/>
    <w:rsid w:val="46C84727"/>
    <w:rsid w:val="46D35A3D"/>
    <w:rsid w:val="46D8525A"/>
    <w:rsid w:val="46E0072F"/>
    <w:rsid w:val="46E01C0C"/>
    <w:rsid w:val="46E76DFD"/>
    <w:rsid w:val="46ED492F"/>
    <w:rsid w:val="470B6469"/>
    <w:rsid w:val="471049D8"/>
    <w:rsid w:val="471345CD"/>
    <w:rsid w:val="47183EC4"/>
    <w:rsid w:val="471C2D17"/>
    <w:rsid w:val="471F5C7A"/>
    <w:rsid w:val="47212EAB"/>
    <w:rsid w:val="47256B45"/>
    <w:rsid w:val="47276438"/>
    <w:rsid w:val="472C092B"/>
    <w:rsid w:val="47342437"/>
    <w:rsid w:val="47381502"/>
    <w:rsid w:val="473A7BFF"/>
    <w:rsid w:val="473C62E6"/>
    <w:rsid w:val="4747056C"/>
    <w:rsid w:val="475E528F"/>
    <w:rsid w:val="47723914"/>
    <w:rsid w:val="477F7929"/>
    <w:rsid w:val="47AD072C"/>
    <w:rsid w:val="47BC1F39"/>
    <w:rsid w:val="47C35128"/>
    <w:rsid w:val="47C93E5F"/>
    <w:rsid w:val="47D17FAB"/>
    <w:rsid w:val="47D53069"/>
    <w:rsid w:val="47D64763"/>
    <w:rsid w:val="47D82C92"/>
    <w:rsid w:val="47D941B3"/>
    <w:rsid w:val="47E47C13"/>
    <w:rsid w:val="47E54D9C"/>
    <w:rsid w:val="47E56C30"/>
    <w:rsid w:val="47E77DF8"/>
    <w:rsid w:val="47E94774"/>
    <w:rsid w:val="47EE3137"/>
    <w:rsid w:val="47F96739"/>
    <w:rsid w:val="480E5B06"/>
    <w:rsid w:val="48102DC1"/>
    <w:rsid w:val="48115767"/>
    <w:rsid w:val="48156337"/>
    <w:rsid w:val="48166200"/>
    <w:rsid w:val="481D7708"/>
    <w:rsid w:val="48270AD1"/>
    <w:rsid w:val="48292C66"/>
    <w:rsid w:val="48296FFC"/>
    <w:rsid w:val="482B676D"/>
    <w:rsid w:val="48376633"/>
    <w:rsid w:val="484123A0"/>
    <w:rsid w:val="48461B6E"/>
    <w:rsid w:val="484A5BC7"/>
    <w:rsid w:val="484B252C"/>
    <w:rsid w:val="4852214D"/>
    <w:rsid w:val="48567081"/>
    <w:rsid w:val="485E58CF"/>
    <w:rsid w:val="48680360"/>
    <w:rsid w:val="486B4B3A"/>
    <w:rsid w:val="486D27C7"/>
    <w:rsid w:val="488D4667"/>
    <w:rsid w:val="488F3E9B"/>
    <w:rsid w:val="48B07A04"/>
    <w:rsid w:val="48B71343"/>
    <w:rsid w:val="48C16895"/>
    <w:rsid w:val="48C25CC5"/>
    <w:rsid w:val="48C83478"/>
    <w:rsid w:val="48CA4AFD"/>
    <w:rsid w:val="48CA6562"/>
    <w:rsid w:val="48CD65A7"/>
    <w:rsid w:val="48E32F72"/>
    <w:rsid w:val="48E40223"/>
    <w:rsid w:val="48EB26F1"/>
    <w:rsid w:val="48F80C52"/>
    <w:rsid w:val="49056EDC"/>
    <w:rsid w:val="490574B6"/>
    <w:rsid w:val="490C7333"/>
    <w:rsid w:val="49102232"/>
    <w:rsid w:val="491F01B7"/>
    <w:rsid w:val="4929329A"/>
    <w:rsid w:val="49365000"/>
    <w:rsid w:val="493B23E2"/>
    <w:rsid w:val="493D464E"/>
    <w:rsid w:val="493D6708"/>
    <w:rsid w:val="49406E1A"/>
    <w:rsid w:val="494339B8"/>
    <w:rsid w:val="494C0D84"/>
    <w:rsid w:val="494D7478"/>
    <w:rsid w:val="494F7C5F"/>
    <w:rsid w:val="495A4A9C"/>
    <w:rsid w:val="495C79CE"/>
    <w:rsid w:val="495F4657"/>
    <w:rsid w:val="497502ED"/>
    <w:rsid w:val="497D4888"/>
    <w:rsid w:val="49800AB8"/>
    <w:rsid w:val="49814370"/>
    <w:rsid w:val="49924477"/>
    <w:rsid w:val="499802E2"/>
    <w:rsid w:val="4998585B"/>
    <w:rsid w:val="499D1C2F"/>
    <w:rsid w:val="49AB2E3D"/>
    <w:rsid w:val="49C22878"/>
    <w:rsid w:val="49C940DF"/>
    <w:rsid w:val="49CC04F4"/>
    <w:rsid w:val="49D736CC"/>
    <w:rsid w:val="49D77A2B"/>
    <w:rsid w:val="49E04A37"/>
    <w:rsid w:val="49E36296"/>
    <w:rsid w:val="49E36DC8"/>
    <w:rsid w:val="49E95D4D"/>
    <w:rsid w:val="49EF0B9B"/>
    <w:rsid w:val="49F01388"/>
    <w:rsid w:val="4A051F4D"/>
    <w:rsid w:val="4A070B70"/>
    <w:rsid w:val="4A073766"/>
    <w:rsid w:val="4A0D71EF"/>
    <w:rsid w:val="4A187999"/>
    <w:rsid w:val="4A225CE7"/>
    <w:rsid w:val="4A2929E7"/>
    <w:rsid w:val="4A2C3050"/>
    <w:rsid w:val="4A2C5699"/>
    <w:rsid w:val="4A3C4113"/>
    <w:rsid w:val="4A3C42FB"/>
    <w:rsid w:val="4A42071F"/>
    <w:rsid w:val="4A5313D7"/>
    <w:rsid w:val="4A56089D"/>
    <w:rsid w:val="4A5C4014"/>
    <w:rsid w:val="4A5F126E"/>
    <w:rsid w:val="4A7A054A"/>
    <w:rsid w:val="4A7C5B27"/>
    <w:rsid w:val="4A8321C7"/>
    <w:rsid w:val="4A8D239B"/>
    <w:rsid w:val="4A8D7F37"/>
    <w:rsid w:val="4A8F152B"/>
    <w:rsid w:val="4A9256D8"/>
    <w:rsid w:val="4A9578C1"/>
    <w:rsid w:val="4AA024D6"/>
    <w:rsid w:val="4AB92500"/>
    <w:rsid w:val="4ABA60CC"/>
    <w:rsid w:val="4AC62E1A"/>
    <w:rsid w:val="4AD80560"/>
    <w:rsid w:val="4AD91782"/>
    <w:rsid w:val="4ADA0E5A"/>
    <w:rsid w:val="4AE0688A"/>
    <w:rsid w:val="4B0039E7"/>
    <w:rsid w:val="4B180AB4"/>
    <w:rsid w:val="4B1E275D"/>
    <w:rsid w:val="4B1F05B6"/>
    <w:rsid w:val="4B2579B8"/>
    <w:rsid w:val="4B2B1659"/>
    <w:rsid w:val="4B2F276C"/>
    <w:rsid w:val="4B306A64"/>
    <w:rsid w:val="4B3649F7"/>
    <w:rsid w:val="4B3C5CDF"/>
    <w:rsid w:val="4B405EE7"/>
    <w:rsid w:val="4B410252"/>
    <w:rsid w:val="4B5D44CF"/>
    <w:rsid w:val="4B5E6107"/>
    <w:rsid w:val="4B6F1A0F"/>
    <w:rsid w:val="4B7331FC"/>
    <w:rsid w:val="4B9A010B"/>
    <w:rsid w:val="4B9A55C9"/>
    <w:rsid w:val="4BAF4540"/>
    <w:rsid w:val="4BAF6845"/>
    <w:rsid w:val="4BAF77F8"/>
    <w:rsid w:val="4BB03493"/>
    <w:rsid w:val="4BBA533B"/>
    <w:rsid w:val="4BBF1667"/>
    <w:rsid w:val="4BD63692"/>
    <w:rsid w:val="4BD806D9"/>
    <w:rsid w:val="4BDD119F"/>
    <w:rsid w:val="4BDE3134"/>
    <w:rsid w:val="4BE80EA4"/>
    <w:rsid w:val="4C0612E3"/>
    <w:rsid w:val="4C121AEB"/>
    <w:rsid w:val="4C1E529C"/>
    <w:rsid w:val="4C297D1C"/>
    <w:rsid w:val="4C2C69FB"/>
    <w:rsid w:val="4C386D2D"/>
    <w:rsid w:val="4C3B50C5"/>
    <w:rsid w:val="4C4A0809"/>
    <w:rsid w:val="4C502513"/>
    <w:rsid w:val="4C5335DB"/>
    <w:rsid w:val="4C5F4DD5"/>
    <w:rsid w:val="4C610F6F"/>
    <w:rsid w:val="4C666731"/>
    <w:rsid w:val="4C721D73"/>
    <w:rsid w:val="4C835B00"/>
    <w:rsid w:val="4C842012"/>
    <w:rsid w:val="4C866577"/>
    <w:rsid w:val="4C877197"/>
    <w:rsid w:val="4C8C045D"/>
    <w:rsid w:val="4C8D1524"/>
    <w:rsid w:val="4C930544"/>
    <w:rsid w:val="4C970F42"/>
    <w:rsid w:val="4C9C0827"/>
    <w:rsid w:val="4CBF4346"/>
    <w:rsid w:val="4CC63AE4"/>
    <w:rsid w:val="4CD04FFD"/>
    <w:rsid w:val="4CD912A2"/>
    <w:rsid w:val="4CD96FB6"/>
    <w:rsid w:val="4CE1373A"/>
    <w:rsid w:val="4CE3099E"/>
    <w:rsid w:val="4CE532AC"/>
    <w:rsid w:val="4CF656BE"/>
    <w:rsid w:val="4CFB3E09"/>
    <w:rsid w:val="4CFE7221"/>
    <w:rsid w:val="4D004290"/>
    <w:rsid w:val="4D012D30"/>
    <w:rsid w:val="4D0F715B"/>
    <w:rsid w:val="4D10096C"/>
    <w:rsid w:val="4D1146B0"/>
    <w:rsid w:val="4D1A18D9"/>
    <w:rsid w:val="4D2006DB"/>
    <w:rsid w:val="4D2517F2"/>
    <w:rsid w:val="4D273C7D"/>
    <w:rsid w:val="4D2B12EF"/>
    <w:rsid w:val="4D2B1625"/>
    <w:rsid w:val="4D2C577A"/>
    <w:rsid w:val="4D3336C0"/>
    <w:rsid w:val="4D37482F"/>
    <w:rsid w:val="4D3A06DC"/>
    <w:rsid w:val="4D46750E"/>
    <w:rsid w:val="4D472EC6"/>
    <w:rsid w:val="4D561792"/>
    <w:rsid w:val="4D580064"/>
    <w:rsid w:val="4D6905CD"/>
    <w:rsid w:val="4D6A22FF"/>
    <w:rsid w:val="4D6E1CF7"/>
    <w:rsid w:val="4D717A9A"/>
    <w:rsid w:val="4D772F3B"/>
    <w:rsid w:val="4D8F1F42"/>
    <w:rsid w:val="4DA03FA9"/>
    <w:rsid w:val="4DA74246"/>
    <w:rsid w:val="4DAA25B5"/>
    <w:rsid w:val="4DAB1F3E"/>
    <w:rsid w:val="4DB17F41"/>
    <w:rsid w:val="4DC1126B"/>
    <w:rsid w:val="4DD860DB"/>
    <w:rsid w:val="4DE43B01"/>
    <w:rsid w:val="4DE762EB"/>
    <w:rsid w:val="4DEB159B"/>
    <w:rsid w:val="4DF67ACD"/>
    <w:rsid w:val="4DF73F2F"/>
    <w:rsid w:val="4DFB74C6"/>
    <w:rsid w:val="4DFF60F5"/>
    <w:rsid w:val="4E083E4C"/>
    <w:rsid w:val="4E0906D5"/>
    <w:rsid w:val="4E1D481F"/>
    <w:rsid w:val="4E1E52E0"/>
    <w:rsid w:val="4E1E674E"/>
    <w:rsid w:val="4E25319D"/>
    <w:rsid w:val="4E35103A"/>
    <w:rsid w:val="4E3C0BD9"/>
    <w:rsid w:val="4E3E3A4C"/>
    <w:rsid w:val="4E583E2D"/>
    <w:rsid w:val="4E59636F"/>
    <w:rsid w:val="4E673F16"/>
    <w:rsid w:val="4E6C3F19"/>
    <w:rsid w:val="4E741C78"/>
    <w:rsid w:val="4E747DD9"/>
    <w:rsid w:val="4E7E02CD"/>
    <w:rsid w:val="4E806765"/>
    <w:rsid w:val="4E8F10AD"/>
    <w:rsid w:val="4E940605"/>
    <w:rsid w:val="4EAA3272"/>
    <w:rsid w:val="4ED1241A"/>
    <w:rsid w:val="4ED166BA"/>
    <w:rsid w:val="4ED76327"/>
    <w:rsid w:val="4ED85528"/>
    <w:rsid w:val="4EDB5E65"/>
    <w:rsid w:val="4EE91475"/>
    <w:rsid w:val="4EED39FC"/>
    <w:rsid w:val="4F19545F"/>
    <w:rsid w:val="4F197148"/>
    <w:rsid w:val="4F277F17"/>
    <w:rsid w:val="4F2C3587"/>
    <w:rsid w:val="4F314840"/>
    <w:rsid w:val="4F3400CC"/>
    <w:rsid w:val="4F373E35"/>
    <w:rsid w:val="4F4123E7"/>
    <w:rsid w:val="4F567676"/>
    <w:rsid w:val="4F67605A"/>
    <w:rsid w:val="4F7A3A42"/>
    <w:rsid w:val="4F7D2165"/>
    <w:rsid w:val="4F8E0D6D"/>
    <w:rsid w:val="4F953E7F"/>
    <w:rsid w:val="4F9B09BC"/>
    <w:rsid w:val="4FA1453D"/>
    <w:rsid w:val="4FA4632A"/>
    <w:rsid w:val="4FBB67AE"/>
    <w:rsid w:val="4FCB41CF"/>
    <w:rsid w:val="4FE364CB"/>
    <w:rsid w:val="4FEC592D"/>
    <w:rsid w:val="50003008"/>
    <w:rsid w:val="5013336F"/>
    <w:rsid w:val="501E52A1"/>
    <w:rsid w:val="502325C5"/>
    <w:rsid w:val="502A6A13"/>
    <w:rsid w:val="502E3FF7"/>
    <w:rsid w:val="503B18F0"/>
    <w:rsid w:val="504C368A"/>
    <w:rsid w:val="50535477"/>
    <w:rsid w:val="5064380B"/>
    <w:rsid w:val="50721E42"/>
    <w:rsid w:val="507851DB"/>
    <w:rsid w:val="507D59CE"/>
    <w:rsid w:val="50897398"/>
    <w:rsid w:val="50965705"/>
    <w:rsid w:val="509D1852"/>
    <w:rsid w:val="50AC024A"/>
    <w:rsid w:val="50B26F7B"/>
    <w:rsid w:val="50B56F72"/>
    <w:rsid w:val="50BA4C21"/>
    <w:rsid w:val="50BB1140"/>
    <w:rsid w:val="50C70BD9"/>
    <w:rsid w:val="50CA3457"/>
    <w:rsid w:val="50DC2EA3"/>
    <w:rsid w:val="50E261E1"/>
    <w:rsid w:val="50E30292"/>
    <w:rsid w:val="50E61D76"/>
    <w:rsid w:val="51015604"/>
    <w:rsid w:val="51094A69"/>
    <w:rsid w:val="5116039C"/>
    <w:rsid w:val="51184E79"/>
    <w:rsid w:val="51203C4D"/>
    <w:rsid w:val="512C0F9E"/>
    <w:rsid w:val="512D36C7"/>
    <w:rsid w:val="512F456F"/>
    <w:rsid w:val="513945DB"/>
    <w:rsid w:val="51450F64"/>
    <w:rsid w:val="51563775"/>
    <w:rsid w:val="515E77CD"/>
    <w:rsid w:val="51650D39"/>
    <w:rsid w:val="516A0666"/>
    <w:rsid w:val="517677FB"/>
    <w:rsid w:val="517D0272"/>
    <w:rsid w:val="517D47BF"/>
    <w:rsid w:val="51867FD0"/>
    <w:rsid w:val="518F6142"/>
    <w:rsid w:val="519A32BE"/>
    <w:rsid w:val="51A44A44"/>
    <w:rsid w:val="51B27BAE"/>
    <w:rsid w:val="51B522CB"/>
    <w:rsid w:val="51BB0BA6"/>
    <w:rsid w:val="51C20977"/>
    <w:rsid w:val="51D53EDE"/>
    <w:rsid w:val="51D7702B"/>
    <w:rsid w:val="51E65BE8"/>
    <w:rsid w:val="520300CC"/>
    <w:rsid w:val="520A6700"/>
    <w:rsid w:val="521E3892"/>
    <w:rsid w:val="522C083F"/>
    <w:rsid w:val="522C327D"/>
    <w:rsid w:val="522E575B"/>
    <w:rsid w:val="52333650"/>
    <w:rsid w:val="52380427"/>
    <w:rsid w:val="523B43B3"/>
    <w:rsid w:val="52412636"/>
    <w:rsid w:val="52456D03"/>
    <w:rsid w:val="52512017"/>
    <w:rsid w:val="526A51E9"/>
    <w:rsid w:val="526B1ACB"/>
    <w:rsid w:val="526D571A"/>
    <w:rsid w:val="526E3F2F"/>
    <w:rsid w:val="526F18EA"/>
    <w:rsid w:val="526F6A95"/>
    <w:rsid w:val="52726756"/>
    <w:rsid w:val="528838E0"/>
    <w:rsid w:val="528A44A4"/>
    <w:rsid w:val="528C0ED6"/>
    <w:rsid w:val="52926D50"/>
    <w:rsid w:val="529B64F1"/>
    <w:rsid w:val="529D2873"/>
    <w:rsid w:val="52A30F98"/>
    <w:rsid w:val="52AE3351"/>
    <w:rsid w:val="52B258F6"/>
    <w:rsid w:val="52B528CE"/>
    <w:rsid w:val="52BA3ADA"/>
    <w:rsid w:val="52BD0663"/>
    <w:rsid w:val="52C80D7E"/>
    <w:rsid w:val="52C831F6"/>
    <w:rsid w:val="52C836FC"/>
    <w:rsid w:val="52CB7256"/>
    <w:rsid w:val="52D335A9"/>
    <w:rsid w:val="52D96696"/>
    <w:rsid w:val="52EE4E20"/>
    <w:rsid w:val="52F036EF"/>
    <w:rsid w:val="52FA246A"/>
    <w:rsid w:val="52FB5735"/>
    <w:rsid w:val="53131690"/>
    <w:rsid w:val="531D1340"/>
    <w:rsid w:val="53272C5B"/>
    <w:rsid w:val="533220E0"/>
    <w:rsid w:val="533A7B4F"/>
    <w:rsid w:val="53467327"/>
    <w:rsid w:val="534E5600"/>
    <w:rsid w:val="534F3BC4"/>
    <w:rsid w:val="536B00BB"/>
    <w:rsid w:val="5372305F"/>
    <w:rsid w:val="53743312"/>
    <w:rsid w:val="537B24FE"/>
    <w:rsid w:val="537C1949"/>
    <w:rsid w:val="538D530A"/>
    <w:rsid w:val="538E03E6"/>
    <w:rsid w:val="539159E6"/>
    <w:rsid w:val="539602E9"/>
    <w:rsid w:val="53B12F66"/>
    <w:rsid w:val="53B9410E"/>
    <w:rsid w:val="53BF1AD5"/>
    <w:rsid w:val="53C60141"/>
    <w:rsid w:val="53DB2A0A"/>
    <w:rsid w:val="53DB4740"/>
    <w:rsid w:val="53DE201A"/>
    <w:rsid w:val="53E879B3"/>
    <w:rsid w:val="53ED1D9E"/>
    <w:rsid w:val="53F3143F"/>
    <w:rsid w:val="53F72112"/>
    <w:rsid w:val="53FD4576"/>
    <w:rsid w:val="54047865"/>
    <w:rsid w:val="540B497D"/>
    <w:rsid w:val="540C262A"/>
    <w:rsid w:val="54205086"/>
    <w:rsid w:val="542050EB"/>
    <w:rsid w:val="54264814"/>
    <w:rsid w:val="542928DA"/>
    <w:rsid w:val="54337981"/>
    <w:rsid w:val="544027C2"/>
    <w:rsid w:val="544379A7"/>
    <w:rsid w:val="5447217A"/>
    <w:rsid w:val="54492C57"/>
    <w:rsid w:val="544B0628"/>
    <w:rsid w:val="545A637F"/>
    <w:rsid w:val="545C56A1"/>
    <w:rsid w:val="54612E0B"/>
    <w:rsid w:val="546305FE"/>
    <w:rsid w:val="54680BC5"/>
    <w:rsid w:val="546F4741"/>
    <w:rsid w:val="54993E91"/>
    <w:rsid w:val="549B53F7"/>
    <w:rsid w:val="54A257EC"/>
    <w:rsid w:val="54A95568"/>
    <w:rsid w:val="54AA6709"/>
    <w:rsid w:val="54B57DB1"/>
    <w:rsid w:val="54C42D7D"/>
    <w:rsid w:val="54DC2FEE"/>
    <w:rsid w:val="54DE0065"/>
    <w:rsid w:val="54F4610A"/>
    <w:rsid w:val="55064734"/>
    <w:rsid w:val="550A6CFA"/>
    <w:rsid w:val="55116370"/>
    <w:rsid w:val="55135F7F"/>
    <w:rsid w:val="551E5B2F"/>
    <w:rsid w:val="55205AD0"/>
    <w:rsid w:val="552E1657"/>
    <w:rsid w:val="552F5426"/>
    <w:rsid w:val="5539441C"/>
    <w:rsid w:val="5559780F"/>
    <w:rsid w:val="555C75D0"/>
    <w:rsid w:val="555D32FA"/>
    <w:rsid w:val="555E1094"/>
    <w:rsid w:val="55655829"/>
    <w:rsid w:val="55782B14"/>
    <w:rsid w:val="558D2157"/>
    <w:rsid w:val="558E6CCE"/>
    <w:rsid w:val="55950132"/>
    <w:rsid w:val="559957D9"/>
    <w:rsid w:val="559F5A7A"/>
    <w:rsid w:val="55A72694"/>
    <w:rsid w:val="55AB5D01"/>
    <w:rsid w:val="55AC2A79"/>
    <w:rsid w:val="55BE404C"/>
    <w:rsid w:val="55C249A5"/>
    <w:rsid w:val="55C860A6"/>
    <w:rsid w:val="55CB6CB5"/>
    <w:rsid w:val="55DA4A66"/>
    <w:rsid w:val="55E1668C"/>
    <w:rsid w:val="55E475CC"/>
    <w:rsid w:val="55F47B76"/>
    <w:rsid w:val="55F71DFA"/>
    <w:rsid w:val="56055128"/>
    <w:rsid w:val="56057F4D"/>
    <w:rsid w:val="560E2112"/>
    <w:rsid w:val="56115A05"/>
    <w:rsid w:val="56133186"/>
    <w:rsid w:val="56175DEB"/>
    <w:rsid w:val="561A6F42"/>
    <w:rsid w:val="561E0EFF"/>
    <w:rsid w:val="561F2D49"/>
    <w:rsid w:val="56232D58"/>
    <w:rsid w:val="562C1F14"/>
    <w:rsid w:val="56386220"/>
    <w:rsid w:val="563F0B95"/>
    <w:rsid w:val="56426AC3"/>
    <w:rsid w:val="56476147"/>
    <w:rsid w:val="564A1284"/>
    <w:rsid w:val="564D7FCD"/>
    <w:rsid w:val="565F0441"/>
    <w:rsid w:val="566221A7"/>
    <w:rsid w:val="566245DE"/>
    <w:rsid w:val="56665203"/>
    <w:rsid w:val="5667460C"/>
    <w:rsid w:val="56703D91"/>
    <w:rsid w:val="56776221"/>
    <w:rsid w:val="56791151"/>
    <w:rsid w:val="568022D3"/>
    <w:rsid w:val="5680247D"/>
    <w:rsid w:val="568C0FAA"/>
    <w:rsid w:val="568E322F"/>
    <w:rsid w:val="568F2164"/>
    <w:rsid w:val="56930737"/>
    <w:rsid w:val="5693569B"/>
    <w:rsid w:val="56956959"/>
    <w:rsid w:val="56A52877"/>
    <w:rsid w:val="56A67FEE"/>
    <w:rsid w:val="56B7773F"/>
    <w:rsid w:val="56BF5CE4"/>
    <w:rsid w:val="56C221C1"/>
    <w:rsid w:val="56C960D2"/>
    <w:rsid w:val="56CE0B8D"/>
    <w:rsid w:val="56CE2023"/>
    <w:rsid w:val="56DC23DD"/>
    <w:rsid w:val="56F06583"/>
    <w:rsid w:val="56F2781B"/>
    <w:rsid w:val="56F80542"/>
    <w:rsid w:val="56F92FAB"/>
    <w:rsid w:val="57055E89"/>
    <w:rsid w:val="570B62F6"/>
    <w:rsid w:val="570D5DDE"/>
    <w:rsid w:val="57125FD8"/>
    <w:rsid w:val="57192A96"/>
    <w:rsid w:val="57273159"/>
    <w:rsid w:val="57275B56"/>
    <w:rsid w:val="573044B9"/>
    <w:rsid w:val="57306C1C"/>
    <w:rsid w:val="57376814"/>
    <w:rsid w:val="57382692"/>
    <w:rsid w:val="575A07D2"/>
    <w:rsid w:val="576B2ED2"/>
    <w:rsid w:val="576C3DE8"/>
    <w:rsid w:val="576D19AB"/>
    <w:rsid w:val="577B3A2D"/>
    <w:rsid w:val="57896F83"/>
    <w:rsid w:val="5790144B"/>
    <w:rsid w:val="57907C1B"/>
    <w:rsid w:val="57AE319F"/>
    <w:rsid w:val="57B2408D"/>
    <w:rsid w:val="57BC0A78"/>
    <w:rsid w:val="57CE67BC"/>
    <w:rsid w:val="57D3673E"/>
    <w:rsid w:val="57D93345"/>
    <w:rsid w:val="57DF2CD0"/>
    <w:rsid w:val="57E24D90"/>
    <w:rsid w:val="57E677E2"/>
    <w:rsid w:val="57E92A73"/>
    <w:rsid w:val="57F421DB"/>
    <w:rsid w:val="57F8191F"/>
    <w:rsid w:val="57F8682C"/>
    <w:rsid w:val="58075AE5"/>
    <w:rsid w:val="580B17A7"/>
    <w:rsid w:val="580B46CC"/>
    <w:rsid w:val="58127C4D"/>
    <w:rsid w:val="58134B4D"/>
    <w:rsid w:val="581F18C6"/>
    <w:rsid w:val="58236E0D"/>
    <w:rsid w:val="5825625D"/>
    <w:rsid w:val="58292C85"/>
    <w:rsid w:val="58343AD5"/>
    <w:rsid w:val="58370BEF"/>
    <w:rsid w:val="583B195C"/>
    <w:rsid w:val="583F2247"/>
    <w:rsid w:val="58414BCA"/>
    <w:rsid w:val="586503CE"/>
    <w:rsid w:val="58655241"/>
    <w:rsid w:val="58694041"/>
    <w:rsid w:val="587E5751"/>
    <w:rsid w:val="58905B7B"/>
    <w:rsid w:val="589438F8"/>
    <w:rsid w:val="5895504E"/>
    <w:rsid w:val="589E351D"/>
    <w:rsid w:val="58A00185"/>
    <w:rsid w:val="58B513C4"/>
    <w:rsid w:val="58C608B4"/>
    <w:rsid w:val="58C76D56"/>
    <w:rsid w:val="58C77156"/>
    <w:rsid w:val="58D85206"/>
    <w:rsid w:val="58D93FFC"/>
    <w:rsid w:val="58E26D7E"/>
    <w:rsid w:val="58E4093F"/>
    <w:rsid w:val="58E459BD"/>
    <w:rsid w:val="58E73D8C"/>
    <w:rsid w:val="58E9278E"/>
    <w:rsid w:val="58EC767A"/>
    <w:rsid w:val="58F22233"/>
    <w:rsid w:val="58F4181D"/>
    <w:rsid w:val="58F454E0"/>
    <w:rsid w:val="58FB525C"/>
    <w:rsid w:val="58FC4CD4"/>
    <w:rsid w:val="59017520"/>
    <w:rsid w:val="59025CEA"/>
    <w:rsid w:val="590903B0"/>
    <w:rsid w:val="59191057"/>
    <w:rsid w:val="591D2BCF"/>
    <w:rsid w:val="592F72B9"/>
    <w:rsid w:val="59387F03"/>
    <w:rsid w:val="593D531E"/>
    <w:rsid w:val="59457779"/>
    <w:rsid w:val="59492E70"/>
    <w:rsid w:val="594B7215"/>
    <w:rsid w:val="594D34A9"/>
    <w:rsid w:val="594E0629"/>
    <w:rsid w:val="596759D2"/>
    <w:rsid w:val="596810DB"/>
    <w:rsid w:val="59687C32"/>
    <w:rsid w:val="596B3EF6"/>
    <w:rsid w:val="597374D7"/>
    <w:rsid w:val="597B1B38"/>
    <w:rsid w:val="598A4F17"/>
    <w:rsid w:val="598E2140"/>
    <w:rsid w:val="599A1D95"/>
    <w:rsid w:val="599E7463"/>
    <w:rsid w:val="59A1173E"/>
    <w:rsid w:val="59A332BD"/>
    <w:rsid w:val="59B25E7F"/>
    <w:rsid w:val="59B426CE"/>
    <w:rsid w:val="59BF39CC"/>
    <w:rsid w:val="59C1615A"/>
    <w:rsid w:val="59D34EC4"/>
    <w:rsid w:val="59D50EC7"/>
    <w:rsid w:val="59DE4D63"/>
    <w:rsid w:val="59F512E1"/>
    <w:rsid w:val="59F76D8A"/>
    <w:rsid w:val="59FE0FF0"/>
    <w:rsid w:val="5A091194"/>
    <w:rsid w:val="5A1C4BFA"/>
    <w:rsid w:val="5A2177BB"/>
    <w:rsid w:val="5A234538"/>
    <w:rsid w:val="5A262E90"/>
    <w:rsid w:val="5A3508A7"/>
    <w:rsid w:val="5A3C7EA9"/>
    <w:rsid w:val="5A3F3AFE"/>
    <w:rsid w:val="5A427280"/>
    <w:rsid w:val="5A4524C4"/>
    <w:rsid w:val="5A4A63A0"/>
    <w:rsid w:val="5A536BA8"/>
    <w:rsid w:val="5A7252CE"/>
    <w:rsid w:val="5A737BB9"/>
    <w:rsid w:val="5A810445"/>
    <w:rsid w:val="5A8B4DCA"/>
    <w:rsid w:val="5A903A51"/>
    <w:rsid w:val="5A9C3E93"/>
    <w:rsid w:val="5A9D59E6"/>
    <w:rsid w:val="5AA15301"/>
    <w:rsid w:val="5AAA0518"/>
    <w:rsid w:val="5ABA6A6F"/>
    <w:rsid w:val="5ABE596F"/>
    <w:rsid w:val="5AC90DB4"/>
    <w:rsid w:val="5AC913AD"/>
    <w:rsid w:val="5ACA32C7"/>
    <w:rsid w:val="5ACC7C02"/>
    <w:rsid w:val="5AD71C56"/>
    <w:rsid w:val="5AE00A10"/>
    <w:rsid w:val="5AE463A3"/>
    <w:rsid w:val="5AE7060C"/>
    <w:rsid w:val="5AE9560C"/>
    <w:rsid w:val="5AEF1308"/>
    <w:rsid w:val="5AF226FB"/>
    <w:rsid w:val="5B042FC4"/>
    <w:rsid w:val="5B114319"/>
    <w:rsid w:val="5B12050C"/>
    <w:rsid w:val="5B14544A"/>
    <w:rsid w:val="5B16218A"/>
    <w:rsid w:val="5B1C2B2A"/>
    <w:rsid w:val="5B234619"/>
    <w:rsid w:val="5B3B3E07"/>
    <w:rsid w:val="5B3C7453"/>
    <w:rsid w:val="5B3F4E3A"/>
    <w:rsid w:val="5B570163"/>
    <w:rsid w:val="5B574D30"/>
    <w:rsid w:val="5B5847FF"/>
    <w:rsid w:val="5B5A76F7"/>
    <w:rsid w:val="5B5F1262"/>
    <w:rsid w:val="5B601837"/>
    <w:rsid w:val="5B6957AA"/>
    <w:rsid w:val="5B6A326F"/>
    <w:rsid w:val="5B730F03"/>
    <w:rsid w:val="5B793EC0"/>
    <w:rsid w:val="5B7E704C"/>
    <w:rsid w:val="5B7F5353"/>
    <w:rsid w:val="5B846B33"/>
    <w:rsid w:val="5B866B57"/>
    <w:rsid w:val="5B8C4F45"/>
    <w:rsid w:val="5B904798"/>
    <w:rsid w:val="5B911D3B"/>
    <w:rsid w:val="5BA51128"/>
    <w:rsid w:val="5BB72FB6"/>
    <w:rsid w:val="5BE22011"/>
    <w:rsid w:val="5BE348C2"/>
    <w:rsid w:val="5BE4016A"/>
    <w:rsid w:val="5BEF1B95"/>
    <w:rsid w:val="5BF077D2"/>
    <w:rsid w:val="5BFA7953"/>
    <w:rsid w:val="5BFC1227"/>
    <w:rsid w:val="5C0004DD"/>
    <w:rsid w:val="5C014308"/>
    <w:rsid w:val="5C0178B8"/>
    <w:rsid w:val="5C032E89"/>
    <w:rsid w:val="5C065F1A"/>
    <w:rsid w:val="5C09734B"/>
    <w:rsid w:val="5C1B300E"/>
    <w:rsid w:val="5C1C1CC8"/>
    <w:rsid w:val="5C1D57DF"/>
    <w:rsid w:val="5C2A00C9"/>
    <w:rsid w:val="5C2E1117"/>
    <w:rsid w:val="5C330FDE"/>
    <w:rsid w:val="5C3957F7"/>
    <w:rsid w:val="5C397D36"/>
    <w:rsid w:val="5C3F2EA1"/>
    <w:rsid w:val="5C476A3C"/>
    <w:rsid w:val="5C624C38"/>
    <w:rsid w:val="5C730348"/>
    <w:rsid w:val="5C821574"/>
    <w:rsid w:val="5C887A90"/>
    <w:rsid w:val="5C944212"/>
    <w:rsid w:val="5C97102F"/>
    <w:rsid w:val="5CAA5A85"/>
    <w:rsid w:val="5CB21E59"/>
    <w:rsid w:val="5CBC2D7D"/>
    <w:rsid w:val="5CBE7666"/>
    <w:rsid w:val="5CC15FD6"/>
    <w:rsid w:val="5CC7095C"/>
    <w:rsid w:val="5CC86ECE"/>
    <w:rsid w:val="5CD22065"/>
    <w:rsid w:val="5CD26A0D"/>
    <w:rsid w:val="5CD971AA"/>
    <w:rsid w:val="5CEA6E40"/>
    <w:rsid w:val="5CF1527B"/>
    <w:rsid w:val="5CF54479"/>
    <w:rsid w:val="5D0F4311"/>
    <w:rsid w:val="5D1712A4"/>
    <w:rsid w:val="5D1B776B"/>
    <w:rsid w:val="5D1E087F"/>
    <w:rsid w:val="5D2237FC"/>
    <w:rsid w:val="5D2B39C5"/>
    <w:rsid w:val="5D2C76D0"/>
    <w:rsid w:val="5D365589"/>
    <w:rsid w:val="5D3C2ECE"/>
    <w:rsid w:val="5D411E02"/>
    <w:rsid w:val="5D583AC8"/>
    <w:rsid w:val="5D5D04E3"/>
    <w:rsid w:val="5D677952"/>
    <w:rsid w:val="5D680750"/>
    <w:rsid w:val="5D72144A"/>
    <w:rsid w:val="5D7578DF"/>
    <w:rsid w:val="5D852ED2"/>
    <w:rsid w:val="5D8C4C53"/>
    <w:rsid w:val="5D8D30D0"/>
    <w:rsid w:val="5D9E450D"/>
    <w:rsid w:val="5D9E57B2"/>
    <w:rsid w:val="5DA1710F"/>
    <w:rsid w:val="5DA513E7"/>
    <w:rsid w:val="5DA7618D"/>
    <w:rsid w:val="5DA84EAE"/>
    <w:rsid w:val="5DB04566"/>
    <w:rsid w:val="5DBD120D"/>
    <w:rsid w:val="5DC86208"/>
    <w:rsid w:val="5DCC4F1C"/>
    <w:rsid w:val="5DE0202A"/>
    <w:rsid w:val="5DEA303A"/>
    <w:rsid w:val="5E0125EE"/>
    <w:rsid w:val="5E114C39"/>
    <w:rsid w:val="5E1D1655"/>
    <w:rsid w:val="5E254C19"/>
    <w:rsid w:val="5E3B5A82"/>
    <w:rsid w:val="5E611558"/>
    <w:rsid w:val="5E64302A"/>
    <w:rsid w:val="5E671594"/>
    <w:rsid w:val="5E681B30"/>
    <w:rsid w:val="5E694F96"/>
    <w:rsid w:val="5E6A3E13"/>
    <w:rsid w:val="5E755519"/>
    <w:rsid w:val="5E7D3149"/>
    <w:rsid w:val="5E7D44C2"/>
    <w:rsid w:val="5E7F75DC"/>
    <w:rsid w:val="5E804203"/>
    <w:rsid w:val="5E846929"/>
    <w:rsid w:val="5E873F37"/>
    <w:rsid w:val="5E8A2343"/>
    <w:rsid w:val="5E953BAD"/>
    <w:rsid w:val="5EB102DF"/>
    <w:rsid w:val="5EB15F6C"/>
    <w:rsid w:val="5EB477F9"/>
    <w:rsid w:val="5EC336AD"/>
    <w:rsid w:val="5ED319CE"/>
    <w:rsid w:val="5ED618A3"/>
    <w:rsid w:val="5EDD31DE"/>
    <w:rsid w:val="5EDD3D66"/>
    <w:rsid w:val="5EE3417F"/>
    <w:rsid w:val="5EE37B6B"/>
    <w:rsid w:val="5EE37F68"/>
    <w:rsid w:val="5EF248B5"/>
    <w:rsid w:val="5F02583C"/>
    <w:rsid w:val="5F0C43AF"/>
    <w:rsid w:val="5F115F64"/>
    <w:rsid w:val="5F2275AF"/>
    <w:rsid w:val="5F272B77"/>
    <w:rsid w:val="5F2A423B"/>
    <w:rsid w:val="5F343317"/>
    <w:rsid w:val="5F343FED"/>
    <w:rsid w:val="5F3D151A"/>
    <w:rsid w:val="5F4C098A"/>
    <w:rsid w:val="5F5B0288"/>
    <w:rsid w:val="5F6660E9"/>
    <w:rsid w:val="5F6A480A"/>
    <w:rsid w:val="5F710B66"/>
    <w:rsid w:val="5F747C12"/>
    <w:rsid w:val="5F852A72"/>
    <w:rsid w:val="5F893279"/>
    <w:rsid w:val="5FA259F0"/>
    <w:rsid w:val="5FA839B4"/>
    <w:rsid w:val="5FAA43A6"/>
    <w:rsid w:val="5FB23459"/>
    <w:rsid w:val="5FB36A41"/>
    <w:rsid w:val="5FB530AD"/>
    <w:rsid w:val="5FC0612D"/>
    <w:rsid w:val="5FC47461"/>
    <w:rsid w:val="5FC775FE"/>
    <w:rsid w:val="5FD21D06"/>
    <w:rsid w:val="5FF176BA"/>
    <w:rsid w:val="5FFC0B80"/>
    <w:rsid w:val="600D0A9B"/>
    <w:rsid w:val="60112E4A"/>
    <w:rsid w:val="602170E2"/>
    <w:rsid w:val="602C18EB"/>
    <w:rsid w:val="602C20C9"/>
    <w:rsid w:val="60333E32"/>
    <w:rsid w:val="603D5AF8"/>
    <w:rsid w:val="603F6FA4"/>
    <w:rsid w:val="60471B7E"/>
    <w:rsid w:val="60477608"/>
    <w:rsid w:val="6049495D"/>
    <w:rsid w:val="604D0578"/>
    <w:rsid w:val="605210AB"/>
    <w:rsid w:val="60722028"/>
    <w:rsid w:val="60733E60"/>
    <w:rsid w:val="607646A4"/>
    <w:rsid w:val="60766F04"/>
    <w:rsid w:val="607E739F"/>
    <w:rsid w:val="60802C8A"/>
    <w:rsid w:val="6088126A"/>
    <w:rsid w:val="60885712"/>
    <w:rsid w:val="60A57A70"/>
    <w:rsid w:val="60A6347F"/>
    <w:rsid w:val="60A77ADA"/>
    <w:rsid w:val="60BA46DA"/>
    <w:rsid w:val="60BF0F1E"/>
    <w:rsid w:val="60CD5C63"/>
    <w:rsid w:val="60D840C1"/>
    <w:rsid w:val="60DE7264"/>
    <w:rsid w:val="60E04D2B"/>
    <w:rsid w:val="60E138B2"/>
    <w:rsid w:val="60FB0D89"/>
    <w:rsid w:val="61030E6F"/>
    <w:rsid w:val="610D09C3"/>
    <w:rsid w:val="611C71CE"/>
    <w:rsid w:val="61340528"/>
    <w:rsid w:val="61383A7F"/>
    <w:rsid w:val="613B1B59"/>
    <w:rsid w:val="6146140B"/>
    <w:rsid w:val="61513DDE"/>
    <w:rsid w:val="616741FF"/>
    <w:rsid w:val="616C6FF9"/>
    <w:rsid w:val="61765FD0"/>
    <w:rsid w:val="617B3BDF"/>
    <w:rsid w:val="617E023F"/>
    <w:rsid w:val="618A44A0"/>
    <w:rsid w:val="61984646"/>
    <w:rsid w:val="61B13BBA"/>
    <w:rsid w:val="61B76721"/>
    <w:rsid w:val="61BB70CE"/>
    <w:rsid w:val="61BE551B"/>
    <w:rsid w:val="61C80A2A"/>
    <w:rsid w:val="61DC11EA"/>
    <w:rsid w:val="61DD6C7C"/>
    <w:rsid w:val="61DF5CD9"/>
    <w:rsid w:val="61E04E62"/>
    <w:rsid w:val="61E225B8"/>
    <w:rsid w:val="61E43A05"/>
    <w:rsid w:val="61E64412"/>
    <w:rsid w:val="61EC4DFE"/>
    <w:rsid w:val="61ED00DA"/>
    <w:rsid w:val="61F6088E"/>
    <w:rsid w:val="61F90BA4"/>
    <w:rsid w:val="62026CF8"/>
    <w:rsid w:val="62173CFD"/>
    <w:rsid w:val="621A0DAE"/>
    <w:rsid w:val="621A34C2"/>
    <w:rsid w:val="62247802"/>
    <w:rsid w:val="62273AD0"/>
    <w:rsid w:val="62303C98"/>
    <w:rsid w:val="6230779A"/>
    <w:rsid w:val="624025D9"/>
    <w:rsid w:val="624076CE"/>
    <w:rsid w:val="62463960"/>
    <w:rsid w:val="624715B3"/>
    <w:rsid w:val="62507FCA"/>
    <w:rsid w:val="62596822"/>
    <w:rsid w:val="625A14EC"/>
    <w:rsid w:val="625A5A33"/>
    <w:rsid w:val="625F4C27"/>
    <w:rsid w:val="6260215E"/>
    <w:rsid w:val="62703D40"/>
    <w:rsid w:val="6271330E"/>
    <w:rsid w:val="62731513"/>
    <w:rsid w:val="627746F8"/>
    <w:rsid w:val="627C0B47"/>
    <w:rsid w:val="62853D79"/>
    <w:rsid w:val="628959D9"/>
    <w:rsid w:val="628F45F3"/>
    <w:rsid w:val="629A16EE"/>
    <w:rsid w:val="62A66DEF"/>
    <w:rsid w:val="62A75D8C"/>
    <w:rsid w:val="62AF102E"/>
    <w:rsid w:val="62B347C2"/>
    <w:rsid w:val="62B45565"/>
    <w:rsid w:val="62BF74B6"/>
    <w:rsid w:val="62C341D1"/>
    <w:rsid w:val="62C36832"/>
    <w:rsid w:val="62D934E8"/>
    <w:rsid w:val="62E45537"/>
    <w:rsid w:val="62EA352F"/>
    <w:rsid w:val="62F33DF6"/>
    <w:rsid w:val="62FE0C2D"/>
    <w:rsid w:val="631C11CE"/>
    <w:rsid w:val="63214E53"/>
    <w:rsid w:val="6329642F"/>
    <w:rsid w:val="632D6DD1"/>
    <w:rsid w:val="633249E7"/>
    <w:rsid w:val="63325B09"/>
    <w:rsid w:val="634762E5"/>
    <w:rsid w:val="635E13F1"/>
    <w:rsid w:val="635E7140"/>
    <w:rsid w:val="63692AC2"/>
    <w:rsid w:val="6369616E"/>
    <w:rsid w:val="636C1981"/>
    <w:rsid w:val="636F5074"/>
    <w:rsid w:val="63746C89"/>
    <w:rsid w:val="63760BD9"/>
    <w:rsid w:val="637B5E57"/>
    <w:rsid w:val="637D435E"/>
    <w:rsid w:val="63871A35"/>
    <w:rsid w:val="63877B5C"/>
    <w:rsid w:val="638802D6"/>
    <w:rsid w:val="63885B90"/>
    <w:rsid w:val="63906044"/>
    <w:rsid w:val="639C429A"/>
    <w:rsid w:val="639D1BD6"/>
    <w:rsid w:val="63AB6D93"/>
    <w:rsid w:val="63B3579E"/>
    <w:rsid w:val="63B8070D"/>
    <w:rsid w:val="63BB5DAE"/>
    <w:rsid w:val="63CE76A1"/>
    <w:rsid w:val="63D235C2"/>
    <w:rsid w:val="63E63BCB"/>
    <w:rsid w:val="63F81F3F"/>
    <w:rsid w:val="63FB16B9"/>
    <w:rsid w:val="640F3916"/>
    <w:rsid w:val="6413352B"/>
    <w:rsid w:val="6423608B"/>
    <w:rsid w:val="64331014"/>
    <w:rsid w:val="64344D9E"/>
    <w:rsid w:val="64452C3D"/>
    <w:rsid w:val="64465109"/>
    <w:rsid w:val="644F5C90"/>
    <w:rsid w:val="6459062F"/>
    <w:rsid w:val="645A02E8"/>
    <w:rsid w:val="6468698D"/>
    <w:rsid w:val="6471047E"/>
    <w:rsid w:val="64746066"/>
    <w:rsid w:val="647575CD"/>
    <w:rsid w:val="647E17EF"/>
    <w:rsid w:val="64890719"/>
    <w:rsid w:val="648D2394"/>
    <w:rsid w:val="649644E7"/>
    <w:rsid w:val="64AB2474"/>
    <w:rsid w:val="64AD02CB"/>
    <w:rsid w:val="64B03E2D"/>
    <w:rsid w:val="64B552B1"/>
    <w:rsid w:val="64B60E5A"/>
    <w:rsid w:val="64B80C95"/>
    <w:rsid w:val="64BF38ED"/>
    <w:rsid w:val="64C14000"/>
    <w:rsid w:val="64CB3D9C"/>
    <w:rsid w:val="64DE1433"/>
    <w:rsid w:val="64E74C45"/>
    <w:rsid w:val="64E810E7"/>
    <w:rsid w:val="64F05DAA"/>
    <w:rsid w:val="64F47DF6"/>
    <w:rsid w:val="64F62AF7"/>
    <w:rsid w:val="64F97675"/>
    <w:rsid w:val="64FE4EC3"/>
    <w:rsid w:val="65083EFC"/>
    <w:rsid w:val="650D69C3"/>
    <w:rsid w:val="6513066E"/>
    <w:rsid w:val="6515084E"/>
    <w:rsid w:val="651734EB"/>
    <w:rsid w:val="65195C72"/>
    <w:rsid w:val="65212878"/>
    <w:rsid w:val="65274C89"/>
    <w:rsid w:val="652A178C"/>
    <w:rsid w:val="652F1657"/>
    <w:rsid w:val="65482861"/>
    <w:rsid w:val="654D7B36"/>
    <w:rsid w:val="655305CD"/>
    <w:rsid w:val="656F0BFA"/>
    <w:rsid w:val="65754402"/>
    <w:rsid w:val="657E7A16"/>
    <w:rsid w:val="65846518"/>
    <w:rsid w:val="658D1664"/>
    <w:rsid w:val="659730A6"/>
    <w:rsid w:val="65995028"/>
    <w:rsid w:val="659F516E"/>
    <w:rsid w:val="65A83E32"/>
    <w:rsid w:val="65AF0129"/>
    <w:rsid w:val="65B74FB5"/>
    <w:rsid w:val="65B92E5A"/>
    <w:rsid w:val="65BA3943"/>
    <w:rsid w:val="65C12834"/>
    <w:rsid w:val="65C43EFB"/>
    <w:rsid w:val="65C8630E"/>
    <w:rsid w:val="65CD2415"/>
    <w:rsid w:val="65CE63F6"/>
    <w:rsid w:val="65DA49F4"/>
    <w:rsid w:val="65E473BD"/>
    <w:rsid w:val="65EC03B7"/>
    <w:rsid w:val="65F92C8D"/>
    <w:rsid w:val="65FB4876"/>
    <w:rsid w:val="65FC6074"/>
    <w:rsid w:val="660D48AA"/>
    <w:rsid w:val="660E7257"/>
    <w:rsid w:val="66187642"/>
    <w:rsid w:val="661C7E5D"/>
    <w:rsid w:val="661D7816"/>
    <w:rsid w:val="66212E38"/>
    <w:rsid w:val="662B5407"/>
    <w:rsid w:val="662D1A40"/>
    <w:rsid w:val="662F3427"/>
    <w:rsid w:val="663E08E8"/>
    <w:rsid w:val="66467111"/>
    <w:rsid w:val="665777C1"/>
    <w:rsid w:val="665A724A"/>
    <w:rsid w:val="666258BA"/>
    <w:rsid w:val="66641C86"/>
    <w:rsid w:val="6672669E"/>
    <w:rsid w:val="66731C82"/>
    <w:rsid w:val="667634ED"/>
    <w:rsid w:val="667E343C"/>
    <w:rsid w:val="66867262"/>
    <w:rsid w:val="668D2D5F"/>
    <w:rsid w:val="66910613"/>
    <w:rsid w:val="669719AB"/>
    <w:rsid w:val="669D151B"/>
    <w:rsid w:val="669D47AB"/>
    <w:rsid w:val="66A36976"/>
    <w:rsid w:val="66AE3D28"/>
    <w:rsid w:val="66C10338"/>
    <w:rsid w:val="66C27E32"/>
    <w:rsid w:val="66CA13D9"/>
    <w:rsid w:val="66CB5CE8"/>
    <w:rsid w:val="66CC5236"/>
    <w:rsid w:val="66D04D55"/>
    <w:rsid w:val="66E93407"/>
    <w:rsid w:val="66FE58E7"/>
    <w:rsid w:val="670F1F6C"/>
    <w:rsid w:val="670F5A77"/>
    <w:rsid w:val="67172465"/>
    <w:rsid w:val="67216BFC"/>
    <w:rsid w:val="6730518B"/>
    <w:rsid w:val="674B607C"/>
    <w:rsid w:val="674C560F"/>
    <w:rsid w:val="67501092"/>
    <w:rsid w:val="67586B1E"/>
    <w:rsid w:val="675B7226"/>
    <w:rsid w:val="67666DB6"/>
    <w:rsid w:val="67674D4A"/>
    <w:rsid w:val="67717580"/>
    <w:rsid w:val="677654E7"/>
    <w:rsid w:val="67782A67"/>
    <w:rsid w:val="6778796F"/>
    <w:rsid w:val="678174F5"/>
    <w:rsid w:val="67821E2E"/>
    <w:rsid w:val="679F3C73"/>
    <w:rsid w:val="67A26E18"/>
    <w:rsid w:val="67A403D0"/>
    <w:rsid w:val="67A911E6"/>
    <w:rsid w:val="67B70BE7"/>
    <w:rsid w:val="67BB04C0"/>
    <w:rsid w:val="67BC5F6B"/>
    <w:rsid w:val="67D54C27"/>
    <w:rsid w:val="67DB6A37"/>
    <w:rsid w:val="67DF13A8"/>
    <w:rsid w:val="67EE0505"/>
    <w:rsid w:val="67F004FF"/>
    <w:rsid w:val="67F1298C"/>
    <w:rsid w:val="67F67FFD"/>
    <w:rsid w:val="67FD6D86"/>
    <w:rsid w:val="68097332"/>
    <w:rsid w:val="680D680F"/>
    <w:rsid w:val="6820056E"/>
    <w:rsid w:val="682115BF"/>
    <w:rsid w:val="6821308D"/>
    <w:rsid w:val="68265C8B"/>
    <w:rsid w:val="682B2068"/>
    <w:rsid w:val="683245C2"/>
    <w:rsid w:val="68401DE6"/>
    <w:rsid w:val="684236BE"/>
    <w:rsid w:val="684502ED"/>
    <w:rsid w:val="6845645E"/>
    <w:rsid w:val="687363D4"/>
    <w:rsid w:val="6880494F"/>
    <w:rsid w:val="689B24C8"/>
    <w:rsid w:val="68AE7A2C"/>
    <w:rsid w:val="68B05568"/>
    <w:rsid w:val="68C41F2D"/>
    <w:rsid w:val="68EF1762"/>
    <w:rsid w:val="68F44D62"/>
    <w:rsid w:val="68FC036B"/>
    <w:rsid w:val="68FE2261"/>
    <w:rsid w:val="6907653E"/>
    <w:rsid w:val="690E30D9"/>
    <w:rsid w:val="691132ED"/>
    <w:rsid w:val="69165B98"/>
    <w:rsid w:val="69366387"/>
    <w:rsid w:val="6938100E"/>
    <w:rsid w:val="693A600B"/>
    <w:rsid w:val="69401010"/>
    <w:rsid w:val="694050E3"/>
    <w:rsid w:val="694C777E"/>
    <w:rsid w:val="69552D43"/>
    <w:rsid w:val="69633336"/>
    <w:rsid w:val="696D1BFA"/>
    <w:rsid w:val="696F2479"/>
    <w:rsid w:val="697A5175"/>
    <w:rsid w:val="697C4174"/>
    <w:rsid w:val="699211E3"/>
    <w:rsid w:val="69981DEE"/>
    <w:rsid w:val="69A11A4E"/>
    <w:rsid w:val="69BA5874"/>
    <w:rsid w:val="69CE6010"/>
    <w:rsid w:val="69D354D5"/>
    <w:rsid w:val="69E10C14"/>
    <w:rsid w:val="69E77D40"/>
    <w:rsid w:val="69E80F83"/>
    <w:rsid w:val="69E87208"/>
    <w:rsid w:val="69F417CE"/>
    <w:rsid w:val="69F53ED3"/>
    <w:rsid w:val="69F5611B"/>
    <w:rsid w:val="69F63759"/>
    <w:rsid w:val="6A0A3223"/>
    <w:rsid w:val="6A157E93"/>
    <w:rsid w:val="6A1824EE"/>
    <w:rsid w:val="6A20375A"/>
    <w:rsid w:val="6A2352B3"/>
    <w:rsid w:val="6A296F4B"/>
    <w:rsid w:val="6A2C1F2B"/>
    <w:rsid w:val="6A2C5745"/>
    <w:rsid w:val="6A3B7826"/>
    <w:rsid w:val="6A3E6373"/>
    <w:rsid w:val="6A3F6875"/>
    <w:rsid w:val="6A436FD5"/>
    <w:rsid w:val="6A506FF9"/>
    <w:rsid w:val="6A520545"/>
    <w:rsid w:val="6A5217A2"/>
    <w:rsid w:val="6A681B73"/>
    <w:rsid w:val="6A711542"/>
    <w:rsid w:val="6A731E6A"/>
    <w:rsid w:val="6A7813C8"/>
    <w:rsid w:val="6A783691"/>
    <w:rsid w:val="6A79234C"/>
    <w:rsid w:val="6A8E49A6"/>
    <w:rsid w:val="6AA75856"/>
    <w:rsid w:val="6AAA6061"/>
    <w:rsid w:val="6AB32794"/>
    <w:rsid w:val="6ADC1C3B"/>
    <w:rsid w:val="6AE15AFE"/>
    <w:rsid w:val="6AED047B"/>
    <w:rsid w:val="6AF011CB"/>
    <w:rsid w:val="6AF74697"/>
    <w:rsid w:val="6AFA31E7"/>
    <w:rsid w:val="6B0B12FB"/>
    <w:rsid w:val="6B0F6A2C"/>
    <w:rsid w:val="6B217A23"/>
    <w:rsid w:val="6B2A7B35"/>
    <w:rsid w:val="6B2E4802"/>
    <w:rsid w:val="6B3A0425"/>
    <w:rsid w:val="6B3D4454"/>
    <w:rsid w:val="6B4D2B94"/>
    <w:rsid w:val="6B515EA0"/>
    <w:rsid w:val="6B546BE4"/>
    <w:rsid w:val="6B6026C1"/>
    <w:rsid w:val="6B644FCF"/>
    <w:rsid w:val="6B655183"/>
    <w:rsid w:val="6B682599"/>
    <w:rsid w:val="6B7E592A"/>
    <w:rsid w:val="6B7F2C54"/>
    <w:rsid w:val="6B825BB3"/>
    <w:rsid w:val="6B833E84"/>
    <w:rsid w:val="6B8A4DD2"/>
    <w:rsid w:val="6B8D1892"/>
    <w:rsid w:val="6B926842"/>
    <w:rsid w:val="6BA02967"/>
    <w:rsid w:val="6BAD6558"/>
    <w:rsid w:val="6BAE7A46"/>
    <w:rsid w:val="6BC16A86"/>
    <w:rsid w:val="6BC21315"/>
    <w:rsid w:val="6BC576B6"/>
    <w:rsid w:val="6BE579E8"/>
    <w:rsid w:val="6BEB2086"/>
    <w:rsid w:val="6BFC4A95"/>
    <w:rsid w:val="6BFE1CA6"/>
    <w:rsid w:val="6C035F6F"/>
    <w:rsid w:val="6C066373"/>
    <w:rsid w:val="6C126130"/>
    <w:rsid w:val="6C1C51FD"/>
    <w:rsid w:val="6C2A7AC3"/>
    <w:rsid w:val="6C2B2BD2"/>
    <w:rsid w:val="6C2D792B"/>
    <w:rsid w:val="6C437C22"/>
    <w:rsid w:val="6C461D95"/>
    <w:rsid w:val="6C4D653D"/>
    <w:rsid w:val="6C507983"/>
    <w:rsid w:val="6C536478"/>
    <w:rsid w:val="6C5A3FC6"/>
    <w:rsid w:val="6C5F400C"/>
    <w:rsid w:val="6C6A1EAA"/>
    <w:rsid w:val="6C7D4E07"/>
    <w:rsid w:val="6C815D5A"/>
    <w:rsid w:val="6C851854"/>
    <w:rsid w:val="6C8C41A1"/>
    <w:rsid w:val="6C8F60F5"/>
    <w:rsid w:val="6C930528"/>
    <w:rsid w:val="6C98537D"/>
    <w:rsid w:val="6C9D4E7E"/>
    <w:rsid w:val="6CCA540D"/>
    <w:rsid w:val="6CD7141E"/>
    <w:rsid w:val="6CD748E3"/>
    <w:rsid w:val="6CDB6155"/>
    <w:rsid w:val="6CF0564D"/>
    <w:rsid w:val="6CF750FD"/>
    <w:rsid w:val="6CFA5E0A"/>
    <w:rsid w:val="6CFE5E7A"/>
    <w:rsid w:val="6CFE6D53"/>
    <w:rsid w:val="6D057B58"/>
    <w:rsid w:val="6D1D3806"/>
    <w:rsid w:val="6D1F6DA5"/>
    <w:rsid w:val="6D27616B"/>
    <w:rsid w:val="6D2F6C7B"/>
    <w:rsid w:val="6D3772A9"/>
    <w:rsid w:val="6D3A2ECD"/>
    <w:rsid w:val="6D3B7487"/>
    <w:rsid w:val="6D3F6188"/>
    <w:rsid w:val="6D47065D"/>
    <w:rsid w:val="6D5904CB"/>
    <w:rsid w:val="6D63461E"/>
    <w:rsid w:val="6D6E4A04"/>
    <w:rsid w:val="6D703A8D"/>
    <w:rsid w:val="6D722A01"/>
    <w:rsid w:val="6D7313FB"/>
    <w:rsid w:val="6D741400"/>
    <w:rsid w:val="6D744327"/>
    <w:rsid w:val="6D780945"/>
    <w:rsid w:val="6D856B27"/>
    <w:rsid w:val="6D8E7A72"/>
    <w:rsid w:val="6D956CF4"/>
    <w:rsid w:val="6D9607CB"/>
    <w:rsid w:val="6D964580"/>
    <w:rsid w:val="6D9B4BF1"/>
    <w:rsid w:val="6DA13623"/>
    <w:rsid w:val="6DB24346"/>
    <w:rsid w:val="6DBA34A6"/>
    <w:rsid w:val="6DC72225"/>
    <w:rsid w:val="6DD567C0"/>
    <w:rsid w:val="6DDC38B6"/>
    <w:rsid w:val="6DE47EB4"/>
    <w:rsid w:val="6DEB292C"/>
    <w:rsid w:val="6E005B71"/>
    <w:rsid w:val="6E045116"/>
    <w:rsid w:val="6E090B3E"/>
    <w:rsid w:val="6E1D0011"/>
    <w:rsid w:val="6E1D0D07"/>
    <w:rsid w:val="6E2E318A"/>
    <w:rsid w:val="6E30636B"/>
    <w:rsid w:val="6E3C7880"/>
    <w:rsid w:val="6E432DA5"/>
    <w:rsid w:val="6E457933"/>
    <w:rsid w:val="6E48779B"/>
    <w:rsid w:val="6E495BDD"/>
    <w:rsid w:val="6E50350D"/>
    <w:rsid w:val="6E5C0E39"/>
    <w:rsid w:val="6E5D32E6"/>
    <w:rsid w:val="6E6A6A13"/>
    <w:rsid w:val="6E71787E"/>
    <w:rsid w:val="6E732C2C"/>
    <w:rsid w:val="6E8252B2"/>
    <w:rsid w:val="6E840DD2"/>
    <w:rsid w:val="6E921DF3"/>
    <w:rsid w:val="6EA12C9A"/>
    <w:rsid w:val="6EA57404"/>
    <w:rsid w:val="6EAC2BED"/>
    <w:rsid w:val="6EB1692D"/>
    <w:rsid w:val="6EB303D6"/>
    <w:rsid w:val="6EC2730E"/>
    <w:rsid w:val="6EC42EA1"/>
    <w:rsid w:val="6ECA36F5"/>
    <w:rsid w:val="6ECE542E"/>
    <w:rsid w:val="6ECF1EA5"/>
    <w:rsid w:val="6EE80240"/>
    <w:rsid w:val="6EED084D"/>
    <w:rsid w:val="6EF32ED4"/>
    <w:rsid w:val="6EF510CF"/>
    <w:rsid w:val="6F093E91"/>
    <w:rsid w:val="6F0A66B9"/>
    <w:rsid w:val="6F0C07A3"/>
    <w:rsid w:val="6F163048"/>
    <w:rsid w:val="6F192057"/>
    <w:rsid w:val="6F314F45"/>
    <w:rsid w:val="6F47116C"/>
    <w:rsid w:val="6F5261D0"/>
    <w:rsid w:val="6F5B796F"/>
    <w:rsid w:val="6F5C4AE5"/>
    <w:rsid w:val="6F5D123A"/>
    <w:rsid w:val="6F6F04AA"/>
    <w:rsid w:val="6F75301E"/>
    <w:rsid w:val="6F757E61"/>
    <w:rsid w:val="6F7D3871"/>
    <w:rsid w:val="6F7E3B66"/>
    <w:rsid w:val="6F80304F"/>
    <w:rsid w:val="6F850554"/>
    <w:rsid w:val="6F8D3D34"/>
    <w:rsid w:val="6F923180"/>
    <w:rsid w:val="6F923B31"/>
    <w:rsid w:val="6F991E39"/>
    <w:rsid w:val="6F9C1414"/>
    <w:rsid w:val="6FA36D1B"/>
    <w:rsid w:val="6FA60E65"/>
    <w:rsid w:val="6FA844BF"/>
    <w:rsid w:val="6FA936C2"/>
    <w:rsid w:val="6FAF6CD4"/>
    <w:rsid w:val="6FB33FD9"/>
    <w:rsid w:val="6FB4456E"/>
    <w:rsid w:val="6FB44897"/>
    <w:rsid w:val="6FB82BEA"/>
    <w:rsid w:val="6FBD35A3"/>
    <w:rsid w:val="6FD22CF6"/>
    <w:rsid w:val="6FDD3B6E"/>
    <w:rsid w:val="6FDF35F3"/>
    <w:rsid w:val="6FE55A07"/>
    <w:rsid w:val="70067291"/>
    <w:rsid w:val="7012240B"/>
    <w:rsid w:val="70167CFC"/>
    <w:rsid w:val="70182D6F"/>
    <w:rsid w:val="702C1E8E"/>
    <w:rsid w:val="702D74DB"/>
    <w:rsid w:val="7032757F"/>
    <w:rsid w:val="70335C14"/>
    <w:rsid w:val="70340AE0"/>
    <w:rsid w:val="7036529D"/>
    <w:rsid w:val="70415D7E"/>
    <w:rsid w:val="704A0242"/>
    <w:rsid w:val="704D2737"/>
    <w:rsid w:val="70513C8C"/>
    <w:rsid w:val="70604210"/>
    <w:rsid w:val="706208D1"/>
    <w:rsid w:val="706838E8"/>
    <w:rsid w:val="707306C0"/>
    <w:rsid w:val="70796D49"/>
    <w:rsid w:val="708012B2"/>
    <w:rsid w:val="708D000F"/>
    <w:rsid w:val="708D5E4C"/>
    <w:rsid w:val="709A137C"/>
    <w:rsid w:val="709C7558"/>
    <w:rsid w:val="70BA3BFC"/>
    <w:rsid w:val="70BC2BFD"/>
    <w:rsid w:val="70C434ED"/>
    <w:rsid w:val="70C9791F"/>
    <w:rsid w:val="70D5778E"/>
    <w:rsid w:val="70DA35AB"/>
    <w:rsid w:val="70DD3D80"/>
    <w:rsid w:val="70E35C47"/>
    <w:rsid w:val="70E41FBD"/>
    <w:rsid w:val="70E9581E"/>
    <w:rsid w:val="70F21B63"/>
    <w:rsid w:val="70F6492C"/>
    <w:rsid w:val="70FD3036"/>
    <w:rsid w:val="71042B1B"/>
    <w:rsid w:val="710D2D05"/>
    <w:rsid w:val="711E3A77"/>
    <w:rsid w:val="71213E37"/>
    <w:rsid w:val="71253A51"/>
    <w:rsid w:val="71290A21"/>
    <w:rsid w:val="71332B98"/>
    <w:rsid w:val="713509CE"/>
    <w:rsid w:val="713D0572"/>
    <w:rsid w:val="714544C4"/>
    <w:rsid w:val="715B325C"/>
    <w:rsid w:val="717343E0"/>
    <w:rsid w:val="71816F15"/>
    <w:rsid w:val="7185137A"/>
    <w:rsid w:val="719157F9"/>
    <w:rsid w:val="719F2BB8"/>
    <w:rsid w:val="71A03C18"/>
    <w:rsid w:val="71A06B0C"/>
    <w:rsid w:val="71A46E88"/>
    <w:rsid w:val="71A508CF"/>
    <w:rsid w:val="71A91297"/>
    <w:rsid w:val="71B204D6"/>
    <w:rsid w:val="71B368F6"/>
    <w:rsid w:val="71BB40DA"/>
    <w:rsid w:val="71C2209E"/>
    <w:rsid w:val="71C27CD4"/>
    <w:rsid w:val="71C624B7"/>
    <w:rsid w:val="71C8517C"/>
    <w:rsid w:val="71CA7C33"/>
    <w:rsid w:val="71D273C3"/>
    <w:rsid w:val="71D355EC"/>
    <w:rsid w:val="71D53B1B"/>
    <w:rsid w:val="71D94D76"/>
    <w:rsid w:val="71EE040E"/>
    <w:rsid w:val="71F1198A"/>
    <w:rsid w:val="71FC384A"/>
    <w:rsid w:val="71FF4831"/>
    <w:rsid w:val="72055985"/>
    <w:rsid w:val="720A3019"/>
    <w:rsid w:val="720E559A"/>
    <w:rsid w:val="72100549"/>
    <w:rsid w:val="72167FAC"/>
    <w:rsid w:val="721F2E11"/>
    <w:rsid w:val="722722B9"/>
    <w:rsid w:val="7227243F"/>
    <w:rsid w:val="722D452E"/>
    <w:rsid w:val="725A3CAD"/>
    <w:rsid w:val="7270056E"/>
    <w:rsid w:val="72731E45"/>
    <w:rsid w:val="72763AAD"/>
    <w:rsid w:val="72776BA9"/>
    <w:rsid w:val="727A65F5"/>
    <w:rsid w:val="72811D61"/>
    <w:rsid w:val="72875CF4"/>
    <w:rsid w:val="729C684F"/>
    <w:rsid w:val="72A440B1"/>
    <w:rsid w:val="72C04637"/>
    <w:rsid w:val="72C47943"/>
    <w:rsid w:val="72D97A05"/>
    <w:rsid w:val="72E71EBE"/>
    <w:rsid w:val="72E759B6"/>
    <w:rsid w:val="72E81807"/>
    <w:rsid w:val="72EA1E2E"/>
    <w:rsid w:val="73046F12"/>
    <w:rsid w:val="73084C82"/>
    <w:rsid w:val="73090C59"/>
    <w:rsid w:val="730A2783"/>
    <w:rsid w:val="730B4198"/>
    <w:rsid w:val="731C348D"/>
    <w:rsid w:val="732B1A7D"/>
    <w:rsid w:val="732C7EFB"/>
    <w:rsid w:val="73337AA3"/>
    <w:rsid w:val="734419D2"/>
    <w:rsid w:val="734A5AB9"/>
    <w:rsid w:val="73521AE9"/>
    <w:rsid w:val="735B4A82"/>
    <w:rsid w:val="735B7B4A"/>
    <w:rsid w:val="736833D3"/>
    <w:rsid w:val="736F31E3"/>
    <w:rsid w:val="736F474E"/>
    <w:rsid w:val="737037B4"/>
    <w:rsid w:val="73715F7F"/>
    <w:rsid w:val="73771052"/>
    <w:rsid w:val="73796655"/>
    <w:rsid w:val="73872455"/>
    <w:rsid w:val="738A51CA"/>
    <w:rsid w:val="739201E9"/>
    <w:rsid w:val="73A10DF5"/>
    <w:rsid w:val="73A27B20"/>
    <w:rsid w:val="73AE3CB7"/>
    <w:rsid w:val="73AF27F8"/>
    <w:rsid w:val="73C223F6"/>
    <w:rsid w:val="73C25B58"/>
    <w:rsid w:val="73C50256"/>
    <w:rsid w:val="73D12FCF"/>
    <w:rsid w:val="73D2652A"/>
    <w:rsid w:val="73DA459A"/>
    <w:rsid w:val="73DB12FD"/>
    <w:rsid w:val="73DC7FD4"/>
    <w:rsid w:val="73DD3A5B"/>
    <w:rsid w:val="73DF0611"/>
    <w:rsid w:val="73EA2507"/>
    <w:rsid w:val="73EC2415"/>
    <w:rsid w:val="73F17DDC"/>
    <w:rsid w:val="73FB2E35"/>
    <w:rsid w:val="740025D6"/>
    <w:rsid w:val="741228B7"/>
    <w:rsid w:val="741550DD"/>
    <w:rsid w:val="74215176"/>
    <w:rsid w:val="742D357D"/>
    <w:rsid w:val="743567F1"/>
    <w:rsid w:val="74373FDB"/>
    <w:rsid w:val="74397E93"/>
    <w:rsid w:val="74583907"/>
    <w:rsid w:val="74657EEA"/>
    <w:rsid w:val="74792C67"/>
    <w:rsid w:val="74822928"/>
    <w:rsid w:val="74914729"/>
    <w:rsid w:val="749814A0"/>
    <w:rsid w:val="749E5CF5"/>
    <w:rsid w:val="74A12459"/>
    <w:rsid w:val="74A75AE7"/>
    <w:rsid w:val="74B81615"/>
    <w:rsid w:val="74BF194A"/>
    <w:rsid w:val="74C24D73"/>
    <w:rsid w:val="74CE4100"/>
    <w:rsid w:val="74D67F36"/>
    <w:rsid w:val="74D77AA9"/>
    <w:rsid w:val="74DE3933"/>
    <w:rsid w:val="74E10F82"/>
    <w:rsid w:val="74E963F8"/>
    <w:rsid w:val="74EC0BF6"/>
    <w:rsid w:val="74EF58E2"/>
    <w:rsid w:val="74F02B5E"/>
    <w:rsid w:val="74F047DA"/>
    <w:rsid w:val="74F50239"/>
    <w:rsid w:val="74FD0C9B"/>
    <w:rsid w:val="74FE7E4F"/>
    <w:rsid w:val="75040558"/>
    <w:rsid w:val="7508234A"/>
    <w:rsid w:val="75133998"/>
    <w:rsid w:val="7517106A"/>
    <w:rsid w:val="751A2234"/>
    <w:rsid w:val="75231C08"/>
    <w:rsid w:val="752C3DFF"/>
    <w:rsid w:val="752E38FF"/>
    <w:rsid w:val="752F5BC7"/>
    <w:rsid w:val="75383C5B"/>
    <w:rsid w:val="753868F3"/>
    <w:rsid w:val="75534AB8"/>
    <w:rsid w:val="75564CDF"/>
    <w:rsid w:val="75571AB2"/>
    <w:rsid w:val="755A2B8F"/>
    <w:rsid w:val="755C4AF1"/>
    <w:rsid w:val="758113D8"/>
    <w:rsid w:val="75885457"/>
    <w:rsid w:val="758B3E5B"/>
    <w:rsid w:val="758C4D73"/>
    <w:rsid w:val="759216BB"/>
    <w:rsid w:val="7596204C"/>
    <w:rsid w:val="759A730E"/>
    <w:rsid w:val="75B23C7B"/>
    <w:rsid w:val="75B56372"/>
    <w:rsid w:val="75BD4913"/>
    <w:rsid w:val="75C74352"/>
    <w:rsid w:val="75D65E89"/>
    <w:rsid w:val="75E73329"/>
    <w:rsid w:val="75E90D39"/>
    <w:rsid w:val="75EB5395"/>
    <w:rsid w:val="75F524DF"/>
    <w:rsid w:val="76097507"/>
    <w:rsid w:val="76192EFA"/>
    <w:rsid w:val="761E3A31"/>
    <w:rsid w:val="76297826"/>
    <w:rsid w:val="762A0438"/>
    <w:rsid w:val="76375333"/>
    <w:rsid w:val="764220D0"/>
    <w:rsid w:val="764C40B1"/>
    <w:rsid w:val="76543C48"/>
    <w:rsid w:val="7660735E"/>
    <w:rsid w:val="766A1BEE"/>
    <w:rsid w:val="76751BA2"/>
    <w:rsid w:val="767F3E45"/>
    <w:rsid w:val="768C4F4E"/>
    <w:rsid w:val="76913F47"/>
    <w:rsid w:val="769214A3"/>
    <w:rsid w:val="76953470"/>
    <w:rsid w:val="76964564"/>
    <w:rsid w:val="76B10C17"/>
    <w:rsid w:val="76BA0B8B"/>
    <w:rsid w:val="76BF2069"/>
    <w:rsid w:val="76CE07AD"/>
    <w:rsid w:val="76D6603C"/>
    <w:rsid w:val="76D72033"/>
    <w:rsid w:val="76DF248C"/>
    <w:rsid w:val="76E40DCE"/>
    <w:rsid w:val="76E933D8"/>
    <w:rsid w:val="76EA4522"/>
    <w:rsid w:val="76EF732D"/>
    <w:rsid w:val="76F409F3"/>
    <w:rsid w:val="76FA4830"/>
    <w:rsid w:val="76FA77C9"/>
    <w:rsid w:val="77017EC1"/>
    <w:rsid w:val="770415FC"/>
    <w:rsid w:val="771A36BF"/>
    <w:rsid w:val="7723611B"/>
    <w:rsid w:val="772B2F0D"/>
    <w:rsid w:val="772C02E6"/>
    <w:rsid w:val="773763DD"/>
    <w:rsid w:val="773A1CF3"/>
    <w:rsid w:val="774252C9"/>
    <w:rsid w:val="776133E3"/>
    <w:rsid w:val="77614EE5"/>
    <w:rsid w:val="776951CE"/>
    <w:rsid w:val="77706BD2"/>
    <w:rsid w:val="7774594A"/>
    <w:rsid w:val="777A1BA4"/>
    <w:rsid w:val="77821C25"/>
    <w:rsid w:val="77873FCC"/>
    <w:rsid w:val="77896415"/>
    <w:rsid w:val="77897FA7"/>
    <w:rsid w:val="778B45E0"/>
    <w:rsid w:val="778E6CF2"/>
    <w:rsid w:val="779803BA"/>
    <w:rsid w:val="77A555A0"/>
    <w:rsid w:val="77AE3353"/>
    <w:rsid w:val="77B66C4E"/>
    <w:rsid w:val="77C73D7D"/>
    <w:rsid w:val="77D94409"/>
    <w:rsid w:val="77DB4D7B"/>
    <w:rsid w:val="77E051B5"/>
    <w:rsid w:val="77E533F8"/>
    <w:rsid w:val="77E82A52"/>
    <w:rsid w:val="77EA7576"/>
    <w:rsid w:val="77F17531"/>
    <w:rsid w:val="78046702"/>
    <w:rsid w:val="780D5A78"/>
    <w:rsid w:val="780E1B00"/>
    <w:rsid w:val="781B5BF2"/>
    <w:rsid w:val="781F5072"/>
    <w:rsid w:val="78224079"/>
    <w:rsid w:val="7827796E"/>
    <w:rsid w:val="783005D4"/>
    <w:rsid w:val="783B0571"/>
    <w:rsid w:val="783B7CE4"/>
    <w:rsid w:val="783D6975"/>
    <w:rsid w:val="783E3728"/>
    <w:rsid w:val="78405E72"/>
    <w:rsid w:val="784606D6"/>
    <w:rsid w:val="784935DA"/>
    <w:rsid w:val="784E12BB"/>
    <w:rsid w:val="784F551A"/>
    <w:rsid w:val="785A70ED"/>
    <w:rsid w:val="785B376E"/>
    <w:rsid w:val="78720DB9"/>
    <w:rsid w:val="78733575"/>
    <w:rsid w:val="787649A0"/>
    <w:rsid w:val="787720E7"/>
    <w:rsid w:val="78794491"/>
    <w:rsid w:val="787C76E7"/>
    <w:rsid w:val="787D1FDD"/>
    <w:rsid w:val="78A32363"/>
    <w:rsid w:val="78AE6C6D"/>
    <w:rsid w:val="78C47BFE"/>
    <w:rsid w:val="78C95D1D"/>
    <w:rsid w:val="78C96741"/>
    <w:rsid w:val="78CB6919"/>
    <w:rsid w:val="78CC3F3E"/>
    <w:rsid w:val="78CE3A6F"/>
    <w:rsid w:val="78DB12DB"/>
    <w:rsid w:val="78DC297C"/>
    <w:rsid w:val="78DE4713"/>
    <w:rsid w:val="78E36DE3"/>
    <w:rsid w:val="78EB6D4A"/>
    <w:rsid w:val="78FC3336"/>
    <w:rsid w:val="790437B3"/>
    <w:rsid w:val="7905408E"/>
    <w:rsid w:val="79147F11"/>
    <w:rsid w:val="79322A16"/>
    <w:rsid w:val="793E44B9"/>
    <w:rsid w:val="7943211D"/>
    <w:rsid w:val="79471521"/>
    <w:rsid w:val="794F1CC0"/>
    <w:rsid w:val="795269D4"/>
    <w:rsid w:val="795931CE"/>
    <w:rsid w:val="79600F01"/>
    <w:rsid w:val="79614585"/>
    <w:rsid w:val="7962235F"/>
    <w:rsid w:val="79690DF5"/>
    <w:rsid w:val="796F1B27"/>
    <w:rsid w:val="797314DC"/>
    <w:rsid w:val="79843FD4"/>
    <w:rsid w:val="79874DF3"/>
    <w:rsid w:val="79882E69"/>
    <w:rsid w:val="79992168"/>
    <w:rsid w:val="79A00192"/>
    <w:rsid w:val="79A2155C"/>
    <w:rsid w:val="79A83E20"/>
    <w:rsid w:val="79BD5BF5"/>
    <w:rsid w:val="79BE28B4"/>
    <w:rsid w:val="79C37910"/>
    <w:rsid w:val="79C832E2"/>
    <w:rsid w:val="79E42445"/>
    <w:rsid w:val="79F95B07"/>
    <w:rsid w:val="79FF77DC"/>
    <w:rsid w:val="7A0131D1"/>
    <w:rsid w:val="7A040620"/>
    <w:rsid w:val="7A086E76"/>
    <w:rsid w:val="7A1304CA"/>
    <w:rsid w:val="7A1435E8"/>
    <w:rsid w:val="7A176013"/>
    <w:rsid w:val="7A1E1A7F"/>
    <w:rsid w:val="7A315C08"/>
    <w:rsid w:val="7A3A4CD5"/>
    <w:rsid w:val="7A3A6999"/>
    <w:rsid w:val="7A49486F"/>
    <w:rsid w:val="7A4E1EC7"/>
    <w:rsid w:val="7A55313C"/>
    <w:rsid w:val="7A5F2330"/>
    <w:rsid w:val="7A5F315F"/>
    <w:rsid w:val="7A6D461A"/>
    <w:rsid w:val="7A701BCC"/>
    <w:rsid w:val="7A737178"/>
    <w:rsid w:val="7A762B65"/>
    <w:rsid w:val="7A770698"/>
    <w:rsid w:val="7A7E1ACD"/>
    <w:rsid w:val="7A7E6296"/>
    <w:rsid w:val="7A881521"/>
    <w:rsid w:val="7AA271BA"/>
    <w:rsid w:val="7AA663CF"/>
    <w:rsid w:val="7AAF1789"/>
    <w:rsid w:val="7ABA4E46"/>
    <w:rsid w:val="7AC13DB0"/>
    <w:rsid w:val="7AC245C0"/>
    <w:rsid w:val="7AC26065"/>
    <w:rsid w:val="7AD106BE"/>
    <w:rsid w:val="7AE36D5C"/>
    <w:rsid w:val="7AE93166"/>
    <w:rsid w:val="7AF278F6"/>
    <w:rsid w:val="7AF40848"/>
    <w:rsid w:val="7AF53AF7"/>
    <w:rsid w:val="7AF9405D"/>
    <w:rsid w:val="7AFA7197"/>
    <w:rsid w:val="7AFE2DD9"/>
    <w:rsid w:val="7B0263A6"/>
    <w:rsid w:val="7B041B5A"/>
    <w:rsid w:val="7B0B42E2"/>
    <w:rsid w:val="7B0E6B19"/>
    <w:rsid w:val="7B0F36CD"/>
    <w:rsid w:val="7B11702E"/>
    <w:rsid w:val="7B2C090D"/>
    <w:rsid w:val="7B2F39E1"/>
    <w:rsid w:val="7B3264B4"/>
    <w:rsid w:val="7B373FA8"/>
    <w:rsid w:val="7B381EDF"/>
    <w:rsid w:val="7B397689"/>
    <w:rsid w:val="7B415208"/>
    <w:rsid w:val="7B456376"/>
    <w:rsid w:val="7B4B0C55"/>
    <w:rsid w:val="7B4E05BD"/>
    <w:rsid w:val="7B53399A"/>
    <w:rsid w:val="7B5D5D9E"/>
    <w:rsid w:val="7B844773"/>
    <w:rsid w:val="7B8602D0"/>
    <w:rsid w:val="7B914BCA"/>
    <w:rsid w:val="7B982C0D"/>
    <w:rsid w:val="7B9B3E40"/>
    <w:rsid w:val="7B9C7FB3"/>
    <w:rsid w:val="7B9F274D"/>
    <w:rsid w:val="7BA45020"/>
    <w:rsid w:val="7BAE1C29"/>
    <w:rsid w:val="7BBB02BF"/>
    <w:rsid w:val="7BBC5AAB"/>
    <w:rsid w:val="7BD61E86"/>
    <w:rsid w:val="7BEE2DFA"/>
    <w:rsid w:val="7BEE36DC"/>
    <w:rsid w:val="7BFC24B4"/>
    <w:rsid w:val="7C003B6A"/>
    <w:rsid w:val="7C02394F"/>
    <w:rsid w:val="7C0A274E"/>
    <w:rsid w:val="7C143CF8"/>
    <w:rsid w:val="7C2461AF"/>
    <w:rsid w:val="7C302DF8"/>
    <w:rsid w:val="7C3C5797"/>
    <w:rsid w:val="7C4761E5"/>
    <w:rsid w:val="7C486228"/>
    <w:rsid w:val="7C4F4F01"/>
    <w:rsid w:val="7C5513E3"/>
    <w:rsid w:val="7C5E0C60"/>
    <w:rsid w:val="7C626EB1"/>
    <w:rsid w:val="7C682A0C"/>
    <w:rsid w:val="7C6919C0"/>
    <w:rsid w:val="7C6B6F82"/>
    <w:rsid w:val="7C885DBF"/>
    <w:rsid w:val="7C8E3586"/>
    <w:rsid w:val="7C974D86"/>
    <w:rsid w:val="7CB632D0"/>
    <w:rsid w:val="7CC14709"/>
    <w:rsid w:val="7CD55111"/>
    <w:rsid w:val="7CD76E77"/>
    <w:rsid w:val="7CD902B7"/>
    <w:rsid w:val="7CDE33C7"/>
    <w:rsid w:val="7CE01C54"/>
    <w:rsid w:val="7CF47A98"/>
    <w:rsid w:val="7CF5357B"/>
    <w:rsid w:val="7CF86C24"/>
    <w:rsid w:val="7D01312D"/>
    <w:rsid w:val="7D0345FE"/>
    <w:rsid w:val="7D1828BB"/>
    <w:rsid w:val="7D280A1A"/>
    <w:rsid w:val="7D3F73A4"/>
    <w:rsid w:val="7D567DF1"/>
    <w:rsid w:val="7D610CED"/>
    <w:rsid w:val="7D61544E"/>
    <w:rsid w:val="7D69765C"/>
    <w:rsid w:val="7D6A614A"/>
    <w:rsid w:val="7D6C44CC"/>
    <w:rsid w:val="7D713A83"/>
    <w:rsid w:val="7D8B5087"/>
    <w:rsid w:val="7D903429"/>
    <w:rsid w:val="7D912468"/>
    <w:rsid w:val="7D9312AF"/>
    <w:rsid w:val="7D9871E4"/>
    <w:rsid w:val="7DA16CC6"/>
    <w:rsid w:val="7DA703DC"/>
    <w:rsid w:val="7DA831DB"/>
    <w:rsid w:val="7DBA353E"/>
    <w:rsid w:val="7DBF6E3B"/>
    <w:rsid w:val="7DE1737B"/>
    <w:rsid w:val="7DE92F3C"/>
    <w:rsid w:val="7DF30020"/>
    <w:rsid w:val="7DF80BF8"/>
    <w:rsid w:val="7E0B2EC4"/>
    <w:rsid w:val="7E0C0E83"/>
    <w:rsid w:val="7E126246"/>
    <w:rsid w:val="7E126765"/>
    <w:rsid w:val="7E1C5ADC"/>
    <w:rsid w:val="7E1C636F"/>
    <w:rsid w:val="7E20307A"/>
    <w:rsid w:val="7E2366F2"/>
    <w:rsid w:val="7E250921"/>
    <w:rsid w:val="7E330438"/>
    <w:rsid w:val="7E3824FC"/>
    <w:rsid w:val="7E3A5671"/>
    <w:rsid w:val="7E3B1AE7"/>
    <w:rsid w:val="7E42556C"/>
    <w:rsid w:val="7E4A0620"/>
    <w:rsid w:val="7E50341F"/>
    <w:rsid w:val="7E541509"/>
    <w:rsid w:val="7E5C52AE"/>
    <w:rsid w:val="7E5D651E"/>
    <w:rsid w:val="7E5F2B13"/>
    <w:rsid w:val="7E643994"/>
    <w:rsid w:val="7E6C03E0"/>
    <w:rsid w:val="7E774558"/>
    <w:rsid w:val="7E9315A4"/>
    <w:rsid w:val="7EB2321A"/>
    <w:rsid w:val="7EB44AA6"/>
    <w:rsid w:val="7ED31887"/>
    <w:rsid w:val="7ED540C5"/>
    <w:rsid w:val="7EE0601A"/>
    <w:rsid w:val="7EE47D1E"/>
    <w:rsid w:val="7EE53E85"/>
    <w:rsid w:val="7EEF0955"/>
    <w:rsid w:val="7F0113BB"/>
    <w:rsid w:val="7F01589C"/>
    <w:rsid w:val="7F0E5672"/>
    <w:rsid w:val="7F101ADE"/>
    <w:rsid w:val="7F2362F7"/>
    <w:rsid w:val="7F3110D6"/>
    <w:rsid w:val="7F321EED"/>
    <w:rsid w:val="7F336654"/>
    <w:rsid w:val="7F355F8A"/>
    <w:rsid w:val="7F36253C"/>
    <w:rsid w:val="7F4A0318"/>
    <w:rsid w:val="7F4E7FAE"/>
    <w:rsid w:val="7F537E57"/>
    <w:rsid w:val="7F54037E"/>
    <w:rsid w:val="7F575285"/>
    <w:rsid w:val="7F620826"/>
    <w:rsid w:val="7F632818"/>
    <w:rsid w:val="7F682F8D"/>
    <w:rsid w:val="7F8A1801"/>
    <w:rsid w:val="7F91136B"/>
    <w:rsid w:val="7FB47AD2"/>
    <w:rsid w:val="7FBF7EF1"/>
    <w:rsid w:val="7FE636C3"/>
    <w:rsid w:val="7FF72DD9"/>
    <w:rsid w:val="7FF863B3"/>
    <w:rsid w:val="7FF87C9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line="594" w:lineRule="exact"/>
      <w:ind w:firstLine="640"/>
      <w:outlineLvl w:val="0"/>
    </w:pPr>
    <w:rPr>
      <w:rFonts w:eastAsia="方正黑体_GBK" w:cs="Times New Roman"/>
      <w:kern w:val="44"/>
    </w:rPr>
  </w:style>
  <w:style w:type="paragraph" w:styleId="4">
    <w:name w:val="heading 2"/>
    <w:basedOn w:val="1"/>
    <w:next w:val="1"/>
    <w:link w:val="74"/>
    <w:unhideWhenUsed/>
    <w:qFormat/>
    <w:uiPriority w:val="0"/>
    <w:pPr>
      <w:spacing w:line="594" w:lineRule="exact"/>
      <w:outlineLvl w:val="1"/>
    </w:pPr>
    <w:rPr>
      <w:rFonts w:eastAsia="方正楷体_GBK" w:cs="Times New Roman"/>
    </w:rPr>
  </w:style>
  <w:style w:type="paragraph" w:styleId="5">
    <w:name w:val="heading 3"/>
    <w:basedOn w:val="1"/>
    <w:next w:val="1"/>
    <w:unhideWhenUsed/>
    <w:qFormat/>
    <w:uiPriority w:val="0"/>
    <w:pPr>
      <w:spacing w:beforeAutospacing="1" w:afterAutospacing="1"/>
      <w:jc w:val="left"/>
      <w:outlineLvl w:val="2"/>
    </w:pPr>
    <w:rPr>
      <w:rFonts w:hint="eastAsia" w:ascii="宋体" w:hAnsi="宋体" w:cs="Times New Roman"/>
      <w:b/>
      <w:kern w:val="0"/>
      <w:sz w:val="27"/>
      <w:szCs w:val="27"/>
    </w:rPr>
  </w:style>
  <w:style w:type="paragraph" w:styleId="6">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8">
    <w:name w:val="Default Paragraph Font"/>
    <w:link w:val="19"/>
    <w:semiHidden/>
    <w:unhideWhenUsed/>
    <w:qFormat/>
    <w:uiPriority w:val="1"/>
    <w:rPr>
      <w:rFonts w:cs="Courier New"/>
      <w:spacing w:val="-2"/>
      <w:sz w:val="22"/>
      <w:szCs w:val="32"/>
    </w:rPr>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qFormat/>
    <w:uiPriority w:val="0"/>
    <w:pPr>
      <w:widowControl w:val="0"/>
      <w:spacing w:before="240" w:after="60"/>
      <w:jc w:val="both"/>
      <w:outlineLvl w:val="0"/>
    </w:pPr>
    <w:rPr>
      <w:rFonts w:ascii="Arial" w:hAnsi="Arial" w:eastAsia="宋体" w:cs="Arial"/>
      <w:b/>
      <w:bCs/>
      <w:kern w:val="2"/>
      <w:sz w:val="32"/>
      <w:szCs w:val="32"/>
      <w:lang w:val="en-US" w:eastAsia="zh-CN" w:bidi="ar-SA"/>
    </w:rPr>
  </w:style>
  <w:style w:type="paragraph" w:styleId="7">
    <w:name w:val="Body Text"/>
    <w:basedOn w:val="1"/>
    <w:next w:val="8"/>
    <w:qFormat/>
    <w:uiPriority w:val="0"/>
    <w:pPr>
      <w:jc w:val="center"/>
    </w:pPr>
    <w:rPr>
      <w:rFonts w:ascii="仿宋_GB2312" w:hAnsi="宋体" w:eastAsia="仿宋_GB2312"/>
      <w:color w:val="000000"/>
      <w:sz w:val="32"/>
    </w:rPr>
  </w:style>
  <w:style w:type="paragraph" w:styleId="8">
    <w:name w:val="Date"/>
    <w:basedOn w:val="1"/>
    <w:next w:val="1"/>
    <w:qFormat/>
    <w:uiPriority w:val="0"/>
    <w:pPr>
      <w:autoSpaceDE w:val="0"/>
      <w:autoSpaceDN w:val="0"/>
      <w:ind w:left="100" w:leftChars="2500"/>
      <w:jc w:val="left"/>
    </w:pPr>
    <w:rPr>
      <w:rFonts w:ascii="宋体" w:hAnsi="宋体" w:cs="宋体"/>
      <w:kern w:val="0"/>
      <w:sz w:val="22"/>
      <w:lang w:val="zh-CN" w:bidi="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unhideWhenUsed/>
    <w:qFormat/>
    <w:uiPriority w:val="39"/>
    <w:pPr>
      <w:widowControl/>
      <w:spacing w:after="100" w:line="560" w:lineRule="exact"/>
      <w:ind w:firstLine="640" w:firstLineChars="200"/>
      <w:jc w:val="left"/>
    </w:pPr>
    <w:rPr>
      <w:rFonts w:ascii="方正黑体_GBK" w:eastAsia="方正黑体_GBK" w:cs="方正黑体_GBK"/>
      <w:sz w:val="32"/>
      <w:szCs w:val="32"/>
    </w:rPr>
  </w:style>
  <w:style w:type="paragraph" w:styleId="12">
    <w:name w:val="footnote text"/>
    <w:basedOn w:val="1"/>
    <w:qFormat/>
    <w:uiPriority w:val="0"/>
    <w:pPr>
      <w:snapToGrid w:val="0"/>
      <w:jc w:val="left"/>
    </w:pPr>
    <w:rPr>
      <w:sz w:val="18"/>
    </w:rPr>
  </w:style>
  <w:style w:type="paragraph" w:styleId="13">
    <w:name w:val="table of figures"/>
    <w:basedOn w:val="1"/>
    <w:next w:val="1"/>
    <w:unhideWhenUsed/>
    <w:qFormat/>
    <w:uiPriority w:val="0"/>
    <w:pPr>
      <w:ind w:left="200" w:leftChars="200" w:hanging="200" w:hangingChars="200"/>
    </w:pPr>
  </w:style>
  <w:style w:type="paragraph" w:styleId="14">
    <w:name w:val="Body Text 2"/>
    <w:basedOn w:val="1"/>
    <w:qFormat/>
    <w:uiPriority w:val="0"/>
    <w:pPr>
      <w:spacing w:after="120" w:line="480" w:lineRule="auto"/>
    </w:pPr>
    <w:rPr>
      <w:sz w:val="32"/>
    </w:rPr>
  </w:style>
  <w:style w:type="paragraph" w:styleId="15">
    <w:name w:val="Normal (Web)"/>
    <w:basedOn w:val="1"/>
    <w:qFormat/>
    <w:uiPriority w:val="0"/>
    <w:pPr>
      <w:spacing w:beforeAutospacing="1" w:afterAutospacing="1"/>
      <w:jc w:val="left"/>
    </w:pPr>
    <w:rPr>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Char Char"/>
    <w:basedOn w:val="1"/>
    <w:link w:val="18"/>
    <w:qFormat/>
    <w:uiPriority w:val="0"/>
    <w:rPr>
      <w:rFonts w:cs="Courier New"/>
      <w:spacing w:val="-2"/>
      <w:sz w:val="22"/>
      <w:szCs w:val="32"/>
    </w:rPr>
  </w:style>
  <w:style w:type="character" w:styleId="20">
    <w:name w:val="Strong"/>
    <w:basedOn w:val="18"/>
    <w:qFormat/>
    <w:uiPriority w:val="22"/>
    <w:rPr>
      <w:b/>
    </w:rPr>
  </w:style>
  <w:style w:type="character" w:styleId="21">
    <w:name w:val="page number"/>
    <w:basedOn w:val="18"/>
    <w:unhideWhenUsed/>
    <w:qFormat/>
    <w:uiPriority w:val="99"/>
    <w:rPr>
      <w:rFonts w:ascii="Verdana" w:hAnsi="Verdana" w:eastAsia="宋体" w:cs="Times New Roman"/>
      <w:kern w:val="0"/>
      <w:sz w:val="20"/>
      <w:szCs w:val="24"/>
      <w:lang w:eastAsia="en-US"/>
    </w:rPr>
  </w:style>
  <w:style w:type="character" w:styleId="22">
    <w:name w:val="FollowedHyperlink"/>
    <w:basedOn w:val="18"/>
    <w:qFormat/>
    <w:uiPriority w:val="0"/>
    <w:rPr>
      <w:color w:val="333333"/>
      <w:u w:val="none"/>
    </w:rPr>
  </w:style>
  <w:style w:type="character" w:styleId="23">
    <w:name w:val="Emphasis"/>
    <w:basedOn w:val="18"/>
    <w:qFormat/>
    <w:uiPriority w:val="0"/>
    <w:rPr>
      <w:i/>
    </w:rPr>
  </w:style>
  <w:style w:type="character" w:styleId="24">
    <w:name w:val="Hyperlink"/>
    <w:basedOn w:val="18"/>
    <w:qFormat/>
    <w:uiPriority w:val="0"/>
    <w:rPr>
      <w:color w:val="333333"/>
      <w:u w:val="none"/>
    </w:rPr>
  </w:style>
  <w:style w:type="character" w:styleId="25">
    <w:name w:val="footnote reference"/>
    <w:basedOn w:val="18"/>
    <w:qFormat/>
    <w:uiPriority w:val="0"/>
    <w:rPr>
      <w:vertAlign w:val="superscript"/>
    </w:rPr>
  </w:style>
  <w:style w:type="paragraph" w:customStyle="1" w:styleId="26">
    <w:name w:val="Char1 Char Char Char"/>
    <w:qFormat/>
    <w:uiPriority w:val="0"/>
    <w:pPr>
      <w:widowControl w:val="0"/>
      <w:jc w:val="both"/>
    </w:pPr>
    <w:rPr>
      <w:rFonts w:ascii="Times New Roman" w:hAnsi="Times New Roman" w:eastAsia="方正仿宋_GBK" w:cs="Times New Roman"/>
      <w:kern w:val="2"/>
      <w:sz w:val="21"/>
      <w:szCs w:val="24"/>
      <w:lang w:val="en-US" w:eastAsia="zh-CN" w:bidi="ar-SA"/>
    </w:rPr>
  </w:style>
  <w:style w:type="paragraph" w:customStyle="1" w:styleId="27">
    <w:name w:val="_Style 6"/>
    <w:basedOn w:val="1"/>
    <w:qFormat/>
    <w:uiPriority w:val="0"/>
    <w:pPr>
      <w:widowControl/>
      <w:spacing w:after="160" w:line="240" w:lineRule="exact"/>
      <w:jc w:val="left"/>
    </w:pPr>
    <w:rPr>
      <w:rFonts w:eastAsia="仿宋_GB2312"/>
      <w:sz w:val="32"/>
    </w:rPr>
  </w:style>
  <w:style w:type="paragraph" w:customStyle="1" w:styleId="28">
    <w:name w:val="默认段落字体 Para Char Char Char Char Char Char Char Char Char Char"/>
    <w:basedOn w:val="1"/>
    <w:qFormat/>
    <w:uiPriority w:val="0"/>
    <w:rPr>
      <w:sz w:val="32"/>
      <w:szCs w:val="20"/>
    </w:rPr>
  </w:style>
  <w:style w:type="paragraph" w:customStyle="1" w:styleId="2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0">
    <w:name w:val="p0"/>
    <w:basedOn w:val="1"/>
    <w:qFormat/>
    <w:uiPriority w:val="0"/>
    <w:pPr>
      <w:widowControl/>
    </w:pPr>
    <w:rPr>
      <w:rFonts w:hint="eastAsia"/>
    </w:rPr>
  </w:style>
  <w:style w:type="paragraph" w:customStyle="1" w:styleId="31">
    <w:name w:val="列出段落2"/>
    <w:basedOn w:val="1"/>
    <w:qFormat/>
    <w:uiPriority w:val="99"/>
    <w:pPr>
      <w:ind w:firstLine="420" w:firstLineChars="200"/>
    </w:pPr>
    <w:rPr>
      <w:rFonts w:cs="Times New Roman"/>
    </w:rPr>
  </w:style>
  <w:style w:type="paragraph" w:customStyle="1" w:styleId="32">
    <w:name w:val="UserStyle_4"/>
    <w:basedOn w:val="1"/>
    <w:link w:val="45"/>
    <w:qFormat/>
    <w:uiPriority w:val="0"/>
    <w:pPr>
      <w:widowControl/>
      <w:spacing w:after="160" w:line="240" w:lineRule="exact"/>
      <w:jc w:val="left"/>
      <w:textAlignment w:val="baseline"/>
    </w:pPr>
  </w:style>
  <w:style w:type="paragraph" w:customStyle="1" w:styleId="33">
    <w:name w:val="tit2"/>
    <w:basedOn w:val="1"/>
    <w:qFormat/>
    <w:uiPriority w:val="0"/>
    <w:pPr>
      <w:jc w:val="left"/>
    </w:pPr>
    <w:rPr>
      <w:rFonts w:cs="Times New Roman"/>
      <w:b/>
      <w:color w:val="1369C0"/>
      <w:kern w:val="0"/>
    </w:rPr>
  </w:style>
  <w:style w:type="paragraph" w:customStyle="1" w:styleId="34">
    <w:name w:val="tit4"/>
    <w:basedOn w:val="1"/>
    <w:qFormat/>
    <w:uiPriority w:val="0"/>
    <w:pPr>
      <w:jc w:val="left"/>
    </w:pPr>
    <w:rPr>
      <w:rFonts w:cs="Times New Roman"/>
      <w:color w:val="888888"/>
      <w:kern w:val="0"/>
    </w:rPr>
  </w:style>
  <w:style w:type="paragraph" w:customStyle="1" w:styleId="35">
    <w:name w:val="tit6"/>
    <w:basedOn w:val="1"/>
    <w:qFormat/>
    <w:uiPriority w:val="0"/>
    <w:pPr>
      <w:jc w:val="left"/>
    </w:pPr>
    <w:rPr>
      <w:rFonts w:cs="Times New Roman"/>
      <w:color w:val="FFFFFF"/>
      <w:kern w:val="0"/>
    </w:rPr>
  </w:style>
  <w:style w:type="paragraph" w:customStyle="1" w:styleId="36">
    <w:name w:val="tit8"/>
    <w:basedOn w:val="1"/>
    <w:qFormat/>
    <w:uiPriority w:val="0"/>
    <w:pPr>
      <w:jc w:val="left"/>
    </w:pPr>
    <w:rPr>
      <w:rFonts w:cs="Times New Roman"/>
      <w:b/>
      <w:color w:val="333333"/>
      <w:kern w:val="0"/>
    </w:rPr>
  </w:style>
  <w:style w:type="paragraph" w:customStyle="1" w:styleId="37">
    <w:name w:val="tit10"/>
    <w:basedOn w:val="1"/>
    <w:qFormat/>
    <w:uiPriority w:val="0"/>
    <w:pPr>
      <w:jc w:val="center"/>
    </w:pPr>
    <w:rPr>
      <w:rFonts w:cs="Times New Roman"/>
      <w:color w:val="333333"/>
      <w:kern w:val="0"/>
    </w:rPr>
  </w:style>
  <w:style w:type="paragraph" w:customStyle="1" w:styleId="38">
    <w:name w:val="tit12"/>
    <w:basedOn w:val="1"/>
    <w:qFormat/>
    <w:uiPriority w:val="0"/>
    <w:pPr>
      <w:jc w:val="left"/>
    </w:pPr>
    <w:rPr>
      <w:rFonts w:cs="Times New Roman"/>
      <w:b/>
      <w:color w:val="1369C0"/>
      <w:kern w:val="0"/>
    </w:rPr>
  </w:style>
  <w:style w:type="paragraph" w:customStyle="1" w:styleId="39">
    <w:name w:val="BodyText2"/>
    <w:basedOn w:val="1"/>
    <w:qFormat/>
    <w:uiPriority w:val="0"/>
    <w:pPr>
      <w:spacing w:line="480" w:lineRule="auto"/>
    </w:pPr>
    <w:rPr>
      <w:sz w:val="32"/>
    </w:rPr>
  </w:style>
  <w:style w:type="paragraph" w:customStyle="1" w:styleId="40">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41">
    <w:name w:val="font81"/>
    <w:basedOn w:val="18"/>
    <w:qFormat/>
    <w:uiPriority w:val="0"/>
    <w:rPr>
      <w:rFonts w:hint="eastAsia" w:ascii="方正黑体_GBK" w:hAnsi="方正黑体_GBK" w:eastAsia="方正黑体_GBK" w:cs="方正黑体_GBK"/>
      <w:color w:val="000000"/>
      <w:sz w:val="20"/>
      <w:szCs w:val="20"/>
      <w:u w:val="none"/>
    </w:rPr>
  </w:style>
  <w:style w:type="character" w:customStyle="1" w:styleId="42">
    <w:name w:val="font21"/>
    <w:basedOn w:val="18"/>
    <w:qFormat/>
    <w:uiPriority w:val="0"/>
    <w:rPr>
      <w:rFonts w:hint="default" w:ascii="Times New Roman" w:hAnsi="Times New Roman" w:eastAsia="宋体" w:cs="Times New Roman"/>
      <w:color w:val="000000"/>
      <w:sz w:val="20"/>
      <w:szCs w:val="20"/>
      <w:u w:val="none"/>
    </w:rPr>
  </w:style>
  <w:style w:type="character" w:customStyle="1" w:styleId="43">
    <w:name w:val="font61"/>
    <w:qFormat/>
    <w:uiPriority w:val="0"/>
    <w:rPr>
      <w:rFonts w:hint="eastAsia" w:ascii="Times New Roman" w:hAnsi="Times New Roman" w:eastAsia="宋体" w:cs="Times New Roman"/>
      <w:color w:val="000000"/>
      <w:kern w:val="0"/>
      <w:sz w:val="22"/>
      <w:szCs w:val="22"/>
      <w:u w:val="none"/>
      <w:lang w:eastAsia="en-US"/>
    </w:rPr>
  </w:style>
  <w:style w:type="character" w:customStyle="1" w:styleId="44">
    <w:name w:val="font51"/>
    <w:qFormat/>
    <w:uiPriority w:val="0"/>
    <w:rPr>
      <w:rFonts w:hint="eastAsia" w:ascii="方正仿宋_GBK" w:hAnsi="方正仿宋_GBK" w:eastAsia="方正仿宋_GBK" w:cs="方正仿宋_GBK"/>
      <w:color w:val="000000"/>
      <w:kern w:val="0"/>
      <w:sz w:val="22"/>
      <w:szCs w:val="22"/>
      <w:u w:val="none"/>
      <w:lang w:eastAsia="en-US"/>
    </w:rPr>
  </w:style>
  <w:style w:type="character" w:customStyle="1" w:styleId="45">
    <w:name w:val="NormalCharacter"/>
    <w:link w:val="32"/>
    <w:qFormat/>
    <w:uiPriority w:val="0"/>
  </w:style>
  <w:style w:type="character" w:customStyle="1" w:styleId="46">
    <w:name w:val="yj-blue"/>
    <w:basedOn w:val="18"/>
    <w:qFormat/>
    <w:uiPriority w:val="0"/>
    <w:rPr>
      <w:b/>
      <w:color w:val="FFFFFF"/>
      <w:sz w:val="21"/>
      <w:szCs w:val="21"/>
      <w:shd w:val="clear" w:color="040000" w:fill="1E84CB"/>
    </w:rPr>
  </w:style>
  <w:style w:type="character" w:customStyle="1" w:styleId="47">
    <w:name w:val="red"/>
    <w:basedOn w:val="18"/>
    <w:qFormat/>
    <w:uiPriority w:val="0"/>
    <w:rPr>
      <w:color w:val="E1211F"/>
      <w:u w:val="single"/>
    </w:rPr>
  </w:style>
  <w:style w:type="character" w:customStyle="1" w:styleId="48">
    <w:name w:val="red1"/>
    <w:basedOn w:val="18"/>
    <w:qFormat/>
    <w:uiPriority w:val="0"/>
    <w:rPr>
      <w:color w:val="E33938"/>
      <w:u w:val="single"/>
    </w:rPr>
  </w:style>
  <w:style w:type="character" w:customStyle="1" w:styleId="49">
    <w:name w:val="red2"/>
    <w:basedOn w:val="18"/>
    <w:qFormat/>
    <w:uiPriority w:val="0"/>
    <w:rPr>
      <w:color w:val="E1211F"/>
    </w:rPr>
  </w:style>
  <w:style w:type="character" w:customStyle="1" w:styleId="50">
    <w:name w:val="red3"/>
    <w:basedOn w:val="18"/>
    <w:qFormat/>
    <w:uiPriority w:val="0"/>
    <w:rPr>
      <w:color w:val="E1211F"/>
    </w:rPr>
  </w:style>
  <w:style w:type="character" w:customStyle="1" w:styleId="51">
    <w:name w:val="red4"/>
    <w:basedOn w:val="18"/>
    <w:qFormat/>
    <w:uiPriority w:val="0"/>
    <w:rPr>
      <w:color w:val="E1211F"/>
    </w:rPr>
  </w:style>
  <w:style w:type="character" w:customStyle="1" w:styleId="52">
    <w:name w:val="red5"/>
    <w:basedOn w:val="18"/>
    <w:qFormat/>
    <w:uiPriority w:val="0"/>
    <w:rPr>
      <w:color w:val="E1211F"/>
    </w:rPr>
  </w:style>
  <w:style w:type="character" w:customStyle="1" w:styleId="53">
    <w:name w:val="cur10"/>
    <w:basedOn w:val="18"/>
    <w:qFormat/>
    <w:uiPriority w:val="0"/>
    <w:rPr>
      <w:shd w:val="clear" w:color="000000" w:fill="84B5FF"/>
    </w:rPr>
  </w:style>
  <w:style w:type="character" w:customStyle="1" w:styleId="54">
    <w:name w:val="cur11"/>
    <w:basedOn w:val="18"/>
    <w:qFormat/>
    <w:uiPriority w:val="0"/>
    <w:rPr>
      <w:color w:val="3354A2"/>
    </w:rPr>
  </w:style>
  <w:style w:type="character" w:customStyle="1" w:styleId="55">
    <w:name w:val="yjl"/>
    <w:basedOn w:val="18"/>
    <w:qFormat/>
    <w:uiPriority w:val="0"/>
    <w:rPr>
      <w:color w:val="999999"/>
    </w:rPr>
  </w:style>
  <w:style w:type="character" w:customStyle="1" w:styleId="56">
    <w:name w:val="con4"/>
    <w:basedOn w:val="18"/>
    <w:qFormat/>
    <w:uiPriority w:val="0"/>
  </w:style>
  <w:style w:type="character" w:customStyle="1" w:styleId="57">
    <w:name w:val="name2"/>
    <w:basedOn w:val="18"/>
    <w:qFormat/>
    <w:uiPriority w:val="0"/>
    <w:rPr>
      <w:color w:val="2760B7"/>
    </w:rPr>
  </w:style>
  <w:style w:type="character" w:customStyle="1" w:styleId="58">
    <w:name w:val="yjr"/>
    <w:basedOn w:val="18"/>
    <w:qFormat/>
    <w:uiPriority w:val="0"/>
  </w:style>
  <w:style w:type="character" w:customStyle="1" w:styleId="59">
    <w:name w:val="yj-time"/>
    <w:basedOn w:val="18"/>
    <w:qFormat/>
    <w:uiPriority w:val="0"/>
    <w:rPr>
      <w:color w:val="AAAAAA"/>
      <w:sz w:val="18"/>
      <w:szCs w:val="18"/>
    </w:rPr>
  </w:style>
  <w:style w:type="character" w:customStyle="1" w:styleId="60">
    <w:name w:val="tyhl"/>
    <w:basedOn w:val="18"/>
    <w:qFormat/>
    <w:uiPriority w:val="0"/>
    <w:rPr>
      <w:shd w:val="clear" w:color="000000" w:fill="FFFFFF"/>
    </w:rPr>
  </w:style>
  <w:style w:type="character" w:customStyle="1" w:styleId="61">
    <w:name w:val="tit24"/>
    <w:basedOn w:val="18"/>
    <w:qFormat/>
    <w:uiPriority w:val="0"/>
    <w:rPr>
      <w:b/>
      <w:color w:val="333333"/>
      <w:sz w:val="39"/>
      <w:szCs w:val="39"/>
    </w:rPr>
  </w:style>
  <w:style w:type="character" w:customStyle="1" w:styleId="62">
    <w:name w:val="hover42"/>
    <w:basedOn w:val="18"/>
    <w:qFormat/>
    <w:uiPriority w:val="0"/>
    <w:rPr>
      <w:b/>
    </w:rPr>
  </w:style>
  <w:style w:type="character" w:customStyle="1" w:styleId="63">
    <w:name w:val="w100"/>
    <w:basedOn w:val="18"/>
    <w:qFormat/>
    <w:uiPriority w:val="0"/>
  </w:style>
  <w:style w:type="character" w:customStyle="1" w:styleId="64">
    <w:name w:val="hover"/>
    <w:basedOn w:val="18"/>
    <w:qFormat/>
    <w:uiPriority w:val="0"/>
    <w:rPr>
      <w:b/>
    </w:rPr>
  </w:style>
  <w:style w:type="character" w:customStyle="1" w:styleId="65">
    <w:name w:val="cur"/>
    <w:basedOn w:val="18"/>
    <w:qFormat/>
    <w:uiPriority w:val="0"/>
    <w:rPr>
      <w:color w:val="3354A2"/>
    </w:rPr>
  </w:style>
  <w:style w:type="character" w:customStyle="1" w:styleId="66">
    <w:name w:val="cur1"/>
    <w:basedOn w:val="18"/>
    <w:qFormat/>
    <w:uiPriority w:val="0"/>
    <w:rPr>
      <w:shd w:val="clear" w:color="000000" w:fill="84B5FF"/>
    </w:rPr>
  </w:style>
  <w:style w:type="character" w:customStyle="1" w:styleId="67">
    <w:name w:val="name"/>
    <w:basedOn w:val="18"/>
    <w:qFormat/>
    <w:uiPriority w:val="0"/>
    <w:rPr>
      <w:color w:val="2760B7"/>
    </w:rPr>
  </w:style>
  <w:style w:type="character" w:customStyle="1" w:styleId="68">
    <w:name w:val="tit25"/>
    <w:basedOn w:val="18"/>
    <w:qFormat/>
    <w:uiPriority w:val="0"/>
    <w:rPr>
      <w:b/>
      <w:color w:val="333333"/>
      <w:sz w:val="39"/>
      <w:szCs w:val="39"/>
    </w:rPr>
  </w:style>
  <w:style w:type="character" w:customStyle="1" w:styleId="69">
    <w:name w:val="tit"/>
    <w:basedOn w:val="18"/>
    <w:qFormat/>
    <w:uiPriority w:val="0"/>
    <w:rPr>
      <w:b/>
      <w:color w:val="333333"/>
      <w:sz w:val="39"/>
      <w:szCs w:val="39"/>
    </w:rPr>
  </w:style>
  <w:style w:type="character" w:customStyle="1" w:styleId="70">
    <w:name w:val="yj-time2"/>
    <w:basedOn w:val="18"/>
    <w:qFormat/>
    <w:uiPriority w:val="0"/>
    <w:rPr>
      <w:color w:val="AAAAAA"/>
      <w:sz w:val="18"/>
      <w:szCs w:val="18"/>
    </w:rPr>
  </w:style>
  <w:style w:type="character" w:customStyle="1" w:styleId="71">
    <w:name w:val="con5"/>
    <w:basedOn w:val="18"/>
    <w:qFormat/>
    <w:uiPriority w:val="0"/>
  </w:style>
  <w:style w:type="character" w:customStyle="1" w:styleId="72">
    <w:name w:val="cur2"/>
    <w:basedOn w:val="18"/>
    <w:qFormat/>
    <w:uiPriority w:val="0"/>
    <w:rPr>
      <w:shd w:val="clear" w:color="000000" w:fill="84B5FF"/>
    </w:rPr>
  </w:style>
  <w:style w:type="character" w:customStyle="1" w:styleId="73">
    <w:name w:val="cur3"/>
    <w:basedOn w:val="18"/>
    <w:qFormat/>
    <w:uiPriority w:val="0"/>
    <w:rPr>
      <w:color w:val="3354A2"/>
    </w:rPr>
  </w:style>
  <w:style w:type="character" w:customStyle="1" w:styleId="74">
    <w:name w:val="标题 2 Char"/>
    <w:link w:val="4"/>
    <w:qFormat/>
    <w:uiPriority w:val="0"/>
    <w:rPr>
      <w:rFonts w:eastAsia="方正楷体_GBK" w:cs="Times New Roman"/>
    </w:rPr>
  </w:style>
  <w:style w:type="character" w:customStyle="1" w:styleId="75">
    <w:name w:val="font91"/>
    <w:basedOn w:val="18"/>
    <w:qFormat/>
    <w:uiPriority w:val="0"/>
    <w:rPr>
      <w:rFonts w:ascii="Arial" w:hAnsi="Arial" w:cs="Arial"/>
      <w:b/>
      <w:color w:val="000000"/>
      <w:sz w:val="24"/>
      <w:szCs w:val="24"/>
      <w:u w:val="none"/>
    </w:rPr>
  </w:style>
  <w:style w:type="character" w:customStyle="1" w:styleId="76">
    <w:name w:val="font41"/>
    <w:basedOn w:val="18"/>
    <w:qFormat/>
    <w:uiPriority w:val="0"/>
    <w:rPr>
      <w:rFonts w:ascii="Arial" w:hAnsi="Arial" w:cs="Arial"/>
      <w:b/>
      <w:color w:val="000000"/>
      <w:sz w:val="18"/>
      <w:szCs w:val="18"/>
      <w:u w:val="none"/>
    </w:rPr>
  </w:style>
  <w:style w:type="character" w:customStyle="1" w:styleId="77">
    <w:name w:val="font111"/>
    <w:basedOn w:val="18"/>
    <w:qFormat/>
    <w:uiPriority w:val="0"/>
    <w:rPr>
      <w:rFonts w:ascii="方正仿宋_GBK" w:hAnsi="方正仿宋_GBK" w:eastAsia="方正仿宋_GBK" w:cs="方正仿宋_GBK"/>
      <w:color w:val="000000"/>
      <w:sz w:val="22"/>
      <w:szCs w:val="22"/>
      <w:u w:val="none"/>
    </w:rPr>
  </w:style>
  <w:style w:type="character" w:customStyle="1" w:styleId="78">
    <w:name w:val="font31"/>
    <w:basedOn w:val="18"/>
    <w:qFormat/>
    <w:uiPriority w:val="0"/>
    <w:rPr>
      <w:rFonts w:hint="default" w:ascii="Times New Roman" w:hAnsi="Times New Roman" w:cs="Times New Roman"/>
      <w:color w:val="000000"/>
      <w:sz w:val="22"/>
      <w:szCs w:val="22"/>
      <w:u w:val="none"/>
    </w:rPr>
  </w:style>
  <w:style w:type="character" w:customStyle="1" w:styleId="79">
    <w:name w:val="font122"/>
    <w:basedOn w:val="18"/>
    <w:qFormat/>
    <w:uiPriority w:val="0"/>
    <w:rPr>
      <w:rFonts w:hint="default" w:ascii="Times New Roman" w:hAnsi="Times New Roman" w:cs="Times New Roman"/>
      <w:color w:val="000000"/>
      <w:sz w:val="22"/>
      <w:szCs w:val="22"/>
      <w:u w:val="none"/>
    </w:rPr>
  </w:style>
  <w:style w:type="character" w:customStyle="1" w:styleId="80">
    <w:name w:val="font71"/>
    <w:basedOn w:val="18"/>
    <w:qFormat/>
    <w:uiPriority w:val="0"/>
    <w:rPr>
      <w:rFonts w:hint="eastAsia" w:ascii="方正仿宋_GBK" w:hAnsi="方正仿宋_GBK" w:eastAsia="方正仿宋_GBK" w:cs="方正仿宋_GBK"/>
      <w:b/>
      <w:color w:val="000000"/>
      <w:sz w:val="22"/>
      <w:szCs w:val="22"/>
      <w:u w:val="none"/>
    </w:rPr>
  </w:style>
  <w:style w:type="character" w:customStyle="1" w:styleId="81">
    <w:name w:val="wap-blue"/>
    <w:basedOn w:val="18"/>
    <w:qFormat/>
    <w:uiPriority w:val="0"/>
    <w:rPr>
      <w:color w:val="4D95E3"/>
    </w:rPr>
  </w:style>
  <w:style w:type="character" w:customStyle="1" w:styleId="82">
    <w:name w:val="wap-cont"/>
    <w:basedOn w:val="18"/>
    <w:qFormat/>
    <w:uiPriority w:val="0"/>
  </w:style>
  <w:style w:type="character" w:customStyle="1" w:styleId="83">
    <w:name w:val="swiper-pagination-bullet-active3"/>
    <w:basedOn w:val="18"/>
    <w:qFormat/>
    <w:uiPriority w:val="0"/>
    <w:rPr>
      <w:shd w:val="clear" w:color="auto" w:fill="1369C0"/>
    </w:rPr>
  </w:style>
  <w:style w:type="character" w:customStyle="1" w:styleId="84">
    <w:name w:val="swiper-pagination-bullet-active4"/>
    <w:basedOn w:val="18"/>
    <w:qFormat/>
    <w:uiPriority w:val="0"/>
    <w:rPr>
      <w:shd w:val="clear" w:color="auto" w:fill="1369C0"/>
    </w:rPr>
  </w:style>
  <w:style w:type="character" w:customStyle="1" w:styleId="85">
    <w:name w:val="swiper-pagination-bullet-active"/>
    <w:basedOn w:val="18"/>
    <w:qFormat/>
    <w:uiPriority w:val="0"/>
    <w:rPr>
      <w:shd w:val="clear" w:color="auto" w:fill="1369C0"/>
    </w:rPr>
  </w:style>
  <w:style w:type="character" w:customStyle="1" w:styleId="86">
    <w:name w:val="font11"/>
    <w:basedOn w:val="18"/>
    <w:qFormat/>
    <w:uiPriority w:val="0"/>
    <w:rPr>
      <w:rFonts w:hint="eastAsia" w:ascii="宋体" w:hAnsi="宋体" w:eastAsia="宋体" w:cs="宋体"/>
      <w:color w:val="000000"/>
      <w:sz w:val="24"/>
      <w:szCs w:val="24"/>
      <w:u w:val="none"/>
    </w:rPr>
  </w:style>
  <w:style w:type="character" w:customStyle="1" w:styleId="87">
    <w:name w:val="font01"/>
    <w:basedOn w:val="18"/>
    <w:qFormat/>
    <w:uiPriority w:val="0"/>
    <w:rPr>
      <w:rFonts w:hint="eastAsia" w:ascii="方正仿宋_GBK" w:hAnsi="方正仿宋_GBK" w:eastAsia="方正仿宋_GBK" w:cs="方正仿宋_GBK"/>
      <w:color w:val="000000"/>
      <w:sz w:val="24"/>
      <w:szCs w:val="24"/>
      <w:u w:val="none"/>
    </w:rPr>
  </w:style>
  <w:style w:type="paragraph" w:customStyle="1" w:styleId="88">
    <w:name w:val=" Char4 Char Char Char"/>
    <w:basedOn w:val="1"/>
    <w:qFormat/>
    <w:uiPriority w:val="0"/>
    <w:pPr>
      <w:adjustRightInd w:val="0"/>
      <w:snapToGrid w:val="0"/>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4506</Words>
  <Characters>25686</Characters>
  <Lines>214</Lines>
  <Paragraphs>60</Paragraphs>
  <TotalTime>38</TotalTime>
  <ScaleCrop>false</ScaleCrop>
  <LinksUpToDate>false</LinksUpToDate>
  <CharactersWithSpaces>30132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2020-11-02T02:17:00Z</dcterms:created>
  <dc:creator>Administrator</dc:creator>
  <cp:lastModifiedBy>办公室</cp:lastModifiedBy>
  <cp:lastPrinted>2022-12-19T01:22:00Z</cp:lastPrinted>
  <dcterms:modified xsi:type="dcterms:W3CDTF">2023-10-16T08:01:21Z</dcterms:modified>
  <dc:title>关于重庆市长寿区2020年国民经济和社会发展</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D0A6562CF3584F11B2AF54BC3C6C8764</vt:lpwstr>
  </property>
</Properties>
</file>