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spacing w:line="550" w:lineRule="exact"/>
        <w:jc w:val="center"/>
        <w:rPr>
          <w:rFonts w:hint="eastAsia" w:eastAsia="方正小标宋_GBK"/>
          <w:color w:val="auto"/>
          <w:sz w:val="44"/>
          <w:highlight w:val="none"/>
        </w:rPr>
      </w:pPr>
      <w:r>
        <w:rPr>
          <w:rFonts w:hint="eastAsia" w:eastAsia="方正小标宋_GBK"/>
          <w:color w:val="auto"/>
          <w:sz w:val="44"/>
          <w:highlight w:val="none"/>
        </w:rPr>
        <w:t>重庆市</w:t>
      </w:r>
      <w:r>
        <w:rPr>
          <w:rFonts w:hint="eastAsia" w:eastAsia="方正小标宋_GBK"/>
          <w:color w:val="auto"/>
          <w:sz w:val="44"/>
          <w:highlight w:val="none"/>
          <w:lang w:eastAsia="zh-CN"/>
        </w:rPr>
        <w:t>长寿区</w:t>
      </w:r>
      <w:r>
        <w:rPr>
          <w:rFonts w:hint="eastAsia" w:eastAsia="方正小标宋_GBK"/>
          <w:color w:val="auto"/>
          <w:sz w:val="44"/>
          <w:highlight w:val="none"/>
        </w:rPr>
        <w:t>财政局</w:t>
      </w:r>
    </w:p>
    <w:p>
      <w:pPr>
        <w:spacing w:line="550" w:lineRule="exact"/>
        <w:jc w:val="center"/>
        <w:rPr>
          <w:rFonts w:hint="eastAsia" w:eastAsia="方正小标宋_GBK"/>
          <w:color w:val="auto"/>
          <w:sz w:val="44"/>
          <w:highlight w:val="none"/>
        </w:rPr>
      </w:pPr>
      <w:r>
        <w:rPr>
          <w:rFonts w:hint="eastAsia" w:eastAsia="方正小标宋_GBK"/>
          <w:color w:val="auto"/>
          <w:sz w:val="44"/>
          <w:highlight w:val="none"/>
        </w:rPr>
        <w:t>关于印发重庆市</w:t>
      </w:r>
      <w:r>
        <w:rPr>
          <w:rFonts w:hint="eastAsia" w:eastAsia="方正小标宋_GBK"/>
          <w:color w:val="auto"/>
          <w:sz w:val="44"/>
          <w:highlight w:val="none"/>
          <w:lang w:eastAsia="zh-CN"/>
        </w:rPr>
        <w:t>长寿区</w:t>
      </w:r>
      <w:r>
        <w:rPr>
          <w:rFonts w:hint="eastAsia" w:eastAsia="方正小标宋_GBK"/>
          <w:color w:val="auto"/>
          <w:sz w:val="44"/>
          <w:highlight w:val="none"/>
        </w:rPr>
        <w:t>农业保险保费补贴管理</w:t>
      </w:r>
      <w:r>
        <w:rPr>
          <w:rFonts w:hint="eastAsia" w:eastAsia="方正小标宋_GBK"/>
          <w:color w:val="auto"/>
          <w:sz w:val="44"/>
          <w:highlight w:val="none"/>
          <w:lang w:eastAsia="zh-CN"/>
        </w:rPr>
        <w:t>实施细则的通知</w:t>
      </w:r>
    </w:p>
    <w:p>
      <w:pPr>
        <w:keepNext w:val="0"/>
        <w:keepLines w:val="0"/>
        <w:pageBreakBefore w:val="0"/>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长财办〔20</w:t>
      </w:r>
      <w:r>
        <w:rPr>
          <w:rFonts w:hint="default" w:ascii="Times New Roman" w:hAnsi="Times New Roman" w:eastAsia="方正仿宋_GBK" w:cs="Times New Roman"/>
          <w:sz w:val="32"/>
          <w:szCs w:val="20"/>
          <w:lang w:val="en-US" w:eastAsia="zh-CN"/>
        </w:rPr>
        <w:t>22</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31</w:t>
      </w:r>
      <w:r>
        <w:rPr>
          <w:rFonts w:hint="default" w:ascii="Times New Roman" w:hAnsi="Times New Roman" w:eastAsia="方正仿宋_GBK" w:cs="Times New Roman"/>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spacing w:line="550" w:lineRule="exact"/>
        <w:rPr>
          <w:rFonts w:hint="eastAsia" w:ascii="Times New Roman" w:hAnsi="Times New Roman" w:eastAsia="方正仿宋_GBK" w:cs="Times New Roman"/>
          <w:color w:val="auto"/>
          <w:sz w:val="32"/>
          <w:szCs w:val="20"/>
          <w:highlight w:val="none"/>
        </w:rPr>
      </w:pPr>
      <w:r>
        <w:rPr>
          <w:rFonts w:hint="eastAsia" w:ascii="Times New Roman" w:hAnsi="Times New Roman" w:eastAsia="方正仿宋_GBK" w:cs="Times New Roman"/>
          <w:color w:val="auto"/>
          <w:sz w:val="32"/>
          <w:szCs w:val="20"/>
          <w:highlight w:val="none"/>
          <w:lang w:eastAsia="zh-CN"/>
        </w:rPr>
        <w:t>各街道办事处、镇人民政府</w:t>
      </w:r>
      <w:r>
        <w:rPr>
          <w:rFonts w:hint="eastAsia" w:ascii="Times New Roman" w:hAnsi="Times New Roman" w:eastAsia="方正仿宋_GBK" w:cs="Times New Roman"/>
          <w:color w:val="auto"/>
          <w:sz w:val="32"/>
          <w:szCs w:val="20"/>
          <w:highlight w:val="none"/>
        </w:rPr>
        <w:t>，</w:t>
      </w:r>
      <w:r>
        <w:rPr>
          <w:rFonts w:hint="eastAsia" w:ascii="Times New Roman" w:hAnsi="Times New Roman" w:eastAsia="方正仿宋_GBK" w:cs="Times New Roman"/>
          <w:color w:val="auto"/>
          <w:sz w:val="32"/>
          <w:szCs w:val="20"/>
          <w:highlight w:val="none"/>
          <w:lang w:eastAsia="zh-CN"/>
        </w:rPr>
        <w:t>区级有关部门，</w:t>
      </w:r>
      <w:r>
        <w:rPr>
          <w:rFonts w:hint="eastAsia" w:ascii="Times New Roman" w:hAnsi="Times New Roman" w:eastAsia="方正仿宋_GBK" w:cs="Times New Roman"/>
          <w:color w:val="auto"/>
          <w:sz w:val="32"/>
          <w:szCs w:val="20"/>
          <w:highlight w:val="none"/>
        </w:rPr>
        <w:t>有关保险公司：</w:t>
      </w:r>
    </w:p>
    <w:p>
      <w:pPr>
        <w:spacing w:line="550"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仿宋_GBK" w:cs="Times New Roman"/>
          <w:color w:val="auto"/>
          <w:sz w:val="32"/>
          <w:szCs w:val="20"/>
          <w:highlight w:val="none"/>
        </w:rPr>
        <w:t>为进一步加强农业保险保费补贴资金管理，筑牢农业生产风险屏障，助力乡村振兴，按照财政部</w:t>
      </w:r>
      <w:r>
        <w:rPr>
          <w:rFonts w:hint="eastAsia" w:ascii="Times New Roman" w:hAnsi="Times New Roman" w:eastAsia="方正仿宋_GBK" w:cs="Times New Roman"/>
          <w:color w:val="auto"/>
          <w:sz w:val="32"/>
          <w:szCs w:val="20"/>
          <w:highlight w:val="none"/>
          <w:lang w:eastAsia="zh-CN"/>
        </w:rPr>
        <w:t>和市财政局</w:t>
      </w:r>
      <w:r>
        <w:rPr>
          <w:rFonts w:hint="eastAsia" w:ascii="Times New Roman" w:hAnsi="Times New Roman" w:eastAsia="方正仿宋_GBK" w:cs="Times New Roman"/>
          <w:color w:val="auto"/>
          <w:sz w:val="32"/>
          <w:szCs w:val="20"/>
          <w:highlight w:val="none"/>
        </w:rPr>
        <w:t>统一要求，结合我</w:t>
      </w:r>
      <w:r>
        <w:rPr>
          <w:rFonts w:hint="eastAsia" w:ascii="Times New Roman" w:hAnsi="Times New Roman" w:eastAsia="方正仿宋_GBK" w:cs="Times New Roman"/>
          <w:color w:val="auto"/>
          <w:sz w:val="32"/>
          <w:szCs w:val="20"/>
          <w:highlight w:val="none"/>
          <w:lang w:eastAsia="zh-CN"/>
        </w:rPr>
        <w:t>区</w:t>
      </w:r>
      <w:r>
        <w:rPr>
          <w:rFonts w:hint="eastAsia" w:ascii="Times New Roman" w:hAnsi="Times New Roman" w:eastAsia="方正仿宋_GBK" w:cs="Times New Roman"/>
          <w:color w:val="auto"/>
          <w:sz w:val="32"/>
          <w:szCs w:val="20"/>
          <w:highlight w:val="none"/>
        </w:rPr>
        <w:t>实际，我们形成了《重庆市</w:t>
      </w:r>
      <w:r>
        <w:rPr>
          <w:rFonts w:hint="eastAsia" w:ascii="Times New Roman" w:hAnsi="Times New Roman" w:eastAsia="方正仿宋_GBK" w:cs="Times New Roman"/>
          <w:color w:val="auto"/>
          <w:sz w:val="32"/>
          <w:szCs w:val="20"/>
          <w:highlight w:val="none"/>
          <w:lang w:eastAsia="zh-CN"/>
        </w:rPr>
        <w:t>长寿区</w:t>
      </w:r>
      <w:r>
        <w:rPr>
          <w:rFonts w:hint="eastAsia" w:ascii="Times New Roman" w:hAnsi="Times New Roman" w:eastAsia="方正仿宋_GBK" w:cs="Times New Roman"/>
          <w:color w:val="auto"/>
          <w:sz w:val="32"/>
          <w:szCs w:val="20"/>
          <w:highlight w:val="none"/>
        </w:rPr>
        <w:t>农业保险保费补贴管理</w:t>
      </w:r>
      <w:r>
        <w:rPr>
          <w:rFonts w:hint="eastAsia" w:ascii="Times New Roman" w:hAnsi="Times New Roman" w:eastAsia="方正仿宋_GBK" w:cs="Times New Roman"/>
          <w:color w:val="auto"/>
          <w:sz w:val="32"/>
          <w:szCs w:val="20"/>
          <w:highlight w:val="none"/>
          <w:lang w:eastAsia="zh-CN"/>
        </w:rPr>
        <w:t>实施细则</w:t>
      </w:r>
      <w:r>
        <w:rPr>
          <w:rFonts w:hint="eastAsia" w:ascii="Times New Roman" w:hAnsi="Times New Roman" w:eastAsia="方正仿宋_GBK" w:cs="Times New Roman"/>
          <w:color w:val="auto"/>
          <w:sz w:val="32"/>
          <w:szCs w:val="20"/>
          <w:highlight w:val="none"/>
        </w:rPr>
        <w:t>》。现印发给你们，请遵照执行。</w:t>
      </w:r>
    </w:p>
    <w:p>
      <w:pPr>
        <w:spacing w:line="550" w:lineRule="exact"/>
        <w:rPr>
          <w:rFonts w:ascii="Times New Roman" w:hAnsi="Times New Roman" w:eastAsia="方正仿宋_GBK" w:cs="Times New Roman"/>
          <w:color w:val="auto"/>
          <w:sz w:val="32"/>
          <w:szCs w:val="20"/>
          <w:highlight w:val="none"/>
        </w:rPr>
      </w:pPr>
    </w:p>
    <w:p>
      <w:pPr>
        <w:spacing w:line="550" w:lineRule="exact"/>
        <w:ind w:firstLine="5385" w:firstLineChars="1683"/>
        <w:rPr>
          <w:rFonts w:ascii="Times New Roman" w:hAnsi="Times New Roman" w:eastAsia="方正仿宋_GBK" w:cs="Times New Roman"/>
          <w:color w:val="auto"/>
          <w:sz w:val="32"/>
          <w:szCs w:val="20"/>
          <w:highlight w:val="none"/>
        </w:rPr>
      </w:pPr>
      <w:r>
        <w:rPr>
          <w:rFonts w:hint="eastAsia" w:ascii="Times New Roman" w:hAnsi="Times New Roman" w:eastAsia="方正仿宋_GBK" w:cs="Times New Roman"/>
          <w:color w:val="auto"/>
          <w:sz w:val="32"/>
          <w:szCs w:val="20"/>
          <w:highlight w:val="none"/>
        </w:rPr>
        <w:t>重庆市</w:t>
      </w:r>
      <w:r>
        <w:rPr>
          <w:rFonts w:hint="eastAsia" w:ascii="Times New Roman" w:hAnsi="Times New Roman" w:eastAsia="方正仿宋_GBK" w:cs="Times New Roman"/>
          <w:color w:val="auto"/>
          <w:sz w:val="32"/>
          <w:szCs w:val="20"/>
          <w:highlight w:val="none"/>
          <w:lang w:eastAsia="zh-CN"/>
        </w:rPr>
        <w:t>长寿区</w:t>
      </w:r>
      <w:r>
        <w:rPr>
          <w:rFonts w:hint="eastAsia" w:ascii="Times New Roman" w:hAnsi="Times New Roman" w:eastAsia="方正仿宋_GBK" w:cs="Times New Roman"/>
          <w:color w:val="auto"/>
          <w:sz w:val="32"/>
          <w:szCs w:val="20"/>
          <w:highlight w:val="none"/>
        </w:rPr>
        <w:t>财政局</w:t>
      </w:r>
    </w:p>
    <w:p>
      <w:pPr>
        <w:spacing w:line="550" w:lineRule="exact"/>
        <w:ind w:firstLine="5100" w:firstLineChars="1594"/>
        <w:rPr>
          <w:rFonts w:hint="eastAsia" w:ascii="Times New Roman" w:hAnsi="Times New Roman" w:eastAsia="方正仿宋_GBK" w:cs="Times New Roman"/>
          <w:color w:val="auto"/>
          <w:sz w:val="32"/>
          <w:szCs w:val="20"/>
          <w:highlight w:val="none"/>
        </w:rPr>
      </w:pPr>
      <w:r>
        <w:rPr>
          <w:rFonts w:hint="eastAsia" w:ascii="Times New Roman" w:hAnsi="Times New Roman" w:eastAsia="方正仿宋_GBK" w:cs="Times New Roman"/>
          <w:color w:val="auto"/>
          <w:sz w:val="32"/>
          <w:szCs w:val="20"/>
          <w:highlight w:val="none"/>
          <w:lang w:val="en-US" w:eastAsia="zh-CN"/>
        </w:rPr>
        <w:t xml:space="preserve">    </w:t>
      </w:r>
      <w:r>
        <w:rPr>
          <w:rFonts w:hint="default" w:ascii="Times New Roman" w:hAnsi="Times New Roman" w:eastAsia="方正仿宋_GBK" w:cs="Times New Roman"/>
          <w:color w:val="auto"/>
          <w:sz w:val="32"/>
          <w:szCs w:val="20"/>
          <w:highlight w:val="none"/>
        </w:rPr>
        <w:t>2022</w:t>
      </w:r>
      <w:r>
        <w:rPr>
          <w:rFonts w:hint="eastAsia" w:ascii="Times New Roman" w:hAnsi="Times New Roman" w:eastAsia="方正仿宋_GBK" w:cs="Times New Roman"/>
          <w:color w:val="auto"/>
          <w:sz w:val="32"/>
          <w:szCs w:val="20"/>
          <w:highlight w:val="none"/>
        </w:rPr>
        <w:t>年</w:t>
      </w:r>
      <w:r>
        <w:rPr>
          <w:rFonts w:hint="default" w:ascii="Times New Roman" w:hAnsi="Times New Roman" w:eastAsia="方正仿宋_GBK" w:cs="Times New Roman"/>
          <w:color w:val="auto"/>
          <w:sz w:val="32"/>
          <w:szCs w:val="20"/>
          <w:highlight w:val="none"/>
          <w:lang w:val="en-US" w:eastAsia="zh-CN"/>
        </w:rPr>
        <w:t>8</w:t>
      </w:r>
      <w:r>
        <w:rPr>
          <w:rFonts w:hint="eastAsia" w:ascii="Times New Roman" w:hAnsi="Times New Roman" w:eastAsia="方正仿宋_GBK" w:cs="Times New Roman"/>
          <w:color w:val="auto"/>
          <w:sz w:val="32"/>
          <w:szCs w:val="20"/>
          <w:highlight w:val="none"/>
        </w:rPr>
        <w:t>月</w:t>
      </w:r>
      <w:r>
        <w:rPr>
          <w:rFonts w:hint="default" w:ascii="Times New Roman" w:hAnsi="Times New Roman" w:eastAsia="方正仿宋_GBK" w:cs="Times New Roman"/>
          <w:color w:val="auto"/>
          <w:sz w:val="32"/>
          <w:szCs w:val="20"/>
          <w:highlight w:val="none"/>
          <w:lang w:val="en-US" w:eastAsia="zh-CN"/>
        </w:rPr>
        <w:t>26</w:t>
      </w:r>
      <w:r>
        <w:rPr>
          <w:rFonts w:hint="eastAsia" w:ascii="Times New Roman" w:hAnsi="Times New Roman" w:eastAsia="方正仿宋_GBK" w:cs="Times New Roman"/>
          <w:color w:val="auto"/>
          <w:sz w:val="32"/>
          <w:szCs w:val="20"/>
          <w:highlight w:val="none"/>
        </w:rPr>
        <w:t>日</w:t>
      </w:r>
    </w:p>
    <w:p>
      <w:pPr>
        <w:spacing w:line="550" w:lineRule="exact"/>
        <w:ind w:firstLine="5100" w:firstLineChars="1594"/>
        <w:rPr>
          <w:rFonts w:hint="eastAsia" w:ascii="Times New Roman" w:hAnsi="Times New Roman" w:eastAsia="方正仿宋_GBK" w:cs="Times New Roman"/>
          <w:color w:val="auto"/>
          <w:sz w:val="32"/>
          <w:szCs w:val="20"/>
          <w:highlight w:val="none"/>
        </w:rPr>
      </w:pPr>
    </w:p>
    <w:p>
      <w:pPr>
        <w:spacing w:line="550"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仿宋_GBK" w:cs="Times New Roman"/>
          <w:color w:val="auto"/>
          <w:sz w:val="32"/>
          <w:szCs w:val="20"/>
          <w:highlight w:val="none"/>
        </w:rPr>
        <w:t>（此件主动</w:t>
      </w:r>
      <w:r>
        <w:rPr>
          <w:rFonts w:ascii="Times New Roman" w:hAnsi="Times New Roman" w:eastAsia="方正仿宋_GBK" w:cs="Times New Roman"/>
          <w:color w:val="auto"/>
          <w:sz w:val="32"/>
          <w:szCs w:val="20"/>
          <w:highlight w:val="none"/>
        </w:rPr>
        <w:t>公开）</w:t>
      </w:r>
    </w:p>
    <w:p>
      <w:pPr>
        <w:spacing w:line="578" w:lineRule="exact"/>
        <w:jc w:val="center"/>
        <w:rPr>
          <w:rFonts w:hint="eastAsia" w:ascii="Times New Roman" w:hAnsi="Times New Roman" w:eastAsia="方正小标宋_GBK" w:cs="Times New Roman"/>
          <w:color w:val="auto"/>
          <w:sz w:val="44"/>
          <w:szCs w:val="20"/>
          <w:highlight w:val="none"/>
        </w:rPr>
      </w:pPr>
    </w:p>
    <w:p>
      <w:pPr>
        <w:spacing w:line="578" w:lineRule="exact"/>
        <w:jc w:val="center"/>
        <w:rPr>
          <w:rFonts w:hint="eastAsia" w:ascii="Times New Roman" w:hAnsi="Times New Roman" w:eastAsia="方正小标宋_GBK" w:cs="Times New Roman"/>
          <w:color w:val="auto"/>
          <w:sz w:val="44"/>
          <w:szCs w:val="20"/>
          <w:highlight w:val="none"/>
        </w:rPr>
      </w:pPr>
    </w:p>
    <w:p>
      <w:pPr>
        <w:spacing w:line="578" w:lineRule="exact"/>
        <w:jc w:val="center"/>
        <w:rPr>
          <w:rFonts w:hint="eastAsia" w:ascii="Times New Roman" w:hAnsi="Times New Roman" w:eastAsia="方正小标宋_GBK" w:cs="Times New Roman"/>
          <w:color w:val="auto"/>
          <w:sz w:val="44"/>
          <w:szCs w:val="20"/>
          <w:highlight w:val="none"/>
        </w:rPr>
      </w:pPr>
    </w:p>
    <w:p>
      <w:pPr>
        <w:spacing w:line="578" w:lineRule="exact"/>
        <w:jc w:val="center"/>
        <w:rPr>
          <w:rFonts w:hint="eastAsia" w:ascii="Times New Roman" w:hAnsi="Times New Roman" w:eastAsia="方正小标宋_GBK" w:cs="Times New Roman"/>
          <w:color w:val="auto"/>
          <w:sz w:val="44"/>
          <w:szCs w:val="20"/>
          <w:highlight w:val="none"/>
        </w:rPr>
      </w:pPr>
    </w:p>
    <w:p>
      <w:pPr>
        <w:spacing w:line="578" w:lineRule="exact"/>
        <w:jc w:val="center"/>
        <w:rPr>
          <w:rFonts w:hint="eastAsia" w:ascii="Times New Roman" w:hAnsi="Times New Roman" w:eastAsia="方正小标宋_GBK" w:cs="Times New Roman"/>
          <w:color w:val="auto"/>
          <w:sz w:val="44"/>
          <w:szCs w:val="20"/>
          <w:highlight w:val="none"/>
        </w:rPr>
      </w:pPr>
    </w:p>
    <w:p>
      <w:pPr>
        <w:spacing w:line="578" w:lineRule="exact"/>
        <w:jc w:val="center"/>
        <w:rPr>
          <w:rFonts w:hint="eastAsia" w:ascii="Times New Roman" w:hAnsi="Times New Roman" w:eastAsia="方正小标宋_GBK" w:cs="Times New Roman"/>
          <w:color w:val="auto"/>
          <w:sz w:val="44"/>
          <w:szCs w:val="20"/>
          <w:highlight w:val="none"/>
        </w:rPr>
      </w:pPr>
      <w:r>
        <w:rPr>
          <w:rFonts w:hint="eastAsia" w:ascii="Times New Roman" w:hAnsi="Times New Roman" w:eastAsia="方正小标宋_GBK" w:cs="Times New Roman"/>
          <w:color w:val="auto"/>
          <w:sz w:val="44"/>
          <w:szCs w:val="20"/>
          <w:highlight w:val="none"/>
        </w:rPr>
        <w:t>重庆市</w:t>
      </w:r>
      <w:r>
        <w:rPr>
          <w:rFonts w:hint="eastAsia" w:ascii="Times New Roman" w:hAnsi="Times New Roman" w:eastAsia="方正小标宋_GBK" w:cs="Times New Roman"/>
          <w:color w:val="auto"/>
          <w:sz w:val="44"/>
          <w:szCs w:val="20"/>
          <w:highlight w:val="none"/>
          <w:lang w:eastAsia="zh-CN"/>
        </w:rPr>
        <w:t>长寿区</w:t>
      </w:r>
      <w:r>
        <w:rPr>
          <w:rFonts w:hint="eastAsia" w:ascii="Times New Roman" w:hAnsi="Times New Roman" w:eastAsia="方正小标宋_GBK" w:cs="Times New Roman"/>
          <w:color w:val="auto"/>
          <w:sz w:val="44"/>
          <w:szCs w:val="20"/>
          <w:highlight w:val="none"/>
        </w:rPr>
        <w:t>农业保险保费补贴管理</w:t>
      </w:r>
      <w:r>
        <w:rPr>
          <w:rFonts w:hint="eastAsia" w:ascii="Times New Roman" w:hAnsi="Times New Roman" w:eastAsia="方正小标宋_GBK" w:cs="Times New Roman"/>
          <w:color w:val="auto"/>
          <w:sz w:val="44"/>
          <w:szCs w:val="20"/>
          <w:highlight w:val="none"/>
          <w:lang w:eastAsia="zh-CN"/>
        </w:rPr>
        <w:t>实施细则</w:t>
      </w:r>
    </w:p>
    <w:p>
      <w:pPr>
        <w:spacing w:line="578" w:lineRule="exact"/>
        <w:rPr>
          <w:rFonts w:hint="eastAsia" w:ascii="Times New Roman" w:hAnsi="Times New Roman" w:eastAsia="方正仿宋_GBK" w:cs="Times New Roman"/>
          <w:color w:val="auto"/>
          <w:sz w:val="32"/>
          <w:szCs w:val="20"/>
          <w:highlight w:val="none"/>
        </w:rPr>
      </w:pPr>
    </w:p>
    <w:p>
      <w:pPr>
        <w:numPr>
          <w:ilvl w:val="0"/>
          <w:numId w:val="1"/>
        </w:numPr>
        <w:spacing w:line="578" w:lineRule="exact"/>
        <w:jc w:val="center"/>
        <w:rPr>
          <w:rFonts w:hint="eastAsia" w:ascii="Times New Roman" w:hAnsi="Times New Roman" w:eastAsia="方正黑体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 xml:space="preserve"> 总则</w:t>
      </w:r>
    </w:p>
    <w:p>
      <w:pPr>
        <w:pStyle w:val="2"/>
        <w:numPr>
          <w:ilvl w:val="0"/>
          <w:numId w:val="0"/>
        </w:numPr>
        <w:rPr>
          <w:rFonts w:hint="eastAsia"/>
        </w:rPr>
      </w:pP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第一条</w:t>
      </w:r>
      <w:r>
        <w:rPr>
          <w:rFonts w:hint="eastAsia" w:ascii="Times New Roman" w:hAnsi="Times New Roman" w:eastAsia="方正仿宋_GBK" w:cs="Times New Roman"/>
          <w:color w:val="auto"/>
          <w:sz w:val="32"/>
          <w:szCs w:val="20"/>
          <w:highlight w:val="none"/>
        </w:rPr>
        <w:t xml:space="preserve">  为加强农业保险保费补贴资金管理，筑牢农业生产风险屏障，助力乡村振兴，根据《财政部关于印发〈中央财政农业保险保费补贴管理</w:t>
      </w:r>
      <w:r>
        <w:rPr>
          <w:rFonts w:hint="eastAsia" w:ascii="Times New Roman" w:hAnsi="Times New Roman" w:eastAsia="方正仿宋_GBK" w:cs="Times New Roman"/>
          <w:color w:val="auto"/>
          <w:sz w:val="32"/>
          <w:szCs w:val="20"/>
          <w:highlight w:val="none"/>
          <w:lang w:val="en-US" w:eastAsia="zh-CN"/>
        </w:rPr>
        <w:t>办法</w:t>
      </w:r>
      <w:r>
        <w:rPr>
          <w:rFonts w:hint="eastAsia" w:ascii="Times New Roman" w:hAnsi="Times New Roman" w:eastAsia="方正仿宋_GBK" w:cs="Times New Roman"/>
          <w:color w:val="auto"/>
          <w:sz w:val="32"/>
          <w:szCs w:val="20"/>
          <w:highlight w:val="none"/>
        </w:rPr>
        <w:t>〉的通知》（财金〔</w:t>
      </w:r>
      <w:r>
        <w:rPr>
          <w:rFonts w:hint="default" w:ascii="Times New Roman" w:hAnsi="Times New Roman" w:eastAsia="方正仿宋_GBK" w:cs="Times New Roman"/>
          <w:color w:val="auto"/>
          <w:sz w:val="32"/>
          <w:szCs w:val="20"/>
          <w:highlight w:val="none"/>
        </w:rPr>
        <w:t>2021</w:t>
      </w:r>
      <w:r>
        <w:rPr>
          <w:rFonts w:hint="eastAsia" w:ascii="Times New Roman" w:hAnsi="Times New Roman" w:eastAsia="方正仿宋_GBK" w:cs="Times New Roman"/>
          <w:color w:val="auto"/>
          <w:sz w:val="32"/>
          <w:szCs w:val="20"/>
          <w:highlight w:val="none"/>
        </w:rPr>
        <w:t>〕</w:t>
      </w:r>
      <w:r>
        <w:rPr>
          <w:rFonts w:hint="default" w:ascii="Times New Roman" w:hAnsi="Times New Roman" w:eastAsia="方正仿宋_GBK" w:cs="Times New Roman"/>
          <w:color w:val="auto"/>
          <w:sz w:val="32"/>
          <w:szCs w:val="20"/>
          <w:highlight w:val="none"/>
        </w:rPr>
        <w:t>130</w:t>
      </w:r>
      <w:r>
        <w:rPr>
          <w:rFonts w:hint="eastAsia" w:ascii="Times New Roman" w:hAnsi="Times New Roman" w:eastAsia="方正仿宋_GBK" w:cs="Times New Roman"/>
          <w:color w:val="auto"/>
          <w:sz w:val="32"/>
          <w:szCs w:val="20"/>
          <w:highlight w:val="none"/>
        </w:rPr>
        <w:t>号）</w:t>
      </w:r>
      <w:r>
        <w:rPr>
          <w:rFonts w:hint="eastAsia" w:ascii="Times New Roman" w:hAnsi="Times New Roman" w:eastAsia="方正仿宋_GBK" w:cs="Times New Roman"/>
          <w:color w:val="auto"/>
          <w:sz w:val="32"/>
          <w:szCs w:val="20"/>
          <w:highlight w:val="none"/>
          <w:lang w:eastAsia="zh-CN"/>
        </w:rPr>
        <w:t>、《重庆市财政局关于印发重庆市农业保险保费补贴管理</w:t>
      </w:r>
      <w:r>
        <w:rPr>
          <w:rFonts w:hint="eastAsia" w:ascii="Times New Roman" w:hAnsi="Times New Roman" w:eastAsia="方正仿宋_GBK" w:cs="Times New Roman"/>
          <w:color w:val="auto"/>
          <w:sz w:val="32"/>
          <w:szCs w:val="20"/>
          <w:highlight w:val="none"/>
          <w:lang w:val="en-US" w:eastAsia="zh-CN"/>
        </w:rPr>
        <w:t>办法</w:t>
      </w:r>
      <w:r>
        <w:rPr>
          <w:rFonts w:hint="eastAsia" w:ascii="Times New Roman" w:hAnsi="Times New Roman" w:eastAsia="方正仿宋_GBK" w:cs="Times New Roman"/>
          <w:color w:val="auto"/>
          <w:sz w:val="32"/>
          <w:szCs w:val="20"/>
          <w:highlight w:val="none"/>
          <w:lang w:eastAsia="zh-CN"/>
        </w:rPr>
        <w:t>的通知》（渝财规〔</w:t>
      </w:r>
      <w:r>
        <w:rPr>
          <w:rFonts w:hint="default" w:ascii="Times New Roman" w:hAnsi="Times New Roman" w:eastAsia="方正仿宋_GBK" w:cs="Times New Roman"/>
          <w:color w:val="auto"/>
          <w:sz w:val="32"/>
          <w:szCs w:val="20"/>
          <w:highlight w:val="none"/>
          <w:lang w:eastAsia="zh-CN"/>
        </w:rPr>
        <w:t>2022</w:t>
      </w:r>
      <w:r>
        <w:rPr>
          <w:rFonts w:hint="eastAsia" w:ascii="Times New Roman" w:hAnsi="Times New Roman" w:eastAsia="方正仿宋_GBK" w:cs="Times New Roman"/>
          <w:color w:val="auto"/>
          <w:sz w:val="32"/>
          <w:szCs w:val="20"/>
          <w:highlight w:val="none"/>
          <w:lang w:eastAsia="zh-CN"/>
        </w:rPr>
        <w:t>〕</w:t>
      </w:r>
      <w:r>
        <w:rPr>
          <w:rFonts w:hint="default" w:ascii="Times New Roman" w:hAnsi="Times New Roman" w:eastAsia="方正仿宋_GBK" w:cs="Times New Roman"/>
          <w:color w:val="auto"/>
          <w:sz w:val="32"/>
          <w:szCs w:val="20"/>
          <w:highlight w:val="none"/>
          <w:lang w:eastAsia="zh-CN"/>
        </w:rPr>
        <w:t>5</w:t>
      </w:r>
      <w:r>
        <w:rPr>
          <w:rFonts w:hint="eastAsia" w:ascii="Times New Roman" w:hAnsi="Times New Roman" w:eastAsia="方正仿宋_GBK" w:cs="Times New Roman"/>
          <w:color w:val="auto"/>
          <w:sz w:val="32"/>
          <w:szCs w:val="20"/>
          <w:highlight w:val="none"/>
          <w:lang w:eastAsia="zh-CN"/>
        </w:rPr>
        <w:t>号）</w:t>
      </w:r>
      <w:r>
        <w:rPr>
          <w:rFonts w:hint="eastAsia" w:ascii="Times New Roman" w:hAnsi="Times New Roman" w:eastAsia="方正仿宋_GBK" w:cs="Times New Roman"/>
          <w:color w:val="auto"/>
          <w:sz w:val="32"/>
          <w:szCs w:val="20"/>
          <w:highlight w:val="none"/>
        </w:rPr>
        <w:t>等文件规定，制定本</w:t>
      </w:r>
      <w:r>
        <w:rPr>
          <w:rFonts w:hint="eastAsia" w:ascii="Times New Roman" w:hAnsi="Times New Roman" w:eastAsia="方正仿宋_GBK" w:cs="Times New Roman"/>
          <w:color w:val="auto"/>
          <w:sz w:val="32"/>
          <w:szCs w:val="20"/>
          <w:highlight w:val="none"/>
          <w:lang w:eastAsia="zh-CN"/>
        </w:rPr>
        <w:t>实施细则</w:t>
      </w:r>
      <w:r>
        <w:rPr>
          <w:rFonts w:hint="eastAsia" w:ascii="Times New Roman" w:hAnsi="Times New Roman" w:eastAsia="方正仿宋_GBK" w:cs="Times New Roman"/>
          <w:color w:val="auto"/>
          <w:sz w:val="32"/>
          <w:szCs w:val="20"/>
          <w:highlight w:val="none"/>
        </w:rPr>
        <w:t>。</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第二条</w:t>
      </w:r>
      <w:r>
        <w:rPr>
          <w:rFonts w:hint="eastAsia" w:ascii="Times New Roman" w:hAnsi="Times New Roman" w:eastAsia="方正仿宋_GBK" w:cs="Times New Roman"/>
          <w:color w:val="auto"/>
          <w:sz w:val="32"/>
          <w:szCs w:val="20"/>
          <w:highlight w:val="none"/>
        </w:rPr>
        <w:t xml:space="preserve">  本</w:t>
      </w:r>
      <w:r>
        <w:rPr>
          <w:rFonts w:hint="eastAsia" w:ascii="Times New Roman" w:hAnsi="Times New Roman" w:eastAsia="方正仿宋_GBK" w:cs="Times New Roman"/>
          <w:color w:val="auto"/>
          <w:sz w:val="32"/>
          <w:szCs w:val="20"/>
          <w:highlight w:val="none"/>
          <w:lang w:eastAsia="zh-CN"/>
        </w:rPr>
        <w:t>细则</w:t>
      </w:r>
      <w:r>
        <w:rPr>
          <w:rFonts w:hint="eastAsia" w:ascii="Times New Roman" w:hAnsi="Times New Roman" w:eastAsia="方正仿宋_GBK" w:cs="Times New Roman"/>
          <w:color w:val="auto"/>
          <w:sz w:val="32"/>
          <w:szCs w:val="20"/>
          <w:highlight w:val="none"/>
        </w:rPr>
        <w:t>所称保费补贴，是指中央、市级</w:t>
      </w:r>
      <w:r>
        <w:rPr>
          <w:rFonts w:hint="eastAsia" w:ascii="Times New Roman" w:hAnsi="Times New Roman" w:eastAsia="方正仿宋_GBK" w:cs="Times New Roman"/>
          <w:color w:val="auto"/>
          <w:sz w:val="32"/>
          <w:szCs w:val="20"/>
          <w:highlight w:val="none"/>
          <w:lang w:eastAsia="zh-CN"/>
        </w:rPr>
        <w:t>、区级财政</w:t>
      </w:r>
      <w:r>
        <w:rPr>
          <w:rFonts w:hint="eastAsia" w:ascii="Times New Roman" w:hAnsi="Times New Roman" w:eastAsia="方正仿宋_GBK" w:cs="Times New Roman"/>
          <w:color w:val="auto"/>
          <w:sz w:val="32"/>
          <w:szCs w:val="20"/>
          <w:highlight w:val="none"/>
        </w:rPr>
        <w:t>对政府引导有关农业保险经营机构（以下简称承保机构）开展符合条件的农业保险业务，按照保费的一定比例，为投保农户、农业生产经营组织等提供补贴。</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仿宋_GBK" w:cs="Times New Roman"/>
          <w:color w:val="auto"/>
          <w:sz w:val="32"/>
          <w:szCs w:val="20"/>
          <w:highlight w:val="none"/>
        </w:rPr>
        <w:t>本</w:t>
      </w:r>
      <w:r>
        <w:rPr>
          <w:rFonts w:hint="eastAsia" w:ascii="Times New Roman" w:hAnsi="Times New Roman" w:eastAsia="方正仿宋_GBK" w:cs="Times New Roman"/>
          <w:color w:val="auto"/>
          <w:sz w:val="32"/>
          <w:szCs w:val="20"/>
          <w:highlight w:val="none"/>
          <w:lang w:eastAsia="zh-CN"/>
        </w:rPr>
        <w:t>实施细则</w:t>
      </w:r>
      <w:r>
        <w:rPr>
          <w:rFonts w:hint="eastAsia" w:ascii="Times New Roman" w:hAnsi="Times New Roman" w:eastAsia="方正仿宋_GBK" w:cs="Times New Roman"/>
          <w:color w:val="auto"/>
          <w:sz w:val="32"/>
          <w:szCs w:val="20"/>
          <w:highlight w:val="none"/>
        </w:rPr>
        <w:t>所称承保机构，是指保险公司以及依法设立并开展农业保险业务的农业互助保险等保险组织。本</w:t>
      </w:r>
      <w:r>
        <w:rPr>
          <w:rFonts w:hint="eastAsia" w:ascii="Times New Roman" w:hAnsi="Times New Roman" w:eastAsia="方正仿宋_GBK" w:cs="Times New Roman"/>
          <w:color w:val="auto"/>
          <w:sz w:val="32"/>
          <w:szCs w:val="20"/>
          <w:highlight w:val="none"/>
          <w:lang w:eastAsia="zh-CN"/>
        </w:rPr>
        <w:t>实施细则</w:t>
      </w:r>
      <w:r>
        <w:rPr>
          <w:rFonts w:hint="eastAsia" w:ascii="Times New Roman" w:hAnsi="Times New Roman" w:eastAsia="方正仿宋_GBK" w:cs="Times New Roman"/>
          <w:color w:val="auto"/>
          <w:sz w:val="32"/>
          <w:szCs w:val="20"/>
          <w:highlight w:val="none"/>
        </w:rPr>
        <w:t>所称农业生产经营组织，是指农民专业合作社、农业企业以及其他农业生产经营组织。</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第三条</w:t>
      </w:r>
      <w:r>
        <w:rPr>
          <w:rFonts w:hint="eastAsia" w:ascii="Times New Roman" w:hAnsi="Times New Roman" w:eastAsia="方正仿宋_GBK" w:cs="Times New Roman"/>
          <w:color w:val="auto"/>
          <w:sz w:val="32"/>
          <w:szCs w:val="20"/>
          <w:highlight w:val="none"/>
        </w:rPr>
        <w:t xml:space="preserve">  农业保险工作遵循政府引导、市场运作、自主自愿、协同推进的原则。农业保险保费补贴工作实行财政支持、分级负责、预算约束、政策协同、绩效导向、惠及农户的原则。</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仿宋_GBK" w:cs="Times New Roman"/>
          <w:color w:val="auto"/>
          <w:sz w:val="32"/>
          <w:szCs w:val="20"/>
          <w:highlight w:val="none"/>
          <w:lang w:val="en-US" w:eastAsia="zh-CN"/>
        </w:rPr>
        <w:t xml:space="preserve">  </w:t>
      </w:r>
    </w:p>
    <w:p>
      <w:pPr>
        <w:numPr>
          <w:ilvl w:val="0"/>
          <w:numId w:val="1"/>
        </w:numPr>
        <w:spacing w:line="578" w:lineRule="exact"/>
        <w:ind w:left="0" w:leftChars="0" w:firstLine="0" w:firstLineChars="0"/>
        <w:jc w:val="center"/>
        <w:rPr>
          <w:rFonts w:hint="eastAsia" w:ascii="Times New Roman" w:hAnsi="Times New Roman" w:eastAsia="方正黑体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 xml:space="preserve"> 补贴标准及范围</w:t>
      </w:r>
    </w:p>
    <w:p>
      <w:pPr>
        <w:pStyle w:val="2"/>
        <w:numPr>
          <w:ilvl w:val="0"/>
          <w:numId w:val="0"/>
        </w:numPr>
        <w:ind w:leftChars="0"/>
      </w:pP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第四条</w:t>
      </w:r>
      <w:r>
        <w:rPr>
          <w:rFonts w:hint="eastAsia" w:ascii="Times New Roman" w:hAnsi="Times New Roman" w:eastAsia="方正仿宋_GBK" w:cs="Times New Roman"/>
          <w:color w:val="auto"/>
          <w:sz w:val="32"/>
          <w:szCs w:val="20"/>
          <w:highlight w:val="none"/>
        </w:rPr>
        <w:t xml:space="preserve">  保费补贴资金支持的农业保险（以下简称补贴险种）标的为关系国计民生和粮食、生态安全的主要大宗农产品，以及根据党中央、国务院、市委、市政府有关要求明确的其他农产品。具体分为纳入中央财政保费补贴范围的保险品种（以下简称中央补贴险种）</w:t>
      </w:r>
      <w:r>
        <w:rPr>
          <w:rFonts w:hint="eastAsia" w:ascii="Times New Roman" w:hAnsi="Times New Roman" w:eastAsia="方正仿宋_GBK" w:cs="Times New Roman"/>
          <w:color w:val="auto"/>
          <w:sz w:val="32"/>
          <w:szCs w:val="20"/>
          <w:highlight w:val="none"/>
          <w:lang w:eastAsia="zh-CN"/>
        </w:rPr>
        <w:t>，</w:t>
      </w:r>
      <w:r>
        <w:rPr>
          <w:rFonts w:hint="eastAsia" w:ascii="Times New Roman" w:hAnsi="Times New Roman" w:eastAsia="方正仿宋_GBK" w:cs="Times New Roman"/>
          <w:color w:val="auto"/>
          <w:sz w:val="32"/>
          <w:szCs w:val="20"/>
          <w:highlight w:val="none"/>
        </w:rPr>
        <w:t>纳入市级财政保费补贴范围的保险品种（以下简称市级补贴险种）</w:t>
      </w:r>
      <w:r>
        <w:rPr>
          <w:rFonts w:hint="eastAsia" w:ascii="Times New Roman" w:hAnsi="Times New Roman" w:eastAsia="方正仿宋_GBK" w:cs="Times New Roman"/>
          <w:color w:val="auto"/>
          <w:sz w:val="32"/>
          <w:szCs w:val="20"/>
          <w:highlight w:val="none"/>
          <w:lang w:eastAsia="zh-CN"/>
        </w:rPr>
        <w:t>和</w:t>
      </w:r>
      <w:r>
        <w:rPr>
          <w:rFonts w:hint="eastAsia" w:ascii="Times New Roman" w:hAnsi="Times New Roman" w:eastAsia="方正仿宋_GBK" w:cs="Times New Roman"/>
          <w:color w:val="auto"/>
          <w:sz w:val="32"/>
          <w:szCs w:val="20"/>
          <w:highlight w:val="none"/>
          <w:lang w:val="en-US" w:eastAsia="zh-CN"/>
        </w:rPr>
        <w:t>区级</w:t>
      </w:r>
      <w:r>
        <w:rPr>
          <w:rFonts w:hint="eastAsia" w:ascii="Times New Roman" w:hAnsi="Times New Roman" w:eastAsia="方正仿宋_GBK" w:cs="Times New Roman"/>
          <w:color w:val="auto"/>
          <w:sz w:val="32"/>
          <w:szCs w:val="20"/>
          <w:highlight w:val="none"/>
          <w:lang w:eastAsia="zh-CN"/>
        </w:rPr>
        <w:t>地方自主险种。</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第五条</w:t>
      </w:r>
      <w:r>
        <w:rPr>
          <w:rFonts w:hint="eastAsia" w:ascii="Times New Roman" w:hAnsi="Times New Roman" w:eastAsia="方正仿宋_GBK" w:cs="Times New Roman"/>
          <w:color w:val="auto"/>
          <w:sz w:val="32"/>
          <w:szCs w:val="20"/>
          <w:highlight w:val="none"/>
        </w:rPr>
        <w:t xml:space="preserve">  补贴险种。</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仿宋_GBK" w:cs="Times New Roman"/>
          <w:color w:val="auto"/>
          <w:sz w:val="32"/>
          <w:szCs w:val="20"/>
          <w:highlight w:val="none"/>
        </w:rPr>
        <w:t>（一）中央补贴险种。</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default" w:ascii="Times New Roman" w:hAnsi="Times New Roman" w:eastAsia="方正仿宋_GBK" w:cs="Times New Roman"/>
          <w:color w:val="auto"/>
          <w:sz w:val="32"/>
          <w:szCs w:val="20"/>
          <w:highlight w:val="none"/>
        </w:rPr>
        <w:t>1</w:t>
      </w:r>
      <w:r>
        <w:rPr>
          <w:rFonts w:hint="eastAsia" w:ascii="Times New Roman" w:hAnsi="Times New Roman" w:eastAsia="方正仿宋_GBK" w:cs="Times New Roman"/>
          <w:color w:val="auto"/>
          <w:sz w:val="32"/>
          <w:szCs w:val="20"/>
          <w:highlight w:val="none"/>
        </w:rPr>
        <w:t>.种植业：稻谷、小麦、玉米、油菜、大豆、马铃薯、主粮作物（稻谷、玉米）制种等直接物化成本保险；</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default" w:ascii="Times New Roman" w:hAnsi="Times New Roman" w:eastAsia="方正仿宋_GBK" w:cs="Times New Roman"/>
          <w:color w:val="auto"/>
          <w:sz w:val="32"/>
          <w:szCs w:val="20"/>
          <w:highlight w:val="none"/>
        </w:rPr>
        <w:t>2</w:t>
      </w:r>
      <w:r>
        <w:rPr>
          <w:rFonts w:hint="eastAsia" w:ascii="Times New Roman" w:hAnsi="Times New Roman" w:eastAsia="方正仿宋_GBK" w:cs="Times New Roman"/>
          <w:color w:val="auto"/>
          <w:sz w:val="32"/>
          <w:szCs w:val="20"/>
          <w:highlight w:val="none"/>
        </w:rPr>
        <w:t>.养殖业：能繁母猪、育肥猪、奶牛等生产成本保险；</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default" w:ascii="Times New Roman" w:hAnsi="Times New Roman" w:eastAsia="方正仿宋_GBK" w:cs="Times New Roman"/>
          <w:color w:val="auto"/>
          <w:sz w:val="32"/>
          <w:szCs w:val="20"/>
          <w:highlight w:val="none"/>
        </w:rPr>
        <w:t>3</w:t>
      </w:r>
      <w:r>
        <w:rPr>
          <w:rFonts w:hint="eastAsia" w:ascii="Times New Roman" w:hAnsi="Times New Roman" w:eastAsia="方正仿宋_GBK" w:cs="Times New Roman"/>
          <w:color w:val="auto"/>
          <w:sz w:val="32"/>
          <w:szCs w:val="20"/>
          <w:highlight w:val="none"/>
        </w:rPr>
        <w:t>.林业：公益林、商品林等</w:t>
      </w:r>
      <w:r>
        <w:rPr>
          <w:rFonts w:hint="eastAsia" w:ascii="Times New Roman" w:hAnsi="Times New Roman" w:eastAsia="方正仿宋_GBK" w:cs="Times New Roman"/>
          <w:color w:val="auto"/>
          <w:sz w:val="32"/>
          <w:szCs w:val="20"/>
          <w:highlight w:val="none"/>
          <w:lang w:eastAsia="zh-CN"/>
        </w:rPr>
        <w:t>栽</w:t>
      </w:r>
      <w:r>
        <w:rPr>
          <w:rFonts w:hint="eastAsia" w:ascii="Times New Roman" w:hAnsi="Times New Roman" w:eastAsia="方正仿宋_GBK" w:cs="Times New Roman"/>
          <w:color w:val="auto"/>
          <w:sz w:val="32"/>
          <w:szCs w:val="20"/>
          <w:highlight w:val="none"/>
        </w:rPr>
        <w:t>植成本保险。</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仿宋_GBK" w:cs="Times New Roman"/>
          <w:color w:val="auto"/>
          <w:sz w:val="32"/>
          <w:szCs w:val="20"/>
          <w:highlight w:val="none"/>
        </w:rPr>
        <w:t>（二）市级补贴险种。</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default" w:ascii="Times New Roman" w:hAnsi="Times New Roman" w:eastAsia="方正仿宋_GBK" w:cs="Times New Roman"/>
          <w:color w:val="auto"/>
          <w:sz w:val="32"/>
          <w:szCs w:val="20"/>
          <w:highlight w:val="none"/>
        </w:rPr>
        <w:t>1</w:t>
      </w:r>
      <w:r>
        <w:rPr>
          <w:rFonts w:hint="eastAsia" w:ascii="Times New Roman" w:hAnsi="Times New Roman" w:eastAsia="方正仿宋_GBK" w:cs="Times New Roman"/>
          <w:color w:val="auto"/>
          <w:sz w:val="32"/>
          <w:szCs w:val="20"/>
          <w:highlight w:val="none"/>
        </w:rPr>
        <w:t>.柑橘成本保险、生猪收益保险，以及稻谷、玉米、马铃薯完全成本补充保险；</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default" w:ascii="Times New Roman" w:hAnsi="Times New Roman" w:eastAsia="方正仿宋_GBK" w:cs="Times New Roman"/>
          <w:color w:val="auto"/>
          <w:sz w:val="32"/>
          <w:szCs w:val="20"/>
          <w:highlight w:val="none"/>
        </w:rPr>
        <w:t>2</w:t>
      </w:r>
      <w:r>
        <w:rPr>
          <w:rFonts w:hint="eastAsia" w:ascii="Times New Roman" w:hAnsi="Times New Roman" w:eastAsia="方正仿宋_GBK" w:cs="Times New Roman"/>
          <w:color w:val="auto"/>
          <w:sz w:val="32"/>
          <w:szCs w:val="20"/>
          <w:highlight w:val="none"/>
        </w:rPr>
        <w:t>.区县优势特色农产品保险，每个区县不超过</w:t>
      </w:r>
      <w:r>
        <w:rPr>
          <w:rFonts w:hint="default" w:ascii="Times New Roman" w:hAnsi="Times New Roman" w:eastAsia="方正仿宋_GBK" w:cs="Times New Roman"/>
          <w:color w:val="auto"/>
          <w:sz w:val="32"/>
          <w:szCs w:val="20"/>
          <w:highlight w:val="none"/>
        </w:rPr>
        <w:t>5</w:t>
      </w:r>
      <w:r>
        <w:rPr>
          <w:rFonts w:hint="eastAsia" w:ascii="Times New Roman" w:hAnsi="Times New Roman" w:eastAsia="方正仿宋_GBK" w:cs="Times New Roman"/>
          <w:color w:val="auto"/>
          <w:sz w:val="32"/>
          <w:szCs w:val="20"/>
          <w:highlight w:val="none"/>
        </w:rPr>
        <w:t>个险种；</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default" w:ascii="Times New Roman" w:hAnsi="Times New Roman" w:eastAsia="方正仿宋_GBK" w:cs="Times New Roman"/>
          <w:color w:val="auto"/>
          <w:sz w:val="32"/>
          <w:szCs w:val="20"/>
          <w:highlight w:val="none"/>
        </w:rPr>
        <w:t>3</w:t>
      </w:r>
      <w:r>
        <w:rPr>
          <w:rFonts w:hint="eastAsia" w:ascii="Times New Roman" w:hAnsi="Times New Roman" w:eastAsia="方正仿宋_GBK" w:cs="Times New Roman"/>
          <w:color w:val="auto"/>
          <w:sz w:val="32"/>
          <w:szCs w:val="20"/>
          <w:highlight w:val="none"/>
        </w:rPr>
        <w:t>.根据我市农业产业发展重点，市财政局确定的其他险种。</w:t>
      </w:r>
    </w:p>
    <w:p>
      <w:pPr>
        <w:spacing w:line="578" w:lineRule="exact"/>
        <w:ind w:firstLine="640" w:firstLineChars="200"/>
        <w:rPr>
          <w:rFonts w:hint="eastAsia" w:ascii="Times New Roman" w:hAnsi="Times New Roman" w:eastAsia="方正仿宋_GBK" w:cs="Times New Roman"/>
          <w:color w:val="auto"/>
          <w:sz w:val="32"/>
          <w:szCs w:val="20"/>
          <w:highlight w:val="none"/>
          <w:lang w:eastAsia="zh-CN"/>
        </w:rPr>
      </w:pPr>
      <w:r>
        <w:rPr>
          <w:rFonts w:hint="eastAsia" w:ascii="Times New Roman" w:hAnsi="Times New Roman" w:eastAsia="方正仿宋_GBK" w:cs="Times New Roman"/>
          <w:color w:val="auto"/>
          <w:sz w:val="32"/>
          <w:szCs w:val="20"/>
          <w:highlight w:val="none"/>
          <w:lang w:eastAsia="zh-CN"/>
        </w:rPr>
        <w:t>（三）区级补贴险种。</w:t>
      </w:r>
    </w:p>
    <w:p>
      <w:pPr>
        <w:spacing w:line="578" w:lineRule="exact"/>
        <w:ind w:firstLine="640" w:firstLineChars="200"/>
        <w:rPr>
          <w:rFonts w:hint="eastAsia" w:ascii="Times New Roman" w:hAnsi="Times New Roman" w:eastAsia="方正仿宋_GBK" w:cs="Times New Roman"/>
          <w:color w:val="auto"/>
          <w:sz w:val="32"/>
          <w:szCs w:val="20"/>
          <w:highlight w:val="none"/>
          <w:lang w:val="en-US" w:eastAsia="zh-CN"/>
        </w:rPr>
      </w:pPr>
      <w:r>
        <w:rPr>
          <w:rFonts w:hint="default" w:ascii="Times New Roman" w:hAnsi="Times New Roman" w:eastAsia="方正仿宋_GBK" w:cs="Times New Roman"/>
          <w:color w:val="auto"/>
          <w:sz w:val="32"/>
          <w:szCs w:val="20"/>
          <w:highlight w:val="none"/>
          <w:lang w:val="en-US" w:eastAsia="zh-CN"/>
        </w:rPr>
        <w:t>1</w:t>
      </w:r>
      <w:r>
        <w:rPr>
          <w:rFonts w:hint="eastAsia" w:ascii="Times New Roman" w:hAnsi="Times New Roman" w:eastAsia="方正仿宋_GBK" w:cs="Times New Roman"/>
          <w:color w:val="auto"/>
          <w:sz w:val="32"/>
          <w:szCs w:val="20"/>
          <w:highlight w:val="none"/>
          <w:lang w:val="en-US" w:eastAsia="zh-CN"/>
        </w:rPr>
        <w:t>.一村一品产业发展保险；</w:t>
      </w:r>
    </w:p>
    <w:p>
      <w:pPr>
        <w:spacing w:line="578" w:lineRule="exact"/>
        <w:ind w:firstLine="640" w:firstLineChars="200"/>
        <w:rPr>
          <w:rFonts w:hint="eastAsia" w:ascii="Times New Roman" w:hAnsi="Times New Roman" w:eastAsia="方正仿宋_GBK" w:cs="Times New Roman"/>
          <w:color w:val="auto"/>
          <w:sz w:val="32"/>
          <w:szCs w:val="20"/>
          <w:highlight w:val="none"/>
          <w:lang w:eastAsia="zh-CN"/>
        </w:rPr>
      </w:pPr>
      <w:r>
        <w:rPr>
          <w:rFonts w:hint="default" w:ascii="Times New Roman" w:hAnsi="Times New Roman" w:eastAsia="方正仿宋_GBK" w:cs="Times New Roman"/>
          <w:color w:val="auto"/>
          <w:sz w:val="32"/>
          <w:szCs w:val="20"/>
          <w:highlight w:val="none"/>
          <w:lang w:val="en-US" w:eastAsia="zh-CN"/>
        </w:rPr>
        <w:t>2</w:t>
      </w:r>
      <w:r>
        <w:rPr>
          <w:rFonts w:hint="eastAsia" w:ascii="Times New Roman" w:hAnsi="Times New Roman" w:eastAsia="方正仿宋_GBK" w:cs="Times New Roman"/>
          <w:color w:val="auto"/>
          <w:sz w:val="32"/>
          <w:szCs w:val="20"/>
          <w:highlight w:val="none"/>
          <w:lang w:val="en-US" w:eastAsia="zh-CN"/>
        </w:rPr>
        <w:t>.</w:t>
      </w:r>
      <w:r>
        <w:rPr>
          <w:rFonts w:hint="eastAsia" w:ascii="Times New Roman" w:hAnsi="Times New Roman" w:eastAsia="方正仿宋_GBK" w:cs="Times New Roman"/>
          <w:color w:val="auto"/>
          <w:sz w:val="32"/>
          <w:szCs w:val="20"/>
          <w:highlight w:val="none"/>
          <w:lang w:eastAsia="zh-CN"/>
        </w:rPr>
        <w:t>根据我区农业产业发展特点，区财政确定的但未纳入市级优势特色农产品保险险种。</w:t>
      </w:r>
    </w:p>
    <w:p>
      <w:pPr>
        <w:spacing w:line="578" w:lineRule="exact"/>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lang w:val="en-US" w:eastAsia="zh-CN"/>
        </w:rPr>
        <w:t xml:space="preserve">    </w:t>
      </w:r>
      <w:r>
        <w:rPr>
          <w:rFonts w:hint="eastAsia" w:ascii="Times New Roman" w:hAnsi="Times New Roman" w:eastAsia="方正黑体_GBK" w:cs="Times New Roman"/>
          <w:color w:val="auto"/>
          <w:sz w:val="32"/>
          <w:szCs w:val="20"/>
          <w:highlight w:val="none"/>
        </w:rPr>
        <w:t xml:space="preserve">第六条 </w:t>
      </w:r>
      <w:r>
        <w:rPr>
          <w:rFonts w:hint="eastAsia" w:ascii="Times New Roman" w:hAnsi="Times New Roman" w:eastAsia="方正仿宋_GBK" w:cs="Times New Roman"/>
          <w:color w:val="auto"/>
          <w:sz w:val="32"/>
          <w:szCs w:val="20"/>
          <w:highlight w:val="none"/>
        </w:rPr>
        <w:t xml:space="preserve"> </w:t>
      </w:r>
      <w:r>
        <w:rPr>
          <w:rFonts w:hint="eastAsia" w:ascii="Times New Roman" w:hAnsi="Times New Roman" w:eastAsia="方正仿宋_GBK" w:cs="Times New Roman"/>
          <w:color w:val="auto"/>
          <w:sz w:val="32"/>
          <w:szCs w:val="20"/>
          <w:highlight w:val="none"/>
          <w:lang w:eastAsia="zh-CN"/>
        </w:rPr>
        <w:t>中央和市级补贴比例按照上级文件执行，实行动态调整</w:t>
      </w:r>
      <w:r>
        <w:rPr>
          <w:rFonts w:hint="eastAsia" w:ascii="Times New Roman" w:hAnsi="Times New Roman" w:eastAsia="方正仿宋_GBK" w:cs="Times New Roman"/>
          <w:color w:val="auto"/>
          <w:sz w:val="32"/>
          <w:szCs w:val="20"/>
          <w:highlight w:val="none"/>
        </w:rPr>
        <w:t>。具体比例详见下表。</w:t>
      </w:r>
    </w:p>
    <w:p>
      <w:pPr>
        <w:spacing w:line="600" w:lineRule="exact"/>
        <w:jc w:val="center"/>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rPr>
        <w:t>表：补贴险种保费承担比例表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1200"/>
        <w:gridCol w:w="1178"/>
        <w:gridCol w:w="1559"/>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096" w:type="dxa"/>
            <w:vMerge w:val="restart"/>
            <w:noWrap w:val="0"/>
            <w:vAlign w:val="center"/>
          </w:tcPr>
          <w:p>
            <w:pPr>
              <w:spacing w:line="400" w:lineRule="exact"/>
              <w:jc w:val="center"/>
              <w:rPr>
                <w:rFonts w:ascii="Times New Roman" w:hAnsi="Times New Roman" w:eastAsia="方正黑体_GBK" w:cs="Times New Roman"/>
                <w:color w:val="auto"/>
                <w:sz w:val="24"/>
                <w:szCs w:val="24"/>
                <w:highlight w:val="none"/>
              </w:rPr>
            </w:pPr>
            <w:r>
              <w:rPr>
                <w:rFonts w:hint="eastAsia" w:ascii="Times New Roman" w:hAnsi="Times New Roman" w:eastAsia="方正黑体_GBK" w:cs="Times New Roman"/>
                <w:color w:val="auto"/>
                <w:sz w:val="24"/>
                <w:szCs w:val="24"/>
                <w:highlight w:val="none"/>
              </w:rPr>
              <w:t>险种</w:t>
            </w:r>
          </w:p>
        </w:tc>
        <w:tc>
          <w:tcPr>
            <w:tcW w:w="5399" w:type="dxa"/>
            <w:gridSpan w:val="4"/>
            <w:noWrap w:val="0"/>
            <w:vAlign w:val="center"/>
          </w:tcPr>
          <w:p>
            <w:pPr>
              <w:spacing w:line="400" w:lineRule="exact"/>
              <w:jc w:val="center"/>
              <w:rPr>
                <w:rFonts w:ascii="Times New Roman" w:hAnsi="Times New Roman" w:eastAsia="方正黑体_GBK" w:cs="Times New Roman"/>
                <w:color w:val="auto"/>
                <w:sz w:val="24"/>
                <w:szCs w:val="24"/>
                <w:highlight w:val="none"/>
              </w:rPr>
            </w:pPr>
            <w:r>
              <w:rPr>
                <w:rFonts w:hint="eastAsia" w:ascii="Times New Roman" w:hAnsi="Times New Roman" w:eastAsia="方正黑体_GBK" w:cs="Times New Roman"/>
                <w:color w:val="auto"/>
                <w:sz w:val="24"/>
                <w:szCs w:val="24"/>
                <w:highlight w:val="none"/>
              </w:rPr>
              <w:t>保费承担比例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096" w:type="dxa"/>
            <w:vMerge w:val="continue"/>
            <w:noWrap w:val="0"/>
            <w:vAlign w:val="center"/>
          </w:tcPr>
          <w:p>
            <w:pPr>
              <w:spacing w:line="400" w:lineRule="exact"/>
              <w:jc w:val="center"/>
              <w:rPr>
                <w:rFonts w:ascii="Times New Roman" w:hAnsi="Times New Roman" w:eastAsia="方正黑体_GBK" w:cs="Times New Roman"/>
                <w:color w:val="auto"/>
                <w:sz w:val="24"/>
                <w:szCs w:val="24"/>
                <w:highlight w:val="none"/>
              </w:rPr>
            </w:pPr>
          </w:p>
        </w:tc>
        <w:tc>
          <w:tcPr>
            <w:tcW w:w="1200" w:type="dxa"/>
            <w:noWrap w:val="0"/>
            <w:vAlign w:val="center"/>
          </w:tcPr>
          <w:p>
            <w:pPr>
              <w:spacing w:line="400" w:lineRule="exact"/>
              <w:jc w:val="center"/>
              <w:rPr>
                <w:rFonts w:ascii="Times New Roman" w:hAnsi="Times New Roman" w:eastAsia="方正黑体_GBK" w:cs="Times New Roman"/>
                <w:color w:val="auto"/>
                <w:sz w:val="24"/>
                <w:szCs w:val="24"/>
                <w:highlight w:val="none"/>
              </w:rPr>
            </w:pPr>
            <w:r>
              <w:rPr>
                <w:rFonts w:hint="eastAsia" w:ascii="Times New Roman" w:hAnsi="Times New Roman" w:eastAsia="方正黑体_GBK" w:cs="Times New Roman"/>
                <w:color w:val="auto"/>
                <w:sz w:val="24"/>
                <w:szCs w:val="24"/>
                <w:highlight w:val="none"/>
              </w:rPr>
              <w:t>中央</w:t>
            </w:r>
          </w:p>
        </w:tc>
        <w:tc>
          <w:tcPr>
            <w:tcW w:w="1178" w:type="dxa"/>
            <w:noWrap w:val="0"/>
            <w:vAlign w:val="center"/>
          </w:tcPr>
          <w:p>
            <w:pPr>
              <w:spacing w:line="400" w:lineRule="exact"/>
              <w:jc w:val="center"/>
              <w:rPr>
                <w:rFonts w:ascii="Times New Roman" w:hAnsi="Times New Roman" w:eastAsia="方正黑体_GBK" w:cs="Times New Roman"/>
                <w:color w:val="auto"/>
                <w:sz w:val="24"/>
                <w:szCs w:val="24"/>
                <w:highlight w:val="none"/>
              </w:rPr>
            </w:pPr>
            <w:r>
              <w:rPr>
                <w:rFonts w:hint="eastAsia" w:ascii="Times New Roman" w:hAnsi="Times New Roman" w:eastAsia="方正黑体_GBK" w:cs="Times New Roman"/>
                <w:color w:val="auto"/>
                <w:sz w:val="24"/>
                <w:szCs w:val="24"/>
                <w:highlight w:val="none"/>
              </w:rPr>
              <w:t>市级</w:t>
            </w:r>
          </w:p>
        </w:tc>
        <w:tc>
          <w:tcPr>
            <w:tcW w:w="1559" w:type="dxa"/>
            <w:noWrap w:val="0"/>
            <w:vAlign w:val="center"/>
          </w:tcPr>
          <w:p>
            <w:pPr>
              <w:spacing w:line="400" w:lineRule="exact"/>
              <w:jc w:val="center"/>
              <w:rPr>
                <w:rFonts w:ascii="Times New Roman" w:hAnsi="Times New Roman" w:eastAsia="方正黑体_GBK" w:cs="Times New Roman"/>
                <w:color w:val="auto"/>
                <w:sz w:val="24"/>
                <w:szCs w:val="24"/>
                <w:highlight w:val="none"/>
              </w:rPr>
            </w:pPr>
            <w:r>
              <w:rPr>
                <w:rFonts w:hint="eastAsia" w:ascii="Times New Roman" w:hAnsi="Times New Roman" w:eastAsia="方正黑体_GBK" w:cs="Times New Roman"/>
                <w:color w:val="auto"/>
                <w:sz w:val="24"/>
                <w:szCs w:val="24"/>
                <w:highlight w:val="none"/>
              </w:rPr>
              <w:t>区</w:t>
            </w:r>
            <w:r>
              <w:rPr>
                <w:rFonts w:hint="eastAsia" w:ascii="Times New Roman" w:hAnsi="Times New Roman" w:eastAsia="方正黑体_GBK" w:cs="Times New Roman"/>
                <w:color w:val="auto"/>
                <w:sz w:val="24"/>
                <w:szCs w:val="24"/>
                <w:highlight w:val="none"/>
                <w:lang w:eastAsia="zh-CN"/>
              </w:rPr>
              <w:t>级</w:t>
            </w:r>
          </w:p>
        </w:tc>
        <w:tc>
          <w:tcPr>
            <w:tcW w:w="1462" w:type="dxa"/>
            <w:noWrap w:val="0"/>
            <w:vAlign w:val="center"/>
          </w:tcPr>
          <w:p>
            <w:pPr>
              <w:spacing w:line="400" w:lineRule="exact"/>
              <w:jc w:val="center"/>
              <w:rPr>
                <w:rFonts w:ascii="Times New Roman" w:hAnsi="Times New Roman" w:eastAsia="方正黑体_GBK" w:cs="Times New Roman"/>
                <w:color w:val="auto"/>
                <w:sz w:val="24"/>
                <w:szCs w:val="24"/>
                <w:highlight w:val="none"/>
              </w:rPr>
            </w:pPr>
            <w:r>
              <w:rPr>
                <w:rFonts w:hint="eastAsia" w:ascii="Times New Roman" w:hAnsi="Times New Roman" w:eastAsia="方正黑体_GBK" w:cs="Times New Roman"/>
                <w:color w:val="auto"/>
                <w:sz w:val="24"/>
                <w:szCs w:val="24"/>
                <w:highlight w:val="none"/>
              </w:rPr>
              <w:t>农户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096" w:type="dxa"/>
            <w:noWrap w:val="0"/>
            <w:vAlign w:val="center"/>
          </w:tcPr>
          <w:p>
            <w:pPr>
              <w:spacing w:line="400" w:lineRule="exact"/>
              <w:jc w:val="left"/>
              <w:rPr>
                <w:rFonts w:ascii="Times New Roman" w:hAnsi="Times New Roman" w:eastAsia="方正仿宋_GBK" w:cs="Times New Roman"/>
                <w:color w:val="auto"/>
                <w:sz w:val="24"/>
                <w:szCs w:val="24"/>
                <w:highlight w:val="none"/>
              </w:rPr>
            </w:pPr>
            <w:r>
              <w:rPr>
                <w:rFonts w:ascii="Times New Roman" w:hAnsi="Times New Roman" w:eastAsia="方正仿宋_GBK" w:cs="Times New Roman"/>
                <w:b/>
                <w:bCs/>
                <w:color w:val="auto"/>
                <w:sz w:val="24"/>
                <w:szCs w:val="24"/>
                <w:highlight w:val="none"/>
              </w:rPr>
              <w:t>一、中央补贴险种</w:t>
            </w:r>
          </w:p>
        </w:tc>
        <w:tc>
          <w:tcPr>
            <w:tcW w:w="1200" w:type="dxa"/>
            <w:noWrap w:val="0"/>
            <w:vAlign w:val="center"/>
          </w:tcPr>
          <w:p>
            <w:pPr>
              <w:spacing w:line="400" w:lineRule="exact"/>
              <w:jc w:val="left"/>
              <w:rPr>
                <w:rFonts w:ascii="Times New Roman" w:hAnsi="Times New Roman" w:eastAsia="方正仿宋_GBK" w:cs="Times New Roman"/>
                <w:color w:val="auto"/>
                <w:sz w:val="24"/>
                <w:szCs w:val="24"/>
                <w:highlight w:val="none"/>
              </w:rPr>
            </w:pPr>
          </w:p>
        </w:tc>
        <w:tc>
          <w:tcPr>
            <w:tcW w:w="1178" w:type="dxa"/>
            <w:noWrap w:val="0"/>
            <w:vAlign w:val="center"/>
          </w:tcPr>
          <w:p>
            <w:pPr>
              <w:spacing w:line="400" w:lineRule="exact"/>
              <w:jc w:val="left"/>
              <w:rPr>
                <w:rFonts w:ascii="Times New Roman" w:hAnsi="Times New Roman" w:eastAsia="方正仿宋_GBK" w:cs="Times New Roman"/>
                <w:color w:val="auto"/>
                <w:sz w:val="24"/>
                <w:szCs w:val="24"/>
                <w:highlight w:val="none"/>
              </w:rPr>
            </w:pPr>
          </w:p>
        </w:tc>
        <w:tc>
          <w:tcPr>
            <w:tcW w:w="1559" w:type="dxa"/>
            <w:noWrap w:val="0"/>
            <w:vAlign w:val="center"/>
          </w:tcPr>
          <w:p>
            <w:pPr>
              <w:spacing w:line="400" w:lineRule="exact"/>
              <w:jc w:val="left"/>
              <w:rPr>
                <w:rFonts w:ascii="Times New Roman" w:hAnsi="Times New Roman" w:eastAsia="方正仿宋_GBK" w:cs="Times New Roman"/>
                <w:color w:val="auto"/>
                <w:sz w:val="24"/>
                <w:szCs w:val="24"/>
                <w:highlight w:val="none"/>
              </w:rPr>
            </w:pPr>
          </w:p>
        </w:tc>
        <w:tc>
          <w:tcPr>
            <w:tcW w:w="1462" w:type="dxa"/>
            <w:noWrap w:val="0"/>
            <w:vAlign w:val="center"/>
          </w:tcPr>
          <w:p>
            <w:pPr>
              <w:spacing w:line="400" w:lineRule="exact"/>
              <w:jc w:val="left"/>
              <w:rPr>
                <w:rFonts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96" w:type="dxa"/>
            <w:noWrap w:val="0"/>
            <w:vAlign w:val="center"/>
          </w:tcPr>
          <w:p>
            <w:pPr>
              <w:spacing w:line="400" w:lineRule="exact"/>
              <w:ind w:firstLine="240" w:firstLineChars="10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种植业</w:t>
            </w:r>
          </w:p>
        </w:tc>
        <w:tc>
          <w:tcPr>
            <w:tcW w:w="1200"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45</w:t>
            </w:r>
            <w:r>
              <w:rPr>
                <w:rFonts w:ascii="Times New Roman" w:hAnsi="Times New Roman" w:eastAsia="方正仿宋_GBK" w:cs="Times New Roman"/>
                <w:color w:val="auto"/>
                <w:sz w:val="24"/>
                <w:szCs w:val="24"/>
                <w:highlight w:val="none"/>
              </w:rPr>
              <w:t>%</w:t>
            </w:r>
          </w:p>
        </w:tc>
        <w:tc>
          <w:tcPr>
            <w:tcW w:w="1178"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30</w:t>
            </w:r>
            <w:r>
              <w:rPr>
                <w:rFonts w:ascii="Times New Roman" w:hAnsi="Times New Roman" w:eastAsia="方正仿宋_GBK" w:cs="Times New Roman"/>
                <w:color w:val="auto"/>
                <w:sz w:val="24"/>
                <w:szCs w:val="24"/>
                <w:highlight w:val="none"/>
              </w:rPr>
              <w:t>%</w:t>
            </w:r>
          </w:p>
        </w:tc>
        <w:tc>
          <w:tcPr>
            <w:tcW w:w="1559"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w:t>
            </w:r>
            <w:r>
              <w:rPr>
                <w:rFonts w:ascii="Times New Roman" w:hAnsi="Times New Roman" w:eastAsia="方正仿宋_GBK" w:cs="Times New Roman"/>
                <w:color w:val="auto"/>
                <w:sz w:val="24"/>
                <w:szCs w:val="24"/>
                <w:highlight w:val="none"/>
              </w:rPr>
              <w:t>%</w:t>
            </w:r>
          </w:p>
        </w:tc>
        <w:tc>
          <w:tcPr>
            <w:tcW w:w="1462"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15</w:t>
            </w:r>
            <w:r>
              <w:rPr>
                <w:rFonts w:ascii="Times New Roman" w:hAnsi="Times New Roman" w:eastAsia="方正仿宋_GBK"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096" w:type="dxa"/>
            <w:noWrap w:val="0"/>
            <w:vAlign w:val="center"/>
          </w:tcPr>
          <w:p>
            <w:pPr>
              <w:spacing w:line="400" w:lineRule="exact"/>
              <w:ind w:firstLine="240" w:firstLineChars="100"/>
              <w:jc w:val="left"/>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养殖业</w:t>
            </w:r>
            <w:r>
              <w:rPr>
                <w:rFonts w:hint="eastAsia" w:ascii="Times New Roman" w:hAnsi="Times New Roman" w:eastAsia="方正仿宋_GBK" w:cs="Times New Roman"/>
                <w:color w:val="auto"/>
                <w:sz w:val="24"/>
                <w:szCs w:val="24"/>
                <w:highlight w:val="none"/>
              </w:rPr>
              <w:t>（奶牛</w:t>
            </w:r>
            <w:r>
              <w:rPr>
                <w:rFonts w:ascii="Times New Roman" w:hAnsi="Times New Roman" w:eastAsia="方正仿宋_GBK" w:cs="Times New Roman"/>
                <w:color w:val="auto"/>
                <w:sz w:val="24"/>
                <w:szCs w:val="24"/>
                <w:highlight w:val="none"/>
              </w:rPr>
              <w:t>除外</w:t>
            </w:r>
            <w:r>
              <w:rPr>
                <w:rFonts w:hint="eastAsia" w:ascii="Times New Roman" w:hAnsi="Times New Roman" w:eastAsia="方正仿宋_GBK" w:cs="Times New Roman"/>
                <w:color w:val="auto"/>
                <w:sz w:val="24"/>
                <w:szCs w:val="24"/>
                <w:highlight w:val="none"/>
              </w:rPr>
              <w:t>）</w:t>
            </w:r>
          </w:p>
        </w:tc>
        <w:tc>
          <w:tcPr>
            <w:tcW w:w="1200"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50</w:t>
            </w:r>
            <w:r>
              <w:rPr>
                <w:rFonts w:ascii="Times New Roman" w:hAnsi="Times New Roman" w:eastAsia="方正仿宋_GBK" w:cs="Times New Roman"/>
                <w:color w:val="auto"/>
                <w:sz w:val="24"/>
                <w:szCs w:val="24"/>
                <w:highlight w:val="none"/>
              </w:rPr>
              <w:t>%</w:t>
            </w:r>
          </w:p>
        </w:tc>
        <w:tc>
          <w:tcPr>
            <w:tcW w:w="1178"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20</w:t>
            </w:r>
            <w:r>
              <w:rPr>
                <w:rFonts w:ascii="Times New Roman" w:hAnsi="Times New Roman" w:eastAsia="方正仿宋_GBK" w:cs="Times New Roman"/>
                <w:color w:val="auto"/>
                <w:sz w:val="24"/>
                <w:szCs w:val="24"/>
                <w:highlight w:val="none"/>
              </w:rPr>
              <w:t>%</w:t>
            </w:r>
          </w:p>
        </w:tc>
        <w:tc>
          <w:tcPr>
            <w:tcW w:w="1559"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w:t>
            </w:r>
            <w:r>
              <w:rPr>
                <w:rFonts w:ascii="Times New Roman" w:hAnsi="Times New Roman" w:eastAsia="方正仿宋_GBK" w:cs="Times New Roman"/>
                <w:color w:val="auto"/>
                <w:sz w:val="24"/>
                <w:szCs w:val="24"/>
                <w:highlight w:val="none"/>
              </w:rPr>
              <w:t>%</w:t>
            </w:r>
          </w:p>
        </w:tc>
        <w:tc>
          <w:tcPr>
            <w:tcW w:w="1462"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20</w:t>
            </w:r>
            <w:r>
              <w:rPr>
                <w:rFonts w:ascii="Times New Roman" w:hAnsi="Times New Roman" w:eastAsia="方正仿宋_GBK"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096" w:type="dxa"/>
            <w:noWrap w:val="0"/>
            <w:vAlign w:val="center"/>
          </w:tcPr>
          <w:p>
            <w:pPr>
              <w:spacing w:line="400" w:lineRule="exact"/>
              <w:ind w:firstLine="240" w:firstLineChars="100"/>
              <w:jc w:val="left"/>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公益林</w:t>
            </w:r>
          </w:p>
        </w:tc>
        <w:tc>
          <w:tcPr>
            <w:tcW w:w="1200"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50</w:t>
            </w:r>
            <w:r>
              <w:rPr>
                <w:rFonts w:ascii="Times New Roman" w:hAnsi="Times New Roman" w:eastAsia="方正仿宋_GBK" w:cs="Times New Roman"/>
                <w:color w:val="auto"/>
                <w:sz w:val="24"/>
                <w:szCs w:val="24"/>
                <w:highlight w:val="none"/>
              </w:rPr>
              <w:t>%</w:t>
            </w:r>
          </w:p>
        </w:tc>
        <w:tc>
          <w:tcPr>
            <w:tcW w:w="1178"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30</w:t>
            </w:r>
            <w:r>
              <w:rPr>
                <w:rFonts w:ascii="Times New Roman" w:hAnsi="Times New Roman" w:eastAsia="方正仿宋_GBK" w:cs="Times New Roman"/>
                <w:color w:val="auto"/>
                <w:sz w:val="24"/>
                <w:szCs w:val="24"/>
                <w:highlight w:val="none"/>
              </w:rPr>
              <w:t>%</w:t>
            </w:r>
          </w:p>
        </w:tc>
        <w:tc>
          <w:tcPr>
            <w:tcW w:w="1559"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20</w:t>
            </w:r>
            <w:r>
              <w:rPr>
                <w:rFonts w:ascii="Times New Roman" w:hAnsi="Times New Roman" w:eastAsia="方正仿宋_GBK" w:cs="Times New Roman"/>
                <w:color w:val="auto"/>
                <w:sz w:val="24"/>
                <w:szCs w:val="24"/>
                <w:highlight w:val="none"/>
              </w:rPr>
              <w:t>%</w:t>
            </w:r>
          </w:p>
        </w:tc>
        <w:tc>
          <w:tcPr>
            <w:tcW w:w="1462"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096" w:type="dxa"/>
            <w:noWrap w:val="0"/>
            <w:vAlign w:val="center"/>
          </w:tcPr>
          <w:p>
            <w:pPr>
              <w:spacing w:line="400" w:lineRule="exact"/>
              <w:ind w:firstLine="240" w:firstLineChars="100"/>
              <w:jc w:val="left"/>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商品林</w:t>
            </w:r>
          </w:p>
        </w:tc>
        <w:tc>
          <w:tcPr>
            <w:tcW w:w="1200"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30</w:t>
            </w:r>
            <w:r>
              <w:rPr>
                <w:rFonts w:ascii="Times New Roman" w:hAnsi="Times New Roman" w:eastAsia="方正仿宋_GBK" w:cs="Times New Roman"/>
                <w:color w:val="auto"/>
                <w:sz w:val="24"/>
                <w:szCs w:val="24"/>
                <w:highlight w:val="none"/>
              </w:rPr>
              <w:t>%</w:t>
            </w:r>
          </w:p>
        </w:tc>
        <w:tc>
          <w:tcPr>
            <w:tcW w:w="1178"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w:t>
            </w:r>
            <w:r>
              <w:rPr>
                <w:rFonts w:ascii="Times New Roman" w:hAnsi="Times New Roman" w:eastAsia="方正仿宋_GBK" w:cs="Times New Roman"/>
                <w:color w:val="auto"/>
                <w:sz w:val="24"/>
                <w:szCs w:val="24"/>
                <w:highlight w:val="none"/>
              </w:rPr>
              <w:t>%</w:t>
            </w:r>
          </w:p>
        </w:tc>
        <w:tc>
          <w:tcPr>
            <w:tcW w:w="1559"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15</w:t>
            </w:r>
            <w:r>
              <w:rPr>
                <w:rFonts w:ascii="Times New Roman" w:hAnsi="Times New Roman" w:eastAsia="方正仿宋_GBK" w:cs="Times New Roman"/>
                <w:color w:val="auto"/>
                <w:sz w:val="24"/>
                <w:szCs w:val="24"/>
                <w:highlight w:val="none"/>
              </w:rPr>
              <w:t>%</w:t>
            </w:r>
          </w:p>
        </w:tc>
        <w:tc>
          <w:tcPr>
            <w:tcW w:w="1462"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30</w:t>
            </w:r>
            <w:r>
              <w:rPr>
                <w:rFonts w:ascii="Times New Roman" w:hAnsi="Times New Roman" w:eastAsia="方正仿宋_GBK"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096" w:type="dxa"/>
            <w:noWrap w:val="0"/>
            <w:vAlign w:val="center"/>
          </w:tcPr>
          <w:p>
            <w:pPr>
              <w:spacing w:line="400" w:lineRule="exact"/>
              <w:jc w:val="left"/>
              <w:rPr>
                <w:rFonts w:ascii="Times New Roman" w:hAnsi="Times New Roman" w:eastAsia="方正仿宋_GBK" w:cs="Times New Roman"/>
                <w:color w:val="auto"/>
                <w:sz w:val="24"/>
                <w:szCs w:val="24"/>
                <w:highlight w:val="none"/>
              </w:rPr>
            </w:pPr>
            <w:r>
              <w:rPr>
                <w:rFonts w:ascii="Times New Roman" w:hAnsi="Times New Roman" w:eastAsia="方正仿宋_GBK" w:cs="Times New Roman"/>
                <w:b/>
                <w:bCs/>
                <w:color w:val="auto"/>
                <w:sz w:val="24"/>
                <w:szCs w:val="24"/>
                <w:highlight w:val="none"/>
              </w:rPr>
              <w:t>二、</w:t>
            </w:r>
            <w:r>
              <w:rPr>
                <w:rFonts w:hint="eastAsia" w:ascii="Times New Roman" w:hAnsi="Times New Roman" w:eastAsia="方正仿宋_GBK" w:cs="Times New Roman"/>
                <w:b/>
                <w:bCs/>
                <w:color w:val="auto"/>
                <w:sz w:val="24"/>
                <w:szCs w:val="24"/>
                <w:highlight w:val="none"/>
              </w:rPr>
              <w:t>市级</w:t>
            </w:r>
            <w:r>
              <w:rPr>
                <w:rFonts w:ascii="Times New Roman" w:hAnsi="Times New Roman" w:eastAsia="方正仿宋_GBK" w:cs="Times New Roman"/>
                <w:b/>
                <w:bCs/>
                <w:color w:val="auto"/>
                <w:sz w:val="24"/>
                <w:szCs w:val="24"/>
                <w:highlight w:val="none"/>
              </w:rPr>
              <w:t>补贴险种</w:t>
            </w:r>
          </w:p>
        </w:tc>
        <w:tc>
          <w:tcPr>
            <w:tcW w:w="1200" w:type="dxa"/>
            <w:noWrap w:val="0"/>
            <w:vAlign w:val="center"/>
          </w:tcPr>
          <w:p>
            <w:pPr>
              <w:spacing w:line="400" w:lineRule="exact"/>
              <w:jc w:val="left"/>
              <w:rPr>
                <w:rFonts w:ascii="Times New Roman" w:hAnsi="Times New Roman" w:eastAsia="方正仿宋_GBK" w:cs="Times New Roman"/>
                <w:color w:val="auto"/>
                <w:sz w:val="24"/>
                <w:szCs w:val="24"/>
                <w:highlight w:val="none"/>
              </w:rPr>
            </w:pPr>
          </w:p>
        </w:tc>
        <w:tc>
          <w:tcPr>
            <w:tcW w:w="1178" w:type="dxa"/>
            <w:noWrap w:val="0"/>
            <w:vAlign w:val="center"/>
          </w:tcPr>
          <w:p>
            <w:pPr>
              <w:spacing w:line="400" w:lineRule="exact"/>
              <w:jc w:val="left"/>
              <w:rPr>
                <w:rFonts w:ascii="Times New Roman" w:hAnsi="Times New Roman" w:eastAsia="方正仿宋_GBK" w:cs="Times New Roman"/>
                <w:color w:val="auto"/>
                <w:sz w:val="24"/>
                <w:szCs w:val="24"/>
                <w:highlight w:val="none"/>
              </w:rPr>
            </w:pPr>
          </w:p>
        </w:tc>
        <w:tc>
          <w:tcPr>
            <w:tcW w:w="1559" w:type="dxa"/>
            <w:noWrap w:val="0"/>
            <w:vAlign w:val="center"/>
          </w:tcPr>
          <w:p>
            <w:pPr>
              <w:spacing w:line="400" w:lineRule="exact"/>
              <w:jc w:val="left"/>
              <w:rPr>
                <w:rFonts w:ascii="Times New Roman" w:hAnsi="Times New Roman" w:eastAsia="方正仿宋_GBK" w:cs="Times New Roman"/>
                <w:color w:val="auto"/>
                <w:sz w:val="24"/>
                <w:szCs w:val="24"/>
                <w:highlight w:val="none"/>
              </w:rPr>
            </w:pPr>
          </w:p>
        </w:tc>
        <w:tc>
          <w:tcPr>
            <w:tcW w:w="1462" w:type="dxa"/>
            <w:noWrap w:val="0"/>
            <w:vAlign w:val="center"/>
          </w:tcPr>
          <w:p>
            <w:pPr>
              <w:spacing w:line="400" w:lineRule="exact"/>
              <w:jc w:val="left"/>
              <w:rPr>
                <w:rFonts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096" w:type="dxa"/>
            <w:noWrap w:val="0"/>
            <w:vAlign w:val="center"/>
          </w:tcPr>
          <w:p>
            <w:pPr>
              <w:spacing w:line="400" w:lineRule="exact"/>
              <w:ind w:firstLine="240" w:firstLineChars="10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柑橘成本</w:t>
            </w:r>
            <w:r>
              <w:rPr>
                <w:rFonts w:hint="eastAsia" w:ascii="Times New Roman" w:hAnsi="Times New Roman" w:eastAsia="方正仿宋_GBK" w:cs="Times New Roman"/>
                <w:color w:val="auto"/>
                <w:sz w:val="24"/>
                <w:szCs w:val="24"/>
                <w:highlight w:val="none"/>
              </w:rPr>
              <w:t>保险</w:t>
            </w:r>
          </w:p>
        </w:tc>
        <w:tc>
          <w:tcPr>
            <w:tcW w:w="1200"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w:t>
            </w:r>
          </w:p>
        </w:tc>
        <w:tc>
          <w:tcPr>
            <w:tcW w:w="1178"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50</w:t>
            </w:r>
            <w:r>
              <w:rPr>
                <w:rFonts w:ascii="Times New Roman" w:hAnsi="Times New Roman" w:eastAsia="方正仿宋_GBK" w:cs="Times New Roman"/>
                <w:color w:val="auto"/>
                <w:sz w:val="24"/>
                <w:szCs w:val="24"/>
                <w:highlight w:val="none"/>
              </w:rPr>
              <w:t>%</w:t>
            </w:r>
          </w:p>
        </w:tc>
        <w:tc>
          <w:tcPr>
            <w:tcW w:w="1559"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20</w:t>
            </w:r>
            <w:r>
              <w:rPr>
                <w:rFonts w:ascii="Times New Roman" w:hAnsi="Times New Roman" w:eastAsia="方正仿宋_GBK" w:cs="Times New Roman"/>
                <w:color w:val="auto"/>
                <w:sz w:val="24"/>
                <w:szCs w:val="24"/>
                <w:highlight w:val="none"/>
              </w:rPr>
              <w:t>%</w:t>
            </w:r>
          </w:p>
        </w:tc>
        <w:tc>
          <w:tcPr>
            <w:tcW w:w="1462"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30</w:t>
            </w:r>
            <w:r>
              <w:rPr>
                <w:rFonts w:ascii="Times New Roman" w:hAnsi="Times New Roman" w:eastAsia="方正仿宋_GBK"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096" w:type="dxa"/>
            <w:noWrap w:val="0"/>
            <w:vAlign w:val="center"/>
          </w:tcPr>
          <w:p>
            <w:pPr>
              <w:spacing w:line="400" w:lineRule="exact"/>
              <w:ind w:firstLine="240" w:firstLineChars="10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生猪收益</w:t>
            </w:r>
            <w:r>
              <w:rPr>
                <w:rFonts w:hint="eastAsia" w:ascii="Times New Roman" w:hAnsi="Times New Roman" w:eastAsia="方正仿宋_GBK" w:cs="Times New Roman"/>
                <w:color w:val="auto"/>
                <w:sz w:val="24"/>
                <w:szCs w:val="24"/>
                <w:highlight w:val="none"/>
              </w:rPr>
              <w:t>保险</w:t>
            </w:r>
          </w:p>
        </w:tc>
        <w:tc>
          <w:tcPr>
            <w:tcW w:w="1200"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w:t>
            </w:r>
          </w:p>
        </w:tc>
        <w:tc>
          <w:tcPr>
            <w:tcW w:w="1178"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40</w:t>
            </w:r>
            <w:r>
              <w:rPr>
                <w:rFonts w:ascii="Times New Roman" w:hAnsi="Times New Roman" w:eastAsia="方正仿宋_GBK" w:cs="Times New Roman"/>
                <w:color w:val="auto"/>
                <w:sz w:val="24"/>
                <w:szCs w:val="24"/>
                <w:highlight w:val="none"/>
              </w:rPr>
              <w:t>%</w:t>
            </w:r>
          </w:p>
        </w:tc>
        <w:tc>
          <w:tcPr>
            <w:tcW w:w="1559"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30</w:t>
            </w:r>
            <w:r>
              <w:rPr>
                <w:rFonts w:ascii="Times New Roman" w:hAnsi="Times New Roman" w:eastAsia="方正仿宋_GBK" w:cs="Times New Roman"/>
                <w:color w:val="auto"/>
                <w:sz w:val="24"/>
                <w:szCs w:val="24"/>
                <w:highlight w:val="none"/>
              </w:rPr>
              <w:t>%</w:t>
            </w:r>
          </w:p>
        </w:tc>
        <w:tc>
          <w:tcPr>
            <w:tcW w:w="1462"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30</w:t>
            </w:r>
            <w:r>
              <w:rPr>
                <w:rFonts w:ascii="Times New Roman" w:hAnsi="Times New Roman" w:eastAsia="方正仿宋_GBK"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096" w:type="dxa"/>
            <w:noWrap w:val="0"/>
            <w:vAlign w:val="center"/>
          </w:tcPr>
          <w:p>
            <w:pPr>
              <w:spacing w:line="400" w:lineRule="exact"/>
              <w:ind w:firstLine="240" w:firstLineChars="100"/>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完全成本补充保险</w:t>
            </w:r>
          </w:p>
        </w:tc>
        <w:tc>
          <w:tcPr>
            <w:tcW w:w="1200"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w:t>
            </w:r>
          </w:p>
        </w:tc>
        <w:tc>
          <w:tcPr>
            <w:tcW w:w="1178"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50</w:t>
            </w:r>
            <w:r>
              <w:rPr>
                <w:rFonts w:ascii="Times New Roman" w:hAnsi="Times New Roman" w:eastAsia="方正仿宋_GBK" w:cs="Times New Roman"/>
                <w:color w:val="auto"/>
                <w:sz w:val="24"/>
                <w:szCs w:val="24"/>
                <w:highlight w:val="none"/>
              </w:rPr>
              <w:t>%</w:t>
            </w:r>
          </w:p>
        </w:tc>
        <w:tc>
          <w:tcPr>
            <w:tcW w:w="1559"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30</w:t>
            </w:r>
            <w:r>
              <w:rPr>
                <w:rFonts w:ascii="Times New Roman" w:hAnsi="Times New Roman" w:eastAsia="方正仿宋_GBK" w:cs="Times New Roman"/>
                <w:color w:val="auto"/>
                <w:sz w:val="24"/>
                <w:szCs w:val="24"/>
                <w:highlight w:val="none"/>
              </w:rPr>
              <w:t>%</w:t>
            </w:r>
          </w:p>
        </w:tc>
        <w:tc>
          <w:tcPr>
            <w:tcW w:w="1462"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20</w:t>
            </w:r>
            <w:r>
              <w:rPr>
                <w:rFonts w:ascii="Times New Roman" w:hAnsi="Times New Roman" w:eastAsia="方正仿宋_GBK"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96" w:type="dxa"/>
            <w:noWrap w:val="0"/>
            <w:vAlign w:val="center"/>
          </w:tcPr>
          <w:p>
            <w:pPr>
              <w:spacing w:line="400" w:lineRule="exact"/>
              <w:jc w:val="left"/>
              <w:rPr>
                <w:rFonts w:hint="default" w:ascii="Times New Roman" w:hAnsi="Times New Roman" w:eastAsia="方正仿宋_GBK" w:cs="Times New Roman"/>
                <w:b/>
                <w:bCs/>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区</w:t>
            </w:r>
            <w:r>
              <w:rPr>
                <w:rFonts w:ascii="Times New Roman" w:hAnsi="Times New Roman" w:eastAsia="方正仿宋_GBK" w:cs="Times New Roman"/>
                <w:color w:val="auto"/>
                <w:sz w:val="24"/>
                <w:szCs w:val="24"/>
                <w:highlight w:val="none"/>
              </w:rPr>
              <w:t>优势特色农产品保险</w:t>
            </w:r>
            <w:r>
              <w:rPr>
                <w:rFonts w:hint="default" w:ascii="Times New Roman" w:hAnsi="Times New Roman" w:eastAsia="方正仿宋_GBK" w:cs="Times New Roman"/>
                <w:color w:val="auto"/>
                <w:sz w:val="24"/>
                <w:szCs w:val="24"/>
                <w:highlight w:val="none"/>
                <w:lang w:val="en-US" w:eastAsia="zh-CN"/>
              </w:rPr>
              <w:t>1</w:t>
            </w:r>
            <w:r>
              <w:rPr>
                <w:rFonts w:hint="eastAsia" w:ascii="Times New Roman" w:hAnsi="Times New Roman" w:eastAsia="方正仿宋_GBK" w:cs="Times New Roman"/>
                <w:color w:val="auto"/>
                <w:sz w:val="24"/>
                <w:szCs w:val="24"/>
                <w:highlight w:val="none"/>
                <w:lang w:val="en-US" w:eastAsia="zh-CN"/>
              </w:rPr>
              <w:t>：生态渔业保险</w:t>
            </w:r>
          </w:p>
        </w:tc>
        <w:tc>
          <w:tcPr>
            <w:tcW w:w="1200"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w:t>
            </w:r>
          </w:p>
        </w:tc>
        <w:tc>
          <w:tcPr>
            <w:tcW w:w="1178"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40</w:t>
            </w:r>
            <w:r>
              <w:rPr>
                <w:rFonts w:ascii="Times New Roman" w:hAnsi="Times New Roman" w:eastAsia="方正仿宋_GBK" w:cs="Times New Roman"/>
                <w:color w:val="auto"/>
                <w:sz w:val="24"/>
                <w:szCs w:val="24"/>
                <w:highlight w:val="none"/>
              </w:rPr>
              <w:t>%</w:t>
            </w:r>
          </w:p>
        </w:tc>
        <w:tc>
          <w:tcPr>
            <w:tcW w:w="1559"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30</w:t>
            </w:r>
            <w:r>
              <w:rPr>
                <w:rFonts w:ascii="Times New Roman" w:hAnsi="Times New Roman" w:eastAsia="方正仿宋_GBK" w:cs="Times New Roman"/>
                <w:color w:val="auto"/>
                <w:sz w:val="24"/>
                <w:szCs w:val="24"/>
                <w:highlight w:val="none"/>
              </w:rPr>
              <w:t>%</w:t>
            </w:r>
          </w:p>
        </w:tc>
        <w:tc>
          <w:tcPr>
            <w:tcW w:w="1462" w:type="dxa"/>
            <w:noWrap w:val="0"/>
            <w:vAlign w:val="center"/>
          </w:tcPr>
          <w:p>
            <w:pPr>
              <w:spacing w:line="400" w:lineRule="exact"/>
              <w:jc w:val="center"/>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30</w:t>
            </w:r>
            <w:r>
              <w:rPr>
                <w:rFonts w:ascii="Times New Roman" w:hAnsi="Times New Roman" w:eastAsia="方正仿宋_GBK"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96" w:type="dxa"/>
            <w:noWrap w:val="0"/>
            <w:vAlign w:val="center"/>
          </w:tcPr>
          <w:p>
            <w:pPr>
              <w:spacing w:line="400" w:lineRule="exact"/>
              <w:jc w:val="left"/>
              <w:rPr>
                <w:rFonts w:hint="default" w:ascii="Times New Roman" w:hAnsi="Times New Roman" w:eastAsia="方正仿宋_GBK" w:cs="Times New Roman"/>
                <w:color w:val="auto"/>
                <w:sz w:val="24"/>
                <w:szCs w:val="24"/>
                <w:highlight w:val="none"/>
                <w:lang w:val="en-US"/>
              </w:rPr>
            </w:pPr>
            <w:r>
              <w:rPr>
                <w:rFonts w:hint="eastAsia" w:ascii="Times New Roman" w:hAnsi="Times New Roman" w:eastAsia="方正仿宋_GBK" w:cs="Times New Roman"/>
                <w:color w:val="auto"/>
                <w:sz w:val="24"/>
                <w:szCs w:val="24"/>
                <w:highlight w:val="none"/>
                <w:lang w:val="en-US" w:eastAsia="zh-CN"/>
              </w:rPr>
              <w:t>区</w:t>
            </w:r>
            <w:r>
              <w:rPr>
                <w:rFonts w:ascii="Times New Roman" w:hAnsi="Times New Roman" w:eastAsia="方正仿宋_GBK" w:cs="Times New Roman"/>
                <w:color w:val="auto"/>
                <w:sz w:val="24"/>
                <w:szCs w:val="24"/>
                <w:highlight w:val="none"/>
              </w:rPr>
              <w:t>优势特色农产品保险</w:t>
            </w:r>
            <w:r>
              <w:rPr>
                <w:rFonts w:hint="default" w:ascii="Times New Roman" w:hAnsi="Times New Roman" w:eastAsia="方正仿宋_GBK" w:cs="Times New Roman"/>
                <w:color w:val="auto"/>
                <w:sz w:val="24"/>
                <w:szCs w:val="24"/>
                <w:highlight w:val="none"/>
                <w:lang w:val="en-US" w:eastAsia="zh-CN"/>
              </w:rPr>
              <w:t>2</w:t>
            </w:r>
            <w:r>
              <w:rPr>
                <w:rFonts w:hint="eastAsia" w:ascii="Times New Roman" w:hAnsi="Times New Roman" w:eastAsia="方正仿宋_GBK" w:cs="Times New Roman"/>
                <w:color w:val="auto"/>
                <w:sz w:val="24"/>
                <w:szCs w:val="24"/>
                <w:highlight w:val="none"/>
                <w:lang w:val="en-US" w:eastAsia="zh-CN"/>
              </w:rPr>
              <w:t>：柑橘收益保险</w:t>
            </w:r>
          </w:p>
        </w:tc>
        <w:tc>
          <w:tcPr>
            <w:tcW w:w="1200" w:type="dxa"/>
            <w:noWrap w:val="0"/>
            <w:vAlign w:val="center"/>
          </w:tcPr>
          <w:p>
            <w:pPr>
              <w:spacing w:line="400" w:lineRule="exact"/>
              <w:jc w:val="center"/>
              <w:rPr>
                <w:rFonts w:ascii="Times New Roman" w:hAnsi="Times New Roman" w:eastAsia="方正仿宋_GBK" w:cs="Times New Roman"/>
                <w:color w:val="auto"/>
                <w:sz w:val="24"/>
                <w:szCs w:val="24"/>
                <w:highlight w:val="none"/>
              </w:rPr>
            </w:pPr>
          </w:p>
        </w:tc>
        <w:tc>
          <w:tcPr>
            <w:tcW w:w="1178" w:type="dxa"/>
            <w:noWrap w:val="0"/>
            <w:vAlign w:val="center"/>
          </w:tcPr>
          <w:p>
            <w:pPr>
              <w:spacing w:line="400" w:lineRule="exact"/>
              <w:jc w:val="center"/>
              <w:rPr>
                <w:rFonts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40</w:t>
            </w:r>
            <w:r>
              <w:rPr>
                <w:rFonts w:ascii="Times New Roman" w:hAnsi="Times New Roman" w:eastAsia="方正仿宋_GBK" w:cs="Times New Roman"/>
                <w:color w:val="auto"/>
                <w:sz w:val="24"/>
                <w:szCs w:val="24"/>
                <w:highlight w:val="none"/>
              </w:rPr>
              <w:t>%</w:t>
            </w:r>
          </w:p>
        </w:tc>
        <w:tc>
          <w:tcPr>
            <w:tcW w:w="1559" w:type="dxa"/>
            <w:noWrap w:val="0"/>
            <w:vAlign w:val="center"/>
          </w:tcPr>
          <w:p>
            <w:pPr>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30</w:t>
            </w:r>
            <w:r>
              <w:rPr>
                <w:rFonts w:ascii="Times New Roman" w:hAnsi="Times New Roman" w:eastAsia="方正仿宋_GBK" w:cs="Times New Roman"/>
                <w:color w:val="auto"/>
                <w:sz w:val="24"/>
                <w:szCs w:val="24"/>
                <w:highlight w:val="none"/>
              </w:rPr>
              <w:t>%</w:t>
            </w:r>
          </w:p>
        </w:tc>
        <w:tc>
          <w:tcPr>
            <w:tcW w:w="1462" w:type="dxa"/>
            <w:noWrap w:val="0"/>
            <w:vAlign w:val="center"/>
          </w:tcPr>
          <w:p>
            <w:pPr>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30</w:t>
            </w:r>
            <w:r>
              <w:rPr>
                <w:rFonts w:ascii="Times New Roman" w:hAnsi="Times New Roman" w:eastAsia="方正仿宋_GBK"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96" w:type="dxa"/>
            <w:noWrap w:val="0"/>
            <w:vAlign w:val="center"/>
          </w:tcPr>
          <w:p>
            <w:pPr>
              <w:spacing w:line="400" w:lineRule="exact"/>
              <w:jc w:val="left"/>
              <w:rPr>
                <w:rFonts w:hint="default" w:ascii="Times New Roman" w:hAnsi="Times New Roman" w:eastAsia="方正仿宋_GBK" w:cs="Times New Roman"/>
                <w:color w:val="auto"/>
                <w:sz w:val="24"/>
                <w:szCs w:val="24"/>
                <w:highlight w:val="none"/>
                <w:lang w:val="en-US"/>
              </w:rPr>
            </w:pPr>
            <w:r>
              <w:rPr>
                <w:rFonts w:hint="eastAsia" w:ascii="Times New Roman" w:hAnsi="Times New Roman" w:eastAsia="方正仿宋_GBK" w:cs="Times New Roman"/>
                <w:color w:val="auto"/>
                <w:sz w:val="24"/>
                <w:szCs w:val="24"/>
                <w:highlight w:val="none"/>
                <w:lang w:val="en-US" w:eastAsia="zh-CN"/>
              </w:rPr>
              <w:t>区</w:t>
            </w:r>
            <w:r>
              <w:rPr>
                <w:rFonts w:ascii="Times New Roman" w:hAnsi="Times New Roman" w:eastAsia="方正仿宋_GBK" w:cs="Times New Roman"/>
                <w:color w:val="auto"/>
                <w:sz w:val="24"/>
                <w:szCs w:val="24"/>
                <w:highlight w:val="none"/>
              </w:rPr>
              <w:t>优势特色农产品保险</w:t>
            </w:r>
            <w:r>
              <w:rPr>
                <w:rFonts w:hint="default" w:ascii="Times New Roman" w:hAnsi="Times New Roman" w:eastAsia="方正仿宋_GBK" w:cs="Times New Roman"/>
                <w:color w:val="auto"/>
                <w:sz w:val="24"/>
                <w:szCs w:val="24"/>
                <w:highlight w:val="none"/>
                <w:lang w:val="en-US" w:eastAsia="zh-CN"/>
              </w:rPr>
              <w:t>3</w:t>
            </w:r>
            <w:r>
              <w:rPr>
                <w:rFonts w:hint="eastAsia" w:ascii="Times New Roman" w:hAnsi="Times New Roman" w:eastAsia="方正仿宋_GBK" w:cs="Times New Roman"/>
                <w:color w:val="auto"/>
                <w:sz w:val="24"/>
                <w:szCs w:val="24"/>
                <w:highlight w:val="none"/>
                <w:lang w:val="en-US" w:eastAsia="zh-CN"/>
              </w:rPr>
              <w:t>：蛋鸡养殖保险</w:t>
            </w:r>
          </w:p>
        </w:tc>
        <w:tc>
          <w:tcPr>
            <w:tcW w:w="1200" w:type="dxa"/>
            <w:noWrap w:val="0"/>
            <w:vAlign w:val="center"/>
          </w:tcPr>
          <w:p>
            <w:pPr>
              <w:spacing w:line="400" w:lineRule="exact"/>
              <w:jc w:val="center"/>
              <w:rPr>
                <w:rFonts w:ascii="Times New Roman" w:hAnsi="Times New Roman" w:eastAsia="方正仿宋_GBK" w:cs="Times New Roman"/>
                <w:color w:val="auto"/>
                <w:sz w:val="24"/>
                <w:szCs w:val="24"/>
                <w:highlight w:val="none"/>
              </w:rPr>
            </w:pPr>
          </w:p>
        </w:tc>
        <w:tc>
          <w:tcPr>
            <w:tcW w:w="1178" w:type="dxa"/>
            <w:noWrap w:val="0"/>
            <w:vAlign w:val="center"/>
          </w:tcPr>
          <w:p>
            <w:pPr>
              <w:spacing w:line="400" w:lineRule="exact"/>
              <w:jc w:val="center"/>
              <w:rPr>
                <w:rFonts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40</w:t>
            </w:r>
            <w:r>
              <w:rPr>
                <w:rFonts w:ascii="Times New Roman" w:hAnsi="Times New Roman" w:eastAsia="方正仿宋_GBK" w:cs="Times New Roman"/>
                <w:color w:val="auto"/>
                <w:sz w:val="24"/>
                <w:szCs w:val="24"/>
                <w:highlight w:val="none"/>
              </w:rPr>
              <w:t>%</w:t>
            </w:r>
          </w:p>
        </w:tc>
        <w:tc>
          <w:tcPr>
            <w:tcW w:w="1559" w:type="dxa"/>
            <w:noWrap w:val="0"/>
            <w:vAlign w:val="center"/>
          </w:tcPr>
          <w:p>
            <w:pPr>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30</w:t>
            </w:r>
            <w:r>
              <w:rPr>
                <w:rFonts w:ascii="Times New Roman" w:hAnsi="Times New Roman" w:eastAsia="方正仿宋_GBK" w:cs="Times New Roman"/>
                <w:color w:val="auto"/>
                <w:sz w:val="24"/>
                <w:szCs w:val="24"/>
                <w:highlight w:val="none"/>
              </w:rPr>
              <w:t>%</w:t>
            </w:r>
          </w:p>
        </w:tc>
        <w:tc>
          <w:tcPr>
            <w:tcW w:w="1462" w:type="dxa"/>
            <w:noWrap w:val="0"/>
            <w:vAlign w:val="center"/>
          </w:tcPr>
          <w:p>
            <w:pPr>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30</w:t>
            </w:r>
            <w:r>
              <w:rPr>
                <w:rFonts w:ascii="Times New Roman" w:hAnsi="Times New Roman" w:eastAsia="方正仿宋_GBK"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96" w:type="dxa"/>
            <w:noWrap w:val="0"/>
            <w:vAlign w:val="center"/>
          </w:tcPr>
          <w:p>
            <w:pPr>
              <w:spacing w:line="400" w:lineRule="exact"/>
              <w:jc w:val="left"/>
              <w:rPr>
                <w:rFonts w:hint="default" w:ascii="Times New Roman" w:hAnsi="Times New Roman" w:eastAsia="方正仿宋_GBK" w:cs="Times New Roman"/>
                <w:color w:val="auto"/>
                <w:sz w:val="24"/>
                <w:szCs w:val="24"/>
                <w:highlight w:val="none"/>
                <w:lang w:val="en-US"/>
              </w:rPr>
            </w:pPr>
            <w:r>
              <w:rPr>
                <w:rFonts w:hint="eastAsia" w:ascii="Times New Roman" w:hAnsi="Times New Roman" w:eastAsia="方正仿宋_GBK" w:cs="Times New Roman"/>
                <w:color w:val="auto"/>
                <w:sz w:val="24"/>
                <w:szCs w:val="24"/>
                <w:highlight w:val="none"/>
                <w:lang w:val="en-US" w:eastAsia="zh-CN"/>
              </w:rPr>
              <w:t>区</w:t>
            </w:r>
            <w:r>
              <w:rPr>
                <w:rFonts w:ascii="Times New Roman" w:hAnsi="Times New Roman" w:eastAsia="方正仿宋_GBK" w:cs="Times New Roman"/>
                <w:color w:val="auto"/>
                <w:sz w:val="24"/>
                <w:szCs w:val="24"/>
                <w:highlight w:val="none"/>
              </w:rPr>
              <w:t>优势特色农产品保险</w:t>
            </w:r>
            <w:r>
              <w:rPr>
                <w:rFonts w:hint="default" w:ascii="Times New Roman" w:hAnsi="Times New Roman" w:eastAsia="方正仿宋_GBK" w:cs="Times New Roman"/>
                <w:color w:val="auto"/>
                <w:sz w:val="24"/>
                <w:szCs w:val="24"/>
                <w:highlight w:val="none"/>
                <w:lang w:val="en-US" w:eastAsia="zh-CN"/>
              </w:rPr>
              <w:t>4</w:t>
            </w:r>
            <w:r>
              <w:rPr>
                <w:rFonts w:hint="eastAsia" w:ascii="Times New Roman" w:hAnsi="Times New Roman" w:eastAsia="方正仿宋_GBK" w:cs="Times New Roman"/>
                <w:color w:val="auto"/>
                <w:sz w:val="24"/>
                <w:szCs w:val="24"/>
                <w:highlight w:val="none"/>
                <w:lang w:val="en-US" w:eastAsia="zh-CN"/>
              </w:rPr>
              <w:t>：鸡蛋期货保险</w:t>
            </w:r>
          </w:p>
        </w:tc>
        <w:tc>
          <w:tcPr>
            <w:tcW w:w="1200" w:type="dxa"/>
            <w:noWrap w:val="0"/>
            <w:vAlign w:val="center"/>
          </w:tcPr>
          <w:p>
            <w:pPr>
              <w:spacing w:line="400" w:lineRule="exact"/>
              <w:jc w:val="center"/>
              <w:rPr>
                <w:rFonts w:ascii="Times New Roman" w:hAnsi="Times New Roman" w:eastAsia="方正仿宋_GBK" w:cs="Times New Roman"/>
                <w:color w:val="auto"/>
                <w:sz w:val="24"/>
                <w:szCs w:val="24"/>
                <w:highlight w:val="none"/>
              </w:rPr>
            </w:pPr>
          </w:p>
        </w:tc>
        <w:tc>
          <w:tcPr>
            <w:tcW w:w="1178" w:type="dxa"/>
            <w:noWrap w:val="0"/>
            <w:vAlign w:val="center"/>
          </w:tcPr>
          <w:p>
            <w:pPr>
              <w:spacing w:line="400" w:lineRule="exact"/>
              <w:jc w:val="center"/>
              <w:rPr>
                <w:rFonts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40</w:t>
            </w:r>
            <w:r>
              <w:rPr>
                <w:rFonts w:ascii="Times New Roman" w:hAnsi="Times New Roman" w:eastAsia="方正仿宋_GBK" w:cs="Times New Roman"/>
                <w:color w:val="auto"/>
                <w:sz w:val="24"/>
                <w:szCs w:val="24"/>
                <w:highlight w:val="none"/>
              </w:rPr>
              <w:t>%</w:t>
            </w:r>
          </w:p>
        </w:tc>
        <w:tc>
          <w:tcPr>
            <w:tcW w:w="1559" w:type="dxa"/>
            <w:noWrap w:val="0"/>
            <w:vAlign w:val="center"/>
          </w:tcPr>
          <w:p>
            <w:pPr>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30</w:t>
            </w:r>
            <w:r>
              <w:rPr>
                <w:rFonts w:ascii="Times New Roman" w:hAnsi="Times New Roman" w:eastAsia="方正仿宋_GBK" w:cs="Times New Roman"/>
                <w:color w:val="auto"/>
                <w:sz w:val="24"/>
                <w:szCs w:val="24"/>
                <w:highlight w:val="none"/>
              </w:rPr>
              <w:t>%</w:t>
            </w:r>
          </w:p>
        </w:tc>
        <w:tc>
          <w:tcPr>
            <w:tcW w:w="1462" w:type="dxa"/>
            <w:noWrap w:val="0"/>
            <w:vAlign w:val="center"/>
          </w:tcPr>
          <w:p>
            <w:pPr>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30</w:t>
            </w:r>
            <w:r>
              <w:rPr>
                <w:rFonts w:ascii="Times New Roman" w:hAnsi="Times New Roman" w:eastAsia="方正仿宋_GBK"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96" w:type="dxa"/>
            <w:noWrap w:val="0"/>
            <w:vAlign w:val="center"/>
          </w:tcPr>
          <w:p>
            <w:pPr>
              <w:spacing w:line="400" w:lineRule="exact"/>
              <w:jc w:val="left"/>
              <w:rPr>
                <w:rFonts w:hint="default" w:ascii="Times New Roman" w:hAnsi="Times New Roman" w:eastAsia="方正仿宋_GBK" w:cs="Times New Roman"/>
                <w:color w:val="auto"/>
                <w:sz w:val="24"/>
                <w:szCs w:val="24"/>
                <w:highlight w:val="none"/>
                <w:lang w:val="en-US"/>
              </w:rPr>
            </w:pPr>
            <w:r>
              <w:rPr>
                <w:rFonts w:hint="eastAsia" w:ascii="Times New Roman" w:hAnsi="Times New Roman" w:eastAsia="方正仿宋_GBK" w:cs="Times New Roman"/>
                <w:color w:val="auto"/>
                <w:sz w:val="24"/>
                <w:szCs w:val="24"/>
                <w:highlight w:val="none"/>
                <w:lang w:val="en-US" w:eastAsia="zh-CN"/>
              </w:rPr>
              <w:t>区</w:t>
            </w:r>
            <w:r>
              <w:rPr>
                <w:rFonts w:ascii="Times New Roman" w:hAnsi="Times New Roman" w:eastAsia="方正仿宋_GBK" w:cs="Times New Roman"/>
                <w:color w:val="auto"/>
                <w:sz w:val="24"/>
                <w:szCs w:val="24"/>
                <w:highlight w:val="none"/>
              </w:rPr>
              <w:t>优势特色农产品保险</w:t>
            </w:r>
            <w:r>
              <w:rPr>
                <w:rFonts w:hint="default" w:ascii="Times New Roman" w:hAnsi="Times New Roman" w:eastAsia="方正仿宋_GBK" w:cs="Times New Roman"/>
                <w:color w:val="auto"/>
                <w:sz w:val="24"/>
                <w:szCs w:val="24"/>
                <w:highlight w:val="none"/>
                <w:lang w:val="en-US" w:eastAsia="zh-CN"/>
              </w:rPr>
              <w:t>5</w:t>
            </w:r>
            <w:r>
              <w:rPr>
                <w:rFonts w:hint="eastAsia" w:ascii="Times New Roman" w:hAnsi="Times New Roman" w:eastAsia="方正仿宋_GBK" w:cs="Times New Roman"/>
                <w:color w:val="auto"/>
                <w:sz w:val="24"/>
                <w:szCs w:val="24"/>
                <w:highlight w:val="none"/>
                <w:lang w:val="en-US" w:eastAsia="zh-CN"/>
              </w:rPr>
              <w:t>：长寿湖渔业保险</w:t>
            </w:r>
          </w:p>
        </w:tc>
        <w:tc>
          <w:tcPr>
            <w:tcW w:w="1200" w:type="dxa"/>
            <w:noWrap w:val="0"/>
            <w:vAlign w:val="center"/>
          </w:tcPr>
          <w:p>
            <w:pPr>
              <w:spacing w:line="400" w:lineRule="exact"/>
              <w:jc w:val="center"/>
              <w:rPr>
                <w:rFonts w:ascii="Times New Roman" w:hAnsi="Times New Roman" w:eastAsia="方正仿宋_GBK" w:cs="Times New Roman"/>
                <w:color w:val="auto"/>
                <w:sz w:val="24"/>
                <w:szCs w:val="24"/>
                <w:highlight w:val="none"/>
              </w:rPr>
            </w:pPr>
          </w:p>
        </w:tc>
        <w:tc>
          <w:tcPr>
            <w:tcW w:w="1178" w:type="dxa"/>
            <w:noWrap w:val="0"/>
            <w:vAlign w:val="center"/>
          </w:tcPr>
          <w:p>
            <w:pPr>
              <w:spacing w:line="400" w:lineRule="exact"/>
              <w:jc w:val="center"/>
              <w:rPr>
                <w:rFonts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40</w:t>
            </w:r>
            <w:r>
              <w:rPr>
                <w:rFonts w:ascii="Times New Roman" w:hAnsi="Times New Roman" w:eastAsia="方正仿宋_GBK" w:cs="Times New Roman"/>
                <w:color w:val="auto"/>
                <w:sz w:val="24"/>
                <w:szCs w:val="24"/>
                <w:highlight w:val="none"/>
              </w:rPr>
              <w:t>%</w:t>
            </w:r>
          </w:p>
        </w:tc>
        <w:tc>
          <w:tcPr>
            <w:tcW w:w="1559" w:type="dxa"/>
            <w:noWrap w:val="0"/>
            <w:vAlign w:val="center"/>
          </w:tcPr>
          <w:p>
            <w:pPr>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30</w:t>
            </w:r>
            <w:r>
              <w:rPr>
                <w:rFonts w:ascii="Times New Roman" w:hAnsi="Times New Roman" w:eastAsia="方正仿宋_GBK" w:cs="Times New Roman"/>
                <w:color w:val="auto"/>
                <w:sz w:val="24"/>
                <w:szCs w:val="24"/>
                <w:highlight w:val="none"/>
              </w:rPr>
              <w:t>%</w:t>
            </w:r>
          </w:p>
        </w:tc>
        <w:tc>
          <w:tcPr>
            <w:tcW w:w="1462" w:type="dxa"/>
            <w:noWrap w:val="0"/>
            <w:vAlign w:val="center"/>
          </w:tcPr>
          <w:p>
            <w:pPr>
              <w:spacing w:line="4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30</w:t>
            </w:r>
            <w:r>
              <w:rPr>
                <w:rFonts w:ascii="Times New Roman" w:hAnsi="Times New Roman" w:eastAsia="方正仿宋_GBK"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096" w:type="dxa"/>
            <w:noWrap w:val="0"/>
            <w:vAlign w:val="center"/>
          </w:tcPr>
          <w:p>
            <w:pPr>
              <w:spacing w:line="400" w:lineRule="exact"/>
              <w:jc w:val="left"/>
              <w:rPr>
                <w:rFonts w:hint="eastAsia" w:ascii="Times New Roman" w:hAnsi="Times New Roman" w:eastAsia="方正仿宋_GBK" w:cs="Times New Roman"/>
                <w:b/>
                <w:bCs/>
                <w:color w:val="auto"/>
                <w:sz w:val="24"/>
                <w:szCs w:val="24"/>
                <w:highlight w:val="none"/>
                <w:lang w:eastAsia="zh-CN"/>
              </w:rPr>
            </w:pPr>
            <w:r>
              <w:rPr>
                <w:rFonts w:hint="eastAsia" w:ascii="Times New Roman" w:hAnsi="Times New Roman" w:eastAsia="方正仿宋_GBK" w:cs="Times New Roman"/>
                <w:b/>
                <w:bCs/>
                <w:color w:val="auto"/>
                <w:sz w:val="24"/>
                <w:szCs w:val="24"/>
                <w:highlight w:val="none"/>
                <w:lang w:eastAsia="zh-CN"/>
              </w:rPr>
              <w:t>三、区级补贴险种</w:t>
            </w:r>
          </w:p>
        </w:tc>
        <w:tc>
          <w:tcPr>
            <w:tcW w:w="1200" w:type="dxa"/>
            <w:noWrap w:val="0"/>
            <w:vAlign w:val="center"/>
          </w:tcPr>
          <w:p>
            <w:pPr>
              <w:spacing w:line="400" w:lineRule="exact"/>
              <w:jc w:val="center"/>
              <w:rPr>
                <w:rFonts w:ascii="Times New Roman" w:hAnsi="Times New Roman" w:eastAsia="方正仿宋_GBK" w:cs="Times New Roman"/>
                <w:color w:val="auto"/>
                <w:sz w:val="24"/>
                <w:szCs w:val="24"/>
                <w:highlight w:val="none"/>
              </w:rPr>
            </w:pPr>
          </w:p>
        </w:tc>
        <w:tc>
          <w:tcPr>
            <w:tcW w:w="1178" w:type="dxa"/>
            <w:noWrap w:val="0"/>
            <w:vAlign w:val="center"/>
          </w:tcPr>
          <w:p>
            <w:pPr>
              <w:spacing w:line="400" w:lineRule="exact"/>
              <w:jc w:val="center"/>
              <w:rPr>
                <w:rFonts w:ascii="Times New Roman" w:hAnsi="Times New Roman" w:eastAsia="方正仿宋_GBK" w:cs="Times New Roman"/>
                <w:color w:val="auto"/>
                <w:sz w:val="24"/>
                <w:szCs w:val="24"/>
                <w:highlight w:val="none"/>
              </w:rPr>
            </w:pPr>
          </w:p>
        </w:tc>
        <w:tc>
          <w:tcPr>
            <w:tcW w:w="1559" w:type="dxa"/>
            <w:noWrap w:val="0"/>
            <w:vAlign w:val="center"/>
          </w:tcPr>
          <w:p>
            <w:pPr>
              <w:spacing w:line="400" w:lineRule="exact"/>
              <w:jc w:val="center"/>
              <w:rPr>
                <w:rFonts w:hint="eastAsia" w:ascii="Times New Roman" w:hAnsi="Times New Roman" w:eastAsia="方正仿宋_GBK" w:cs="Times New Roman"/>
                <w:color w:val="auto"/>
                <w:sz w:val="24"/>
                <w:szCs w:val="24"/>
                <w:highlight w:val="none"/>
              </w:rPr>
            </w:pPr>
          </w:p>
        </w:tc>
        <w:tc>
          <w:tcPr>
            <w:tcW w:w="1462" w:type="dxa"/>
            <w:noWrap w:val="0"/>
            <w:vAlign w:val="center"/>
          </w:tcPr>
          <w:p>
            <w:pPr>
              <w:spacing w:line="400" w:lineRule="exact"/>
              <w:jc w:val="center"/>
              <w:rPr>
                <w:rFonts w:hint="eastAsia"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096" w:type="dxa"/>
            <w:noWrap w:val="0"/>
            <w:vAlign w:val="center"/>
          </w:tcPr>
          <w:p>
            <w:pPr>
              <w:spacing w:line="400" w:lineRule="exact"/>
              <w:jc w:val="left"/>
              <w:rPr>
                <w:rFonts w:hint="eastAsia" w:ascii="Times New Roman" w:hAnsi="Times New Roman" w:eastAsia="方正仿宋_GBK" w:cs="Times New Roman"/>
                <w:b/>
                <w:bCs/>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一村一品产业发展保险</w:t>
            </w:r>
          </w:p>
        </w:tc>
        <w:tc>
          <w:tcPr>
            <w:tcW w:w="1200" w:type="dxa"/>
            <w:noWrap w:val="0"/>
            <w:vAlign w:val="center"/>
          </w:tcPr>
          <w:p>
            <w:pPr>
              <w:spacing w:line="400" w:lineRule="exact"/>
              <w:jc w:val="center"/>
              <w:rPr>
                <w:rFonts w:ascii="Times New Roman" w:hAnsi="Times New Roman" w:eastAsia="方正仿宋_GBK" w:cs="Times New Roman"/>
                <w:color w:val="auto"/>
                <w:sz w:val="24"/>
                <w:szCs w:val="24"/>
                <w:highlight w:val="none"/>
              </w:rPr>
            </w:pPr>
          </w:p>
        </w:tc>
        <w:tc>
          <w:tcPr>
            <w:tcW w:w="1178" w:type="dxa"/>
            <w:noWrap w:val="0"/>
            <w:vAlign w:val="center"/>
          </w:tcPr>
          <w:p>
            <w:pPr>
              <w:spacing w:line="400" w:lineRule="exact"/>
              <w:jc w:val="center"/>
              <w:rPr>
                <w:rFonts w:ascii="Times New Roman" w:hAnsi="Times New Roman" w:eastAsia="方正仿宋_GBK" w:cs="Times New Roman"/>
                <w:color w:val="auto"/>
                <w:sz w:val="24"/>
                <w:szCs w:val="24"/>
                <w:highlight w:val="none"/>
              </w:rPr>
            </w:pPr>
          </w:p>
        </w:tc>
        <w:tc>
          <w:tcPr>
            <w:tcW w:w="1559" w:type="dxa"/>
            <w:noWrap w:val="0"/>
            <w:vAlign w:val="center"/>
          </w:tcPr>
          <w:p>
            <w:pPr>
              <w:spacing w:line="400" w:lineRule="exact"/>
              <w:jc w:val="center"/>
              <w:rPr>
                <w:rFonts w:hint="eastAsia"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100</w:t>
            </w:r>
            <w:r>
              <w:rPr>
                <w:rFonts w:hint="eastAsia" w:ascii="Times New Roman" w:hAnsi="Times New Roman" w:eastAsia="方正仿宋_GBK" w:cs="Times New Roman"/>
                <w:color w:val="auto"/>
                <w:sz w:val="24"/>
                <w:szCs w:val="24"/>
                <w:highlight w:val="none"/>
                <w:lang w:val="en-US" w:eastAsia="zh-CN"/>
              </w:rPr>
              <w:t>%</w:t>
            </w:r>
          </w:p>
        </w:tc>
        <w:tc>
          <w:tcPr>
            <w:tcW w:w="1462" w:type="dxa"/>
            <w:noWrap w:val="0"/>
            <w:vAlign w:val="center"/>
          </w:tcPr>
          <w:p>
            <w:pPr>
              <w:spacing w:line="400" w:lineRule="exact"/>
              <w:jc w:val="center"/>
              <w:rPr>
                <w:rFonts w:hint="eastAsia" w:ascii="Times New Roman" w:hAnsi="Times New Roman" w:eastAsia="方正仿宋_GBK" w:cs="Times New Roman"/>
                <w:color w:val="auto"/>
                <w:sz w:val="24"/>
                <w:szCs w:val="24"/>
                <w:highlight w:val="none"/>
              </w:rPr>
            </w:pPr>
          </w:p>
        </w:tc>
      </w:tr>
    </w:tbl>
    <w:p>
      <w:pPr>
        <w:spacing w:line="578" w:lineRule="exact"/>
        <w:ind w:firstLine="482" w:firstLineChars="200"/>
        <w:rPr>
          <w:rFonts w:hint="default" w:ascii="Times New Roman" w:hAnsi="Times New Roman" w:eastAsia="方正仿宋_GBK" w:cs="Times New Roman"/>
          <w:color w:val="auto"/>
          <w:sz w:val="24"/>
          <w:szCs w:val="16"/>
          <w:highlight w:val="none"/>
          <w:lang w:val="en-US" w:eastAsia="zh-CN"/>
        </w:rPr>
      </w:pPr>
      <w:r>
        <w:rPr>
          <w:rFonts w:hint="eastAsia" w:ascii="Times New Roman" w:hAnsi="Times New Roman" w:eastAsia="方正仿宋_GBK" w:cs="Times New Roman"/>
          <w:b/>
          <w:bCs/>
          <w:color w:val="auto"/>
          <w:sz w:val="24"/>
          <w:szCs w:val="16"/>
          <w:highlight w:val="none"/>
          <w:lang w:val="en-US" w:eastAsia="zh-CN"/>
        </w:rPr>
        <w:t>备注：</w:t>
      </w:r>
      <w:r>
        <w:rPr>
          <w:rFonts w:hint="eastAsia" w:ascii="Times New Roman" w:hAnsi="Times New Roman" w:eastAsia="方正仿宋_GBK" w:cs="Times New Roman"/>
          <w:color w:val="auto"/>
          <w:sz w:val="24"/>
          <w:szCs w:val="16"/>
          <w:highlight w:val="none"/>
          <w:lang w:val="en-US" w:eastAsia="zh-CN"/>
        </w:rPr>
        <w:t>纳入优势特色农产品保险的产品根据工作开展情况，进行调整。鼓励保险公司创新产品，新增区级险种根据实际情况给予补贴。</w:t>
      </w:r>
    </w:p>
    <w:p>
      <w:pPr>
        <w:spacing w:line="578" w:lineRule="exact"/>
        <w:ind w:firstLine="640" w:firstLineChars="200"/>
        <w:rPr>
          <w:rFonts w:hint="eastAsia" w:ascii="Times New Roman" w:hAnsi="Times New Roman" w:eastAsia="方正仿宋_GBK" w:cs="Times New Roman"/>
          <w:color w:val="auto"/>
          <w:sz w:val="32"/>
          <w:szCs w:val="20"/>
          <w:highlight w:val="none"/>
        </w:rPr>
      </w:pPr>
    </w:p>
    <w:p>
      <w:pPr>
        <w:numPr>
          <w:ilvl w:val="0"/>
          <w:numId w:val="1"/>
        </w:numPr>
        <w:spacing w:line="578" w:lineRule="exact"/>
        <w:ind w:left="0" w:leftChars="0" w:firstLine="0" w:firstLineChars="0"/>
        <w:jc w:val="center"/>
        <w:rPr>
          <w:rFonts w:hint="eastAsia" w:ascii="Times New Roman" w:hAnsi="Times New Roman" w:eastAsia="方正黑体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 xml:space="preserve"> 保险水平及费率</w:t>
      </w:r>
    </w:p>
    <w:p>
      <w:pPr>
        <w:pStyle w:val="2"/>
        <w:numPr>
          <w:ilvl w:val="0"/>
          <w:numId w:val="0"/>
        </w:numPr>
        <w:ind w:leftChars="0"/>
      </w:pP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w:t>
      </w:r>
      <w:r>
        <w:rPr>
          <w:rFonts w:hint="eastAsia" w:ascii="Times New Roman" w:hAnsi="Times New Roman" w:eastAsia="方正黑体_GBK" w:cs="Times New Roman"/>
          <w:color w:val="auto"/>
          <w:sz w:val="32"/>
          <w:szCs w:val="20"/>
          <w:highlight w:val="none"/>
          <w:lang w:val="en-US" w:eastAsia="zh-CN"/>
        </w:rPr>
        <w:t>七</w:t>
      </w:r>
      <w:r>
        <w:rPr>
          <w:rFonts w:hint="eastAsia" w:ascii="Times New Roman" w:hAnsi="Times New Roman" w:eastAsia="方正黑体_GBK" w:cs="Times New Roman"/>
          <w:color w:val="auto"/>
          <w:sz w:val="32"/>
          <w:szCs w:val="20"/>
          <w:highlight w:val="none"/>
        </w:rPr>
        <w:t xml:space="preserve">条 </w:t>
      </w:r>
      <w:r>
        <w:rPr>
          <w:rFonts w:hint="eastAsia" w:ascii="Times New Roman" w:hAnsi="Times New Roman" w:eastAsia="方正仿宋_GBK" w:cs="Times New Roman"/>
          <w:color w:val="auto"/>
          <w:sz w:val="32"/>
          <w:szCs w:val="20"/>
          <w:highlight w:val="none"/>
        </w:rPr>
        <w:t xml:space="preserve"> 承保机构应当公平、合理拟定农业保险条款和费率。保险费率应当按照保本微利原则确定，严格控制经营成本，确保综合费用率不高于</w:t>
      </w:r>
      <w:r>
        <w:rPr>
          <w:rFonts w:hint="default" w:ascii="Times New Roman" w:hAnsi="Times New Roman" w:eastAsia="方正仿宋_GBK" w:cs="Times New Roman"/>
          <w:color w:val="auto"/>
          <w:sz w:val="32"/>
          <w:szCs w:val="20"/>
          <w:highlight w:val="none"/>
        </w:rPr>
        <w:t>20</w:t>
      </w:r>
      <w:r>
        <w:rPr>
          <w:rFonts w:hint="eastAsia" w:ascii="Times New Roman" w:hAnsi="Times New Roman" w:eastAsia="方正仿宋_GBK" w:cs="Times New Roman"/>
          <w:color w:val="auto"/>
          <w:sz w:val="32"/>
          <w:szCs w:val="20"/>
          <w:highlight w:val="none"/>
        </w:rPr>
        <w:t>%。</w:t>
      </w:r>
    </w:p>
    <w:p>
      <w:pPr>
        <w:spacing w:line="578" w:lineRule="exact"/>
        <w:ind w:firstLine="640" w:firstLineChars="200"/>
        <w:rPr>
          <w:rFonts w:hint="eastAsia" w:ascii="Times New Roman" w:hAnsi="Times New Roman" w:eastAsia="方正仿宋_GBK" w:cs="Times New Roman"/>
          <w:color w:val="auto"/>
          <w:sz w:val="32"/>
          <w:szCs w:val="20"/>
          <w:highlight w:val="none"/>
          <w:lang w:val="en-US" w:eastAsia="zh-CN"/>
        </w:rPr>
      </w:pPr>
      <w:r>
        <w:rPr>
          <w:rFonts w:hint="eastAsia" w:ascii="Times New Roman" w:hAnsi="Times New Roman" w:eastAsia="方正仿宋_GBK" w:cs="Times New Roman"/>
          <w:color w:val="auto"/>
          <w:sz w:val="32"/>
          <w:szCs w:val="20"/>
          <w:highlight w:val="none"/>
        </w:rPr>
        <w:t>对纳入财政补贴险种的保险金额和费率，根据地域风险差异、历史赔付情况、农产品价格等因素，在充分听取财政部门、行业主管部门、保险监管部门、承保机构、农户代表和财政部重庆监管局意见基础上拟订。</w:t>
      </w:r>
      <w:r>
        <w:rPr>
          <w:rFonts w:hint="eastAsia" w:ascii="Times New Roman" w:hAnsi="Times New Roman" w:eastAsia="方正仿宋_GBK" w:cs="Times New Roman"/>
          <w:color w:val="auto"/>
          <w:sz w:val="32"/>
          <w:szCs w:val="20"/>
          <w:highlight w:val="none"/>
          <w:lang w:val="en-US" w:eastAsia="zh-CN"/>
        </w:rPr>
        <w:t>以下作为参考，具体以承保机构向保险监管部门备案为准。</w:t>
      </w:r>
    </w:p>
    <w:p>
      <w:pPr>
        <w:pStyle w:val="2"/>
        <w:rPr>
          <w:rFonts w:hint="eastAsia" w:ascii="Times New Roman" w:hAnsi="Times New Roman" w:eastAsia="方正仿宋_GBK" w:cs="Times New Roman"/>
          <w:color w:val="auto"/>
          <w:sz w:val="32"/>
          <w:szCs w:val="20"/>
          <w:highlight w:val="none"/>
          <w:lang w:val="en-US" w:eastAsia="zh-CN"/>
        </w:rPr>
      </w:pPr>
    </w:p>
    <w:p>
      <w:pPr>
        <w:pStyle w:val="2"/>
        <w:rPr>
          <w:rFonts w:hint="default" w:ascii="Times New Roman" w:hAnsi="Times New Roman" w:eastAsia="方正仿宋_GBK" w:cs="Times New Roman"/>
          <w:color w:val="auto"/>
          <w:sz w:val="32"/>
          <w:szCs w:val="20"/>
          <w:highlight w:val="none"/>
          <w:lang w:val="en-US" w:eastAsia="zh-CN"/>
        </w:rPr>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751"/>
        <w:gridCol w:w="1520"/>
        <w:gridCol w:w="950"/>
        <w:gridCol w:w="2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7872" w:type="dxa"/>
            <w:gridSpan w:val="4"/>
            <w:noWrap w:val="0"/>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auto"/>
                <w:sz w:val="44"/>
                <w:szCs w:val="44"/>
                <w:highlight w:val="none"/>
                <w:u w:val="none"/>
              </w:rPr>
            </w:pPr>
            <w:r>
              <w:rPr>
                <w:rFonts w:hint="eastAsia" w:ascii="Times New Roman" w:hAnsi="Times New Roman" w:eastAsia="方正黑体_GBK" w:cs="Times New Roman"/>
                <w:color w:val="auto"/>
                <w:sz w:val="32"/>
                <w:szCs w:val="32"/>
                <w:highlight w:val="none"/>
                <w:lang w:val="en-US" w:eastAsia="zh-CN"/>
              </w:rPr>
              <w:t>表：补贴险种保险金额及费率情况表</w:t>
            </w:r>
            <w:r>
              <w:rPr>
                <w:rFonts w:hint="eastAsia" w:ascii="方正小标宋_GBK" w:hAnsi="方正小标宋_GBK" w:eastAsia="方正小标宋_GBK" w:cs="方正小标宋_GBK"/>
                <w:i w:val="0"/>
                <w:color w:val="auto"/>
                <w:kern w:val="0"/>
                <w:sz w:val="44"/>
                <w:szCs w:val="44"/>
                <w:highlight w:val="none"/>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751" w:type="dxa"/>
            <w:noWrap w:val="0"/>
            <w:vAlign w:val="center"/>
          </w:tcPr>
          <w:p>
            <w:pPr>
              <w:jc w:val="center"/>
              <w:rPr>
                <w:rFonts w:hint="eastAsia" w:ascii="方正仿宋_GBK" w:hAnsi="方正仿宋_GBK" w:eastAsia="方正仿宋_GBK" w:cs="方正仿宋_GBK"/>
                <w:i w:val="0"/>
                <w:color w:val="auto"/>
                <w:sz w:val="24"/>
                <w:szCs w:val="24"/>
                <w:highlight w:val="none"/>
                <w:u w:val="none"/>
              </w:rPr>
            </w:pPr>
          </w:p>
        </w:tc>
        <w:tc>
          <w:tcPr>
            <w:tcW w:w="1520" w:type="dxa"/>
            <w:noWrap w:val="0"/>
            <w:vAlign w:val="center"/>
          </w:tcPr>
          <w:p>
            <w:pPr>
              <w:jc w:val="center"/>
              <w:rPr>
                <w:rFonts w:hint="eastAsia" w:ascii="方正仿宋_GBK" w:hAnsi="方正仿宋_GBK" w:eastAsia="方正仿宋_GBK" w:cs="方正仿宋_GBK"/>
                <w:i w:val="0"/>
                <w:color w:val="auto"/>
                <w:sz w:val="24"/>
                <w:szCs w:val="24"/>
                <w:highlight w:val="none"/>
                <w:u w:val="none"/>
              </w:rPr>
            </w:pPr>
          </w:p>
        </w:tc>
        <w:tc>
          <w:tcPr>
            <w:tcW w:w="3601" w:type="dxa"/>
            <w:gridSpan w:val="2"/>
            <w:tcBorders>
              <w:bottom w:val="single" w:color="000000" w:sz="4" w:space="0"/>
            </w:tcBorders>
            <w:noWrap w:val="0"/>
            <w:vAlign w:val="center"/>
          </w:tcPr>
          <w:p>
            <w:pPr>
              <w:keepNext w:val="0"/>
              <w:keepLines w:val="0"/>
              <w:widowControl/>
              <w:suppressLineNumbers w:val="0"/>
              <w:jc w:val="right"/>
              <w:textAlignment w:val="center"/>
              <w:rPr>
                <w:rFonts w:ascii="方正楷体_GBK" w:hAnsi="方正楷体_GBK" w:eastAsia="方正楷体_GBK" w:cs="方正楷体_GBK"/>
                <w:i w:val="0"/>
                <w:color w:val="auto"/>
                <w:sz w:val="24"/>
                <w:szCs w:val="24"/>
                <w:highlight w:val="none"/>
                <w:u w:val="none"/>
              </w:rPr>
            </w:pPr>
            <w:r>
              <w:rPr>
                <w:rFonts w:hint="eastAsia" w:ascii="方正楷体_GBK" w:hAnsi="方正楷体_GBK" w:eastAsia="方正楷体_GBK" w:cs="方正楷体_GBK"/>
                <w:i w:val="0"/>
                <w:color w:val="auto"/>
                <w:kern w:val="0"/>
                <w:sz w:val="24"/>
                <w:szCs w:val="24"/>
                <w:highlight w:val="none"/>
                <w:u w:val="none"/>
                <w:lang w:val="en-US" w:eastAsia="zh-CN" w:bidi="ar-SA"/>
              </w:rPr>
              <w:t>单位：元/亩、元/头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SA"/>
              </w:rPr>
              <w:t>险种</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SA"/>
              </w:rPr>
              <w:t>保险金额</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SA"/>
              </w:rPr>
              <w:t>费率</w:t>
            </w:r>
          </w:p>
        </w:tc>
        <w:tc>
          <w:tcPr>
            <w:tcW w:w="2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8"/>
                <w:szCs w:val="28"/>
                <w:highlight w:val="none"/>
                <w:u w:val="none"/>
              </w:rPr>
            </w:pPr>
            <w:r>
              <w:rPr>
                <w:rFonts w:hint="eastAsia" w:ascii="方正黑体_GBK" w:hAnsi="方正黑体_GBK" w:eastAsia="方正黑体_GBK" w:cs="方正黑体_GBK"/>
                <w:i w:val="0"/>
                <w:color w:val="auto"/>
                <w:kern w:val="0"/>
                <w:sz w:val="28"/>
                <w:szCs w:val="28"/>
                <w:highlight w:val="none"/>
                <w:u w:val="none"/>
                <w:lang w:val="en-US" w:eastAsia="zh-CN" w:bidi="ar-SA"/>
              </w:rPr>
              <w:t>保费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auto"/>
                <w:sz w:val="24"/>
                <w:szCs w:val="24"/>
                <w:highlight w:val="none"/>
                <w:u w:val="none"/>
              </w:rPr>
            </w:pPr>
            <w:r>
              <w:rPr>
                <w:rFonts w:hint="eastAsia" w:ascii="方正仿宋_GBK" w:hAnsi="方正仿宋_GBK" w:eastAsia="方正仿宋_GBK" w:cs="方正仿宋_GBK"/>
                <w:b/>
                <w:i w:val="0"/>
                <w:color w:val="auto"/>
                <w:kern w:val="0"/>
                <w:sz w:val="24"/>
                <w:szCs w:val="24"/>
                <w:highlight w:val="none"/>
                <w:u w:val="none"/>
                <w:lang w:val="en-US" w:eastAsia="zh-CN" w:bidi="ar-SA"/>
              </w:rPr>
              <w:t>一、中央补贴险种</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auto"/>
                <w:sz w:val="28"/>
                <w:szCs w:val="28"/>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auto"/>
                <w:sz w:val="28"/>
                <w:szCs w:val="28"/>
                <w:highlight w:val="none"/>
                <w:u w:val="none"/>
              </w:rPr>
            </w:pPr>
          </w:p>
        </w:tc>
        <w:tc>
          <w:tcPr>
            <w:tcW w:w="26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黑体_GBK" w:hAnsi="方正黑体_GBK" w:eastAsia="方正黑体_GBK" w:cs="方正黑体_GBK"/>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auto"/>
                <w:sz w:val="24"/>
                <w:szCs w:val="24"/>
                <w:highlight w:val="none"/>
                <w:u w:val="none"/>
              </w:rPr>
            </w:pPr>
            <w:r>
              <w:rPr>
                <w:rFonts w:hint="eastAsia" w:ascii="方正楷体_GBK" w:hAnsi="方正楷体_GBK" w:eastAsia="方正楷体_GBK" w:cs="方正楷体_GBK"/>
                <w:b/>
                <w:i w:val="0"/>
                <w:color w:val="auto"/>
                <w:kern w:val="0"/>
                <w:sz w:val="24"/>
                <w:szCs w:val="24"/>
                <w:highlight w:val="none"/>
                <w:u w:val="none"/>
                <w:lang w:val="en-US" w:eastAsia="zh-CN" w:bidi="ar-SA"/>
              </w:rPr>
              <w:t>（一）种植业</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auto"/>
                <w:sz w:val="24"/>
                <w:szCs w:val="24"/>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auto"/>
                <w:sz w:val="24"/>
                <w:szCs w:val="24"/>
                <w:highlight w:val="none"/>
                <w:u w:val="none"/>
              </w:rPr>
            </w:pPr>
          </w:p>
        </w:tc>
        <w:tc>
          <w:tcPr>
            <w:tcW w:w="265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SA"/>
              </w:rPr>
              <w:t xml:space="preserve">  </w:t>
            </w:r>
            <w:r>
              <w:rPr>
                <w:rFonts w:hint="default" w:ascii="Times New Roman" w:hAnsi="Times New Roman" w:eastAsia="方正仿宋_GBK" w:cs="Times New Roman"/>
                <w:i w:val="0"/>
                <w:color w:val="auto"/>
                <w:kern w:val="0"/>
                <w:sz w:val="24"/>
                <w:szCs w:val="24"/>
                <w:highlight w:val="none"/>
                <w:u w:val="none"/>
                <w:lang w:val="en-US" w:eastAsia="zh-CN" w:bidi="ar-SA"/>
              </w:rPr>
              <w:t>1</w:t>
            </w:r>
            <w:r>
              <w:rPr>
                <w:rFonts w:hint="eastAsia" w:ascii="方正仿宋_GBK" w:hAnsi="方正仿宋_GBK" w:eastAsia="方正仿宋_GBK" w:cs="方正仿宋_GBK"/>
                <w:i w:val="0"/>
                <w:color w:val="auto"/>
                <w:kern w:val="0"/>
                <w:sz w:val="24"/>
                <w:szCs w:val="24"/>
                <w:highlight w:val="none"/>
                <w:u w:val="none"/>
                <w:lang w:val="en-US" w:eastAsia="zh-CN" w:bidi="ar-SA"/>
              </w:rPr>
              <w:t>.稻谷</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600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6%</w:t>
            </w:r>
          </w:p>
        </w:tc>
        <w:tc>
          <w:tcPr>
            <w:tcW w:w="2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SA"/>
              </w:rPr>
              <w:t xml:space="preserve">  </w:t>
            </w:r>
            <w:r>
              <w:rPr>
                <w:rFonts w:hint="default" w:ascii="Times New Roman" w:hAnsi="Times New Roman" w:eastAsia="方正仿宋_GBK" w:cs="Times New Roman"/>
                <w:i w:val="0"/>
                <w:color w:val="auto"/>
                <w:kern w:val="0"/>
                <w:sz w:val="24"/>
                <w:szCs w:val="24"/>
                <w:highlight w:val="none"/>
                <w:u w:val="none"/>
                <w:lang w:val="en-US" w:eastAsia="zh-CN" w:bidi="ar-SA"/>
              </w:rPr>
              <w:t>2</w:t>
            </w:r>
            <w:r>
              <w:rPr>
                <w:rFonts w:hint="eastAsia" w:ascii="方正仿宋_GBK" w:hAnsi="方正仿宋_GBK" w:eastAsia="方正仿宋_GBK" w:cs="方正仿宋_GBK"/>
                <w:i w:val="0"/>
                <w:color w:val="auto"/>
                <w:kern w:val="0"/>
                <w:sz w:val="24"/>
                <w:szCs w:val="24"/>
                <w:highlight w:val="none"/>
                <w:u w:val="none"/>
                <w:lang w:val="en-US" w:eastAsia="zh-CN" w:bidi="ar-SA"/>
              </w:rPr>
              <w:t>.小麦</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600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6%</w:t>
            </w:r>
          </w:p>
        </w:tc>
        <w:tc>
          <w:tcPr>
            <w:tcW w:w="2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SA"/>
              </w:rPr>
              <w:t xml:space="preserve">  </w:t>
            </w:r>
            <w:r>
              <w:rPr>
                <w:rFonts w:hint="default" w:ascii="Times New Roman" w:hAnsi="Times New Roman" w:eastAsia="方正仿宋_GBK" w:cs="Times New Roman"/>
                <w:i w:val="0"/>
                <w:color w:val="auto"/>
                <w:kern w:val="0"/>
                <w:sz w:val="24"/>
                <w:szCs w:val="24"/>
                <w:highlight w:val="none"/>
                <w:u w:val="none"/>
                <w:lang w:val="en-US" w:eastAsia="zh-CN" w:bidi="ar-SA"/>
              </w:rPr>
              <w:t>3</w:t>
            </w:r>
            <w:r>
              <w:rPr>
                <w:rFonts w:hint="eastAsia" w:ascii="方正仿宋_GBK" w:hAnsi="方正仿宋_GBK" w:eastAsia="方正仿宋_GBK" w:cs="方正仿宋_GBK"/>
                <w:i w:val="0"/>
                <w:color w:val="auto"/>
                <w:kern w:val="0"/>
                <w:sz w:val="24"/>
                <w:szCs w:val="24"/>
                <w:highlight w:val="none"/>
                <w:u w:val="none"/>
                <w:lang w:val="en-US" w:eastAsia="zh-CN" w:bidi="ar-SA"/>
              </w:rPr>
              <w:t>.玉米</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600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6%</w:t>
            </w:r>
          </w:p>
        </w:tc>
        <w:tc>
          <w:tcPr>
            <w:tcW w:w="2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SA"/>
              </w:rPr>
              <w:t xml:space="preserve">  </w:t>
            </w:r>
            <w:r>
              <w:rPr>
                <w:rFonts w:hint="default" w:ascii="Times New Roman" w:hAnsi="Times New Roman" w:eastAsia="方正仿宋_GBK" w:cs="Times New Roman"/>
                <w:i w:val="0"/>
                <w:color w:val="auto"/>
                <w:kern w:val="0"/>
                <w:sz w:val="24"/>
                <w:szCs w:val="24"/>
                <w:highlight w:val="none"/>
                <w:u w:val="none"/>
                <w:lang w:val="en-US" w:eastAsia="zh-CN" w:bidi="ar-SA"/>
              </w:rPr>
              <w:t>4</w:t>
            </w:r>
            <w:r>
              <w:rPr>
                <w:rFonts w:hint="eastAsia" w:ascii="方正仿宋_GBK" w:hAnsi="方正仿宋_GBK" w:eastAsia="方正仿宋_GBK" w:cs="方正仿宋_GBK"/>
                <w:i w:val="0"/>
                <w:color w:val="auto"/>
                <w:kern w:val="0"/>
                <w:sz w:val="24"/>
                <w:szCs w:val="24"/>
                <w:highlight w:val="none"/>
                <w:u w:val="none"/>
                <w:lang w:val="en-US" w:eastAsia="zh-CN" w:bidi="ar-SA"/>
              </w:rPr>
              <w:t>.油菜</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600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5%</w:t>
            </w:r>
          </w:p>
        </w:tc>
        <w:tc>
          <w:tcPr>
            <w:tcW w:w="2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SA"/>
              </w:rPr>
              <w:t xml:space="preserve">  </w:t>
            </w:r>
            <w:r>
              <w:rPr>
                <w:rFonts w:hint="default" w:ascii="Times New Roman" w:hAnsi="Times New Roman" w:eastAsia="方正仿宋_GBK" w:cs="Times New Roman"/>
                <w:i w:val="0"/>
                <w:color w:val="auto"/>
                <w:kern w:val="0"/>
                <w:sz w:val="24"/>
                <w:szCs w:val="24"/>
                <w:highlight w:val="none"/>
                <w:u w:val="none"/>
                <w:lang w:val="en-US" w:eastAsia="zh-CN" w:bidi="ar-SA"/>
              </w:rPr>
              <w:t>5</w:t>
            </w:r>
            <w:r>
              <w:rPr>
                <w:rFonts w:hint="eastAsia" w:ascii="方正仿宋_GBK" w:hAnsi="方正仿宋_GBK" w:eastAsia="方正仿宋_GBK" w:cs="方正仿宋_GBK"/>
                <w:i w:val="0"/>
                <w:color w:val="auto"/>
                <w:kern w:val="0"/>
                <w:sz w:val="24"/>
                <w:szCs w:val="24"/>
                <w:highlight w:val="none"/>
                <w:u w:val="none"/>
                <w:lang w:val="en-US" w:eastAsia="zh-CN" w:bidi="ar-SA"/>
              </w:rPr>
              <w:t>.大豆</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500</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5%</w:t>
            </w:r>
          </w:p>
        </w:tc>
        <w:tc>
          <w:tcPr>
            <w:tcW w:w="2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SA"/>
              </w:rPr>
              <w:t xml:space="preserve">  </w:t>
            </w:r>
            <w:r>
              <w:rPr>
                <w:rFonts w:hint="default" w:ascii="Times New Roman" w:hAnsi="Times New Roman" w:eastAsia="方正仿宋_GBK" w:cs="Times New Roman"/>
                <w:i w:val="0"/>
                <w:color w:val="auto"/>
                <w:kern w:val="0"/>
                <w:sz w:val="24"/>
                <w:szCs w:val="24"/>
                <w:highlight w:val="none"/>
                <w:u w:val="none"/>
                <w:lang w:val="en-US" w:eastAsia="zh-CN" w:bidi="ar-SA"/>
              </w:rPr>
              <w:t>6</w:t>
            </w:r>
            <w:r>
              <w:rPr>
                <w:rFonts w:hint="eastAsia" w:ascii="方正仿宋_GBK" w:hAnsi="方正仿宋_GBK" w:eastAsia="方正仿宋_GBK" w:cs="方正仿宋_GBK"/>
                <w:i w:val="0"/>
                <w:color w:val="auto"/>
                <w:kern w:val="0"/>
                <w:sz w:val="24"/>
                <w:szCs w:val="24"/>
                <w:highlight w:val="none"/>
                <w:u w:val="none"/>
                <w:lang w:val="en-US" w:eastAsia="zh-CN" w:bidi="ar-SA"/>
              </w:rPr>
              <w:t>.马铃薯</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600</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5%</w:t>
            </w:r>
          </w:p>
        </w:tc>
        <w:tc>
          <w:tcPr>
            <w:tcW w:w="2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SA"/>
              </w:rPr>
              <w:t xml:space="preserve">  </w:t>
            </w:r>
            <w:r>
              <w:rPr>
                <w:rFonts w:hint="default" w:ascii="Times New Roman" w:hAnsi="Times New Roman" w:eastAsia="方正仿宋_GBK" w:cs="Times New Roman"/>
                <w:i w:val="0"/>
                <w:color w:val="auto"/>
                <w:kern w:val="0"/>
                <w:sz w:val="24"/>
                <w:szCs w:val="24"/>
                <w:highlight w:val="none"/>
                <w:u w:val="none"/>
                <w:lang w:val="en-US" w:eastAsia="zh-CN" w:bidi="ar-SA"/>
              </w:rPr>
              <w:t>7</w:t>
            </w:r>
            <w:r>
              <w:rPr>
                <w:rFonts w:hint="eastAsia" w:ascii="方正仿宋_GBK" w:hAnsi="方正仿宋_GBK" w:eastAsia="方正仿宋_GBK" w:cs="方正仿宋_GBK"/>
                <w:i w:val="0"/>
                <w:color w:val="auto"/>
                <w:kern w:val="0"/>
                <w:sz w:val="24"/>
                <w:szCs w:val="24"/>
                <w:highlight w:val="none"/>
                <w:u w:val="none"/>
                <w:lang w:val="en-US" w:eastAsia="zh-CN" w:bidi="ar-SA"/>
              </w:rPr>
              <w:t>.稻谷制种</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2000</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8%</w:t>
            </w:r>
          </w:p>
        </w:tc>
        <w:tc>
          <w:tcPr>
            <w:tcW w:w="2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SA"/>
              </w:rPr>
              <w:t xml:space="preserve">  </w:t>
            </w:r>
            <w:r>
              <w:rPr>
                <w:rFonts w:hint="default" w:ascii="Times New Roman" w:hAnsi="Times New Roman" w:eastAsia="方正仿宋_GBK" w:cs="Times New Roman"/>
                <w:i w:val="0"/>
                <w:color w:val="auto"/>
                <w:kern w:val="0"/>
                <w:sz w:val="24"/>
                <w:szCs w:val="24"/>
                <w:highlight w:val="none"/>
                <w:u w:val="none"/>
                <w:lang w:val="en-US" w:eastAsia="zh-CN" w:bidi="ar-SA"/>
              </w:rPr>
              <w:t>8</w:t>
            </w:r>
            <w:r>
              <w:rPr>
                <w:rFonts w:hint="eastAsia" w:ascii="方正仿宋_GBK" w:hAnsi="方正仿宋_GBK" w:eastAsia="方正仿宋_GBK" w:cs="方正仿宋_GBK"/>
                <w:i w:val="0"/>
                <w:color w:val="auto"/>
                <w:kern w:val="0"/>
                <w:sz w:val="24"/>
                <w:szCs w:val="24"/>
                <w:highlight w:val="none"/>
                <w:u w:val="none"/>
                <w:lang w:val="en-US" w:eastAsia="zh-CN" w:bidi="ar-SA"/>
              </w:rPr>
              <w:t>.玉米制种</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2000</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8%</w:t>
            </w:r>
          </w:p>
        </w:tc>
        <w:tc>
          <w:tcPr>
            <w:tcW w:w="2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SA"/>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auto"/>
                <w:sz w:val="24"/>
                <w:szCs w:val="24"/>
                <w:highlight w:val="none"/>
                <w:u w:val="none"/>
              </w:rPr>
            </w:pPr>
            <w:r>
              <w:rPr>
                <w:rFonts w:hint="eastAsia" w:ascii="方正楷体_GBK" w:hAnsi="方正楷体_GBK" w:eastAsia="方正楷体_GBK" w:cs="方正楷体_GBK"/>
                <w:b/>
                <w:i w:val="0"/>
                <w:color w:val="auto"/>
                <w:kern w:val="0"/>
                <w:sz w:val="24"/>
                <w:szCs w:val="24"/>
                <w:highlight w:val="none"/>
                <w:u w:val="none"/>
                <w:lang w:val="en-US" w:eastAsia="zh-CN" w:bidi="ar-SA"/>
              </w:rPr>
              <w:t>（二）养殖业</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4"/>
                <w:szCs w:val="24"/>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4"/>
                <w:szCs w:val="24"/>
                <w:highlight w:val="none"/>
                <w:u w:val="none"/>
              </w:rPr>
            </w:pPr>
          </w:p>
        </w:tc>
        <w:tc>
          <w:tcPr>
            <w:tcW w:w="2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SA"/>
              </w:rPr>
              <w:t xml:space="preserve">  </w:t>
            </w:r>
            <w:r>
              <w:rPr>
                <w:rFonts w:hint="default" w:ascii="Times New Roman" w:hAnsi="Times New Roman" w:eastAsia="方正仿宋_GBK" w:cs="Times New Roman"/>
                <w:i w:val="0"/>
                <w:color w:val="auto"/>
                <w:kern w:val="0"/>
                <w:sz w:val="24"/>
                <w:szCs w:val="24"/>
                <w:highlight w:val="none"/>
                <w:u w:val="none"/>
                <w:lang w:val="en-US" w:eastAsia="zh-CN" w:bidi="ar-SA"/>
              </w:rPr>
              <w:t>9</w:t>
            </w:r>
            <w:r>
              <w:rPr>
                <w:rFonts w:hint="eastAsia" w:ascii="方正仿宋_GBK" w:hAnsi="方正仿宋_GBK" w:eastAsia="方正仿宋_GBK" w:cs="方正仿宋_GBK"/>
                <w:i w:val="0"/>
                <w:color w:val="auto"/>
                <w:kern w:val="0"/>
                <w:sz w:val="24"/>
                <w:szCs w:val="24"/>
                <w:highlight w:val="none"/>
                <w:u w:val="none"/>
                <w:lang w:val="en-US" w:eastAsia="zh-CN" w:bidi="ar-SA"/>
              </w:rPr>
              <w:t>.能繁母猪</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2000</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6</w:t>
            </w:r>
            <w:r>
              <w:rPr>
                <w:rFonts w:hint="eastAsia" w:ascii="Times New Roman" w:hAnsi="Times New Roman" w:eastAsia="方正仿宋_GBK" w:cs="Times New Roman"/>
                <w:i w:val="0"/>
                <w:color w:val="auto"/>
                <w:kern w:val="0"/>
                <w:sz w:val="24"/>
                <w:szCs w:val="24"/>
                <w:highlight w:val="none"/>
                <w:u w:val="none"/>
                <w:lang w:val="en-US" w:eastAsia="zh-CN" w:bidi="ar-SA"/>
              </w:rPr>
              <w:t>%</w:t>
            </w:r>
          </w:p>
        </w:tc>
        <w:tc>
          <w:tcPr>
            <w:tcW w:w="2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SA"/>
              </w:rPr>
              <w:t xml:space="preserve">  </w:t>
            </w:r>
            <w:r>
              <w:rPr>
                <w:rFonts w:hint="default" w:ascii="Times New Roman" w:hAnsi="Times New Roman" w:eastAsia="方正仿宋_GBK" w:cs="Times New Roman"/>
                <w:i w:val="0"/>
                <w:color w:val="auto"/>
                <w:kern w:val="0"/>
                <w:sz w:val="24"/>
                <w:szCs w:val="24"/>
                <w:highlight w:val="none"/>
                <w:u w:val="none"/>
                <w:lang w:val="en-US" w:eastAsia="zh-CN" w:bidi="ar-SA"/>
              </w:rPr>
              <w:t>10</w:t>
            </w:r>
            <w:r>
              <w:rPr>
                <w:rFonts w:hint="eastAsia" w:ascii="方正仿宋_GBK" w:hAnsi="方正仿宋_GBK" w:eastAsia="方正仿宋_GBK" w:cs="方正仿宋_GBK"/>
                <w:i w:val="0"/>
                <w:color w:val="auto"/>
                <w:kern w:val="0"/>
                <w:sz w:val="24"/>
                <w:szCs w:val="24"/>
                <w:highlight w:val="none"/>
                <w:u w:val="none"/>
                <w:lang w:val="en-US" w:eastAsia="zh-CN" w:bidi="ar-SA"/>
              </w:rPr>
              <w:t>.育肥猪</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1000</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6</w:t>
            </w:r>
            <w:r>
              <w:rPr>
                <w:rFonts w:hint="eastAsia" w:ascii="Times New Roman" w:hAnsi="Times New Roman" w:eastAsia="方正仿宋_GBK" w:cs="Times New Roman"/>
                <w:i w:val="0"/>
                <w:color w:val="auto"/>
                <w:kern w:val="0"/>
                <w:sz w:val="24"/>
                <w:szCs w:val="24"/>
                <w:highlight w:val="none"/>
                <w:u w:val="none"/>
                <w:lang w:val="en-US" w:eastAsia="zh-CN" w:bidi="ar-SA"/>
              </w:rPr>
              <w:t>%</w:t>
            </w:r>
          </w:p>
        </w:tc>
        <w:tc>
          <w:tcPr>
            <w:tcW w:w="2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SA"/>
              </w:rPr>
              <w:t xml:space="preserve">  </w:t>
            </w:r>
            <w:r>
              <w:rPr>
                <w:rFonts w:hint="default" w:ascii="Times New Roman" w:hAnsi="Times New Roman" w:eastAsia="方正仿宋_GBK" w:cs="Times New Roman"/>
                <w:i w:val="0"/>
                <w:color w:val="auto"/>
                <w:kern w:val="0"/>
                <w:sz w:val="24"/>
                <w:szCs w:val="24"/>
                <w:highlight w:val="none"/>
                <w:u w:val="none"/>
                <w:lang w:val="en-US" w:eastAsia="zh-CN" w:bidi="ar-SA"/>
              </w:rPr>
              <w:t>11</w:t>
            </w:r>
            <w:r>
              <w:rPr>
                <w:rFonts w:hint="eastAsia" w:ascii="方正仿宋_GBK" w:hAnsi="方正仿宋_GBK" w:eastAsia="方正仿宋_GBK" w:cs="方正仿宋_GBK"/>
                <w:i w:val="0"/>
                <w:color w:val="auto"/>
                <w:kern w:val="0"/>
                <w:sz w:val="24"/>
                <w:szCs w:val="24"/>
                <w:highlight w:val="none"/>
                <w:u w:val="none"/>
                <w:lang w:val="en-US" w:eastAsia="zh-CN" w:bidi="ar-SA"/>
              </w:rPr>
              <w:t>.奶牛</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15000</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5</w:t>
            </w:r>
            <w:r>
              <w:rPr>
                <w:rFonts w:hint="eastAsia" w:ascii="Times New Roman" w:hAnsi="Times New Roman" w:eastAsia="方正仿宋_GBK" w:cs="Times New Roman"/>
                <w:i w:val="0"/>
                <w:color w:val="auto"/>
                <w:kern w:val="0"/>
                <w:sz w:val="24"/>
                <w:szCs w:val="24"/>
                <w:highlight w:val="none"/>
                <w:u w:val="none"/>
                <w:lang w:val="en-US" w:eastAsia="zh-CN" w:bidi="ar-SA"/>
              </w:rPr>
              <w:t>%</w:t>
            </w:r>
          </w:p>
        </w:tc>
        <w:tc>
          <w:tcPr>
            <w:tcW w:w="2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auto"/>
                <w:sz w:val="24"/>
                <w:szCs w:val="24"/>
                <w:highlight w:val="none"/>
                <w:u w:val="none"/>
              </w:rPr>
            </w:pPr>
            <w:r>
              <w:rPr>
                <w:rFonts w:hint="eastAsia" w:ascii="方正楷体_GBK" w:hAnsi="方正楷体_GBK" w:eastAsia="方正楷体_GBK" w:cs="方正楷体_GBK"/>
                <w:b/>
                <w:i w:val="0"/>
                <w:color w:val="auto"/>
                <w:kern w:val="0"/>
                <w:sz w:val="24"/>
                <w:szCs w:val="24"/>
                <w:highlight w:val="none"/>
                <w:u w:val="none"/>
                <w:lang w:val="en-US" w:eastAsia="zh-CN" w:bidi="ar-SA"/>
              </w:rPr>
              <w:t>（三）林业</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4"/>
                <w:szCs w:val="24"/>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4"/>
                <w:szCs w:val="24"/>
                <w:highlight w:val="none"/>
                <w:u w:val="none"/>
              </w:rPr>
            </w:pPr>
          </w:p>
        </w:tc>
        <w:tc>
          <w:tcPr>
            <w:tcW w:w="2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highlight w:val="none"/>
                <w:u w:val="none"/>
                <w:lang w:val="en-US" w:eastAsia="zh-CN" w:bidi="ar-SA"/>
              </w:rPr>
            </w:pPr>
            <w:r>
              <w:rPr>
                <w:rFonts w:hint="eastAsia" w:ascii="方正仿宋_GBK" w:hAnsi="方正仿宋_GBK" w:eastAsia="方正仿宋_GBK" w:cs="方正仿宋_GBK"/>
                <w:i w:val="0"/>
                <w:color w:val="auto"/>
                <w:kern w:val="0"/>
                <w:sz w:val="24"/>
                <w:szCs w:val="24"/>
                <w:highlight w:val="none"/>
                <w:u w:val="none"/>
                <w:lang w:val="en-US" w:eastAsia="zh-CN" w:bidi="ar-SA"/>
              </w:rPr>
              <w:t xml:space="preserve">  </w:t>
            </w:r>
            <w:r>
              <w:rPr>
                <w:rFonts w:hint="default" w:ascii="Times New Roman" w:hAnsi="Times New Roman" w:eastAsia="方正仿宋_GBK" w:cs="Times New Roman"/>
                <w:i w:val="0"/>
                <w:color w:val="auto"/>
                <w:kern w:val="0"/>
                <w:sz w:val="24"/>
                <w:szCs w:val="24"/>
                <w:highlight w:val="none"/>
                <w:u w:val="none"/>
                <w:lang w:val="en-US" w:eastAsia="zh-CN" w:bidi="ar-SA"/>
              </w:rPr>
              <w:t>12</w:t>
            </w:r>
            <w:r>
              <w:rPr>
                <w:rFonts w:hint="eastAsia" w:ascii="方正仿宋_GBK" w:hAnsi="方正仿宋_GBK" w:eastAsia="方正仿宋_GBK" w:cs="方正仿宋_GBK"/>
                <w:i w:val="0"/>
                <w:color w:val="auto"/>
                <w:kern w:val="0"/>
                <w:sz w:val="24"/>
                <w:szCs w:val="24"/>
                <w:highlight w:val="none"/>
                <w:u w:val="none"/>
                <w:lang w:val="en-US" w:eastAsia="zh-CN" w:bidi="ar-SA"/>
              </w:rPr>
              <w:t>.公益林</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800</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1</w:t>
            </w:r>
            <w:r>
              <w:rPr>
                <w:rFonts w:hint="eastAsia" w:ascii="Times New Roman" w:hAnsi="Times New Roman" w:eastAsia="方正仿宋_GBK" w:cs="Times New Roman"/>
                <w:i w:val="0"/>
                <w:color w:val="auto"/>
                <w:kern w:val="0"/>
                <w:sz w:val="24"/>
                <w:szCs w:val="24"/>
                <w:highlight w:val="none"/>
                <w:u w:val="none"/>
                <w:lang w:val="en-US" w:eastAsia="zh-CN" w:bidi="ar-SA"/>
              </w:rPr>
              <w:t>.</w:t>
            </w:r>
            <w:r>
              <w:rPr>
                <w:rFonts w:hint="default" w:ascii="Times New Roman" w:hAnsi="Times New Roman" w:eastAsia="方正仿宋_GBK" w:cs="Times New Roman"/>
                <w:i w:val="0"/>
                <w:color w:val="auto"/>
                <w:kern w:val="0"/>
                <w:sz w:val="24"/>
                <w:szCs w:val="24"/>
                <w:highlight w:val="none"/>
                <w:u w:val="none"/>
                <w:lang w:val="en-US" w:eastAsia="zh-CN" w:bidi="ar-SA"/>
              </w:rPr>
              <w:t>25</w:t>
            </w:r>
            <w:r>
              <w:rPr>
                <w:rFonts w:hint="eastAsia" w:ascii="Times New Roman" w:hAnsi="Times New Roman" w:eastAsia="方正仿宋_GBK" w:cs="Times New Roman"/>
                <w:i w:val="0"/>
                <w:color w:val="auto"/>
                <w:kern w:val="0"/>
                <w:sz w:val="24"/>
                <w:szCs w:val="24"/>
                <w:highlight w:val="none"/>
                <w:u w:val="none"/>
                <w:lang w:val="en-US" w:eastAsia="zh-CN" w:bidi="ar-SA"/>
              </w:rPr>
              <w:t>‰</w:t>
            </w:r>
          </w:p>
        </w:tc>
        <w:tc>
          <w:tcPr>
            <w:tcW w:w="2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highlight w:val="none"/>
                <w:u w:val="none"/>
                <w:lang w:val="en-US" w:eastAsia="zh-CN" w:bidi="ar-SA"/>
              </w:rPr>
            </w:pPr>
            <w:r>
              <w:rPr>
                <w:rFonts w:hint="eastAsia" w:ascii="方正仿宋_GBK" w:hAnsi="方正仿宋_GBK" w:eastAsia="方正仿宋_GBK" w:cs="方正仿宋_GBK"/>
                <w:i w:val="0"/>
                <w:color w:val="auto"/>
                <w:kern w:val="0"/>
                <w:sz w:val="24"/>
                <w:szCs w:val="24"/>
                <w:highlight w:val="none"/>
                <w:u w:val="none"/>
                <w:lang w:val="en-US" w:eastAsia="zh-CN" w:bidi="ar-SA"/>
              </w:rPr>
              <w:t xml:space="preserve">  </w:t>
            </w:r>
            <w:r>
              <w:rPr>
                <w:rFonts w:hint="default" w:ascii="Times New Roman" w:hAnsi="Times New Roman" w:eastAsia="方正仿宋_GBK" w:cs="Times New Roman"/>
                <w:i w:val="0"/>
                <w:color w:val="auto"/>
                <w:kern w:val="0"/>
                <w:sz w:val="24"/>
                <w:szCs w:val="24"/>
                <w:highlight w:val="none"/>
                <w:u w:val="none"/>
                <w:lang w:val="en-US" w:eastAsia="zh-CN" w:bidi="ar-SA"/>
              </w:rPr>
              <w:t>13</w:t>
            </w:r>
            <w:r>
              <w:rPr>
                <w:rFonts w:hint="eastAsia" w:ascii="方正仿宋_GBK" w:hAnsi="方正仿宋_GBK" w:eastAsia="方正仿宋_GBK" w:cs="方正仿宋_GBK"/>
                <w:i w:val="0"/>
                <w:color w:val="auto"/>
                <w:kern w:val="0"/>
                <w:sz w:val="24"/>
                <w:szCs w:val="24"/>
                <w:highlight w:val="none"/>
                <w:u w:val="none"/>
                <w:lang w:val="en-US" w:eastAsia="zh-CN" w:bidi="ar-SA"/>
              </w:rPr>
              <w:t>.商品林</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800</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3</w:t>
            </w:r>
            <w:r>
              <w:rPr>
                <w:rFonts w:hint="eastAsia" w:ascii="Times New Roman" w:hAnsi="Times New Roman" w:eastAsia="方正仿宋_GBK" w:cs="Times New Roman"/>
                <w:i w:val="0"/>
                <w:color w:val="auto"/>
                <w:kern w:val="0"/>
                <w:sz w:val="24"/>
                <w:szCs w:val="24"/>
                <w:highlight w:val="none"/>
                <w:u w:val="none"/>
                <w:lang w:val="en-US" w:eastAsia="zh-CN" w:bidi="ar-SA"/>
              </w:rPr>
              <w:t>‰</w:t>
            </w:r>
          </w:p>
        </w:tc>
        <w:tc>
          <w:tcPr>
            <w:tcW w:w="2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2</w:t>
            </w:r>
            <w:r>
              <w:rPr>
                <w:rFonts w:hint="eastAsia" w:ascii="Times New Roman" w:hAnsi="Times New Roman" w:eastAsia="方正仿宋_GBK" w:cs="Times New Roman"/>
                <w:i w:val="0"/>
                <w:color w:val="auto"/>
                <w:kern w:val="0"/>
                <w:sz w:val="24"/>
                <w:szCs w:val="24"/>
                <w:highlight w:val="none"/>
                <w:u w:val="none"/>
                <w:lang w:val="en-US" w:eastAsia="zh-CN" w:bidi="ar-SA"/>
              </w:rPr>
              <w:t>.</w:t>
            </w:r>
            <w:r>
              <w:rPr>
                <w:rFonts w:hint="default" w:ascii="Times New Roman" w:hAnsi="Times New Roman" w:eastAsia="方正仿宋_GBK" w:cs="Times New Roman"/>
                <w:i w:val="0"/>
                <w:color w:val="auto"/>
                <w:kern w:val="0"/>
                <w:sz w:val="24"/>
                <w:szCs w:val="24"/>
                <w:highlight w:val="none"/>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auto"/>
                <w:sz w:val="24"/>
                <w:szCs w:val="24"/>
                <w:highlight w:val="none"/>
                <w:u w:val="none"/>
              </w:rPr>
            </w:pPr>
            <w:r>
              <w:rPr>
                <w:rFonts w:hint="eastAsia" w:ascii="方正仿宋_GBK" w:hAnsi="方正仿宋_GBK" w:eastAsia="方正仿宋_GBK" w:cs="方正仿宋_GBK"/>
                <w:b/>
                <w:i w:val="0"/>
                <w:color w:val="auto"/>
                <w:kern w:val="0"/>
                <w:sz w:val="24"/>
                <w:szCs w:val="24"/>
                <w:highlight w:val="none"/>
                <w:u w:val="none"/>
                <w:lang w:val="en-US" w:eastAsia="zh-CN" w:bidi="ar-SA"/>
              </w:rPr>
              <w:t>二、市级补贴险种</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4"/>
                <w:szCs w:val="24"/>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4"/>
                <w:szCs w:val="24"/>
                <w:highlight w:val="none"/>
                <w:u w:val="none"/>
              </w:rPr>
            </w:pPr>
          </w:p>
        </w:tc>
        <w:tc>
          <w:tcPr>
            <w:tcW w:w="2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2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highlight w:val="none"/>
                <w:u w:val="none"/>
                <w:lang w:val="en-US" w:eastAsia="zh-CN" w:bidi="ar-SA"/>
              </w:rPr>
            </w:pPr>
            <w:r>
              <w:rPr>
                <w:rFonts w:hint="eastAsia" w:ascii="方正仿宋_GBK" w:hAnsi="方正仿宋_GBK" w:eastAsia="方正仿宋_GBK" w:cs="方正仿宋_GBK"/>
                <w:i w:val="0"/>
                <w:color w:val="auto"/>
                <w:kern w:val="0"/>
                <w:sz w:val="24"/>
                <w:szCs w:val="24"/>
                <w:highlight w:val="none"/>
                <w:u w:val="none"/>
                <w:lang w:val="en-US" w:eastAsia="zh-CN" w:bidi="ar-SA"/>
              </w:rPr>
              <w:t xml:space="preserve">  </w:t>
            </w:r>
            <w:r>
              <w:rPr>
                <w:rFonts w:hint="default" w:ascii="Times New Roman" w:hAnsi="Times New Roman" w:eastAsia="方正仿宋_GBK" w:cs="Times New Roman"/>
                <w:i w:val="0"/>
                <w:color w:val="auto"/>
                <w:kern w:val="0"/>
                <w:sz w:val="24"/>
                <w:szCs w:val="24"/>
                <w:highlight w:val="none"/>
                <w:u w:val="none"/>
                <w:lang w:val="en-US" w:eastAsia="zh-CN" w:bidi="ar-SA"/>
              </w:rPr>
              <w:t>14</w:t>
            </w:r>
            <w:r>
              <w:rPr>
                <w:rFonts w:hint="eastAsia" w:ascii="方正仿宋_GBK" w:hAnsi="方正仿宋_GBK" w:eastAsia="方正仿宋_GBK" w:cs="方正仿宋_GBK"/>
                <w:i w:val="0"/>
                <w:color w:val="auto"/>
                <w:kern w:val="0"/>
                <w:sz w:val="24"/>
                <w:szCs w:val="24"/>
                <w:highlight w:val="none"/>
                <w:u w:val="none"/>
                <w:lang w:val="en-US" w:eastAsia="zh-CN" w:bidi="ar-SA"/>
              </w:rPr>
              <w:t>.柑橘成本保险</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1000</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2</w:t>
            </w:r>
            <w:r>
              <w:rPr>
                <w:rFonts w:hint="eastAsia" w:ascii="Times New Roman" w:hAnsi="Times New Roman" w:eastAsia="方正仿宋_GBK" w:cs="Times New Roman"/>
                <w:i w:val="0"/>
                <w:color w:val="auto"/>
                <w:kern w:val="0"/>
                <w:sz w:val="24"/>
                <w:szCs w:val="24"/>
                <w:highlight w:val="none"/>
                <w:u w:val="none"/>
                <w:lang w:val="en-US" w:eastAsia="zh-CN" w:bidi="ar-SA"/>
              </w:rPr>
              <w:t>%</w:t>
            </w:r>
          </w:p>
        </w:tc>
        <w:tc>
          <w:tcPr>
            <w:tcW w:w="2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2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highlight w:val="none"/>
                <w:u w:val="none"/>
                <w:lang w:val="en-US" w:eastAsia="zh-CN" w:bidi="ar-SA"/>
              </w:rPr>
            </w:pPr>
            <w:r>
              <w:rPr>
                <w:rFonts w:hint="eastAsia" w:ascii="方正仿宋_GBK" w:hAnsi="方正仿宋_GBK" w:eastAsia="方正仿宋_GBK" w:cs="方正仿宋_GBK"/>
                <w:i w:val="0"/>
                <w:color w:val="auto"/>
                <w:kern w:val="0"/>
                <w:sz w:val="24"/>
                <w:szCs w:val="24"/>
                <w:highlight w:val="none"/>
                <w:u w:val="none"/>
                <w:lang w:val="en-US" w:eastAsia="zh-CN" w:bidi="ar-SA"/>
              </w:rPr>
              <w:t xml:space="preserve">  </w:t>
            </w:r>
            <w:r>
              <w:rPr>
                <w:rFonts w:hint="default" w:ascii="Times New Roman" w:hAnsi="Times New Roman" w:eastAsia="方正仿宋_GBK" w:cs="Times New Roman"/>
                <w:i w:val="0"/>
                <w:color w:val="auto"/>
                <w:kern w:val="0"/>
                <w:sz w:val="24"/>
                <w:szCs w:val="24"/>
                <w:highlight w:val="none"/>
                <w:u w:val="none"/>
                <w:lang w:val="en-US" w:eastAsia="zh-CN" w:bidi="ar-SA"/>
              </w:rPr>
              <w:t>15</w:t>
            </w:r>
            <w:r>
              <w:rPr>
                <w:rFonts w:hint="eastAsia" w:ascii="方正仿宋_GBK" w:hAnsi="方正仿宋_GBK" w:eastAsia="方正仿宋_GBK" w:cs="方正仿宋_GBK"/>
                <w:i w:val="0"/>
                <w:color w:val="auto"/>
                <w:kern w:val="0"/>
                <w:sz w:val="24"/>
                <w:szCs w:val="24"/>
                <w:highlight w:val="none"/>
                <w:u w:val="none"/>
                <w:lang w:val="en-US" w:eastAsia="zh-CN" w:bidi="ar-SA"/>
              </w:rPr>
              <w:t>.生猪收益保险</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1400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5</w:t>
            </w:r>
            <w:r>
              <w:rPr>
                <w:rFonts w:hint="eastAsia" w:ascii="Times New Roman" w:hAnsi="Times New Roman" w:eastAsia="方正仿宋_GBK" w:cs="Times New Roman"/>
                <w:i w:val="0"/>
                <w:color w:val="auto"/>
                <w:kern w:val="0"/>
                <w:sz w:val="24"/>
                <w:szCs w:val="24"/>
                <w:highlight w:val="none"/>
                <w:u w:val="none"/>
                <w:lang w:val="en-US" w:eastAsia="zh-CN" w:bidi="ar-SA"/>
              </w:rPr>
              <w:t>.</w:t>
            </w:r>
            <w:r>
              <w:rPr>
                <w:rFonts w:hint="default" w:ascii="Times New Roman" w:hAnsi="Times New Roman" w:eastAsia="方正仿宋_GBK" w:cs="Times New Roman"/>
                <w:i w:val="0"/>
                <w:color w:val="auto"/>
                <w:kern w:val="0"/>
                <w:sz w:val="24"/>
                <w:szCs w:val="24"/>
                <w:highlight w:val="none"/>
                <w:u w:val="none"/>
                <w:lang w:val="en-US" w:eastAsia="zh-CN" w:bidi="ar-SA"/>
              </w:rPr>
              <w:t>5</w:t>
            </w:r>
            <w:r>
              <w:rPr>
                <w:rFonts w:hint="eastAsia" w:ascii="Times New Roman" w:hAnsi="Times New Roman" w:eastAsia="方正仿宋_GBK" w:cs="Times New Roman"/>
                <w:i w:val="0"/>
                <w:color w:val="auto"/>
                <w:kern w:val="0"/>
                <w:sz w:val="24"/>
                <w:szCs w:val="24"/>
                <w:highlight w:val="none"/>
                <w:u w:val="none"/>
                <w:lang w:val="en-US" w:eastAsia="zh-CN" w:bidi="ar-SA"/>
              </w:rPr>
              <w:t>%</w:t>
            </w:r>
          </w:p>
        </w:tc>
        <w:tc>
          <w:tcPr>
            <w:tcW w:w="2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highlight w:val="none"/>
                <w:u w:val="none"/>
                <w:lang w:val="en-US" w:eastAsia="zh-CN" w:bidi="ar-SA"/>
              </w:rPr>
            </w:pPr>
            <w:r>
              <w:rPr>
                <w:rFonts w:hint="eastAsia" w:ascii="方正仿宋_GBK" w:hAnsi="方正仿宋_GBK" w:eastAsia="方正仿宋_GBK" w:cs="方正仿宋_GBK"/>
                <w:i w:val="0"/>
                <w:color w:val="auto"/>
                <w:kern w:val="0"/>
                <w:sz w:val="24"/>
                <w:szCs w:val="24"/>
                <w:highlight w:val="none"/>
                <w:u w:val="none"/>
                <w:lang w:val="en-US" w:eastAsia="zh-CN" w:bidi="ar-SA"/>
              </w:rPr>
              <w:t xml:space="preserve">  </w:t>
            </w:r>
            <w:r>
              <w:rPr>
                <w:rFonts w:hint="default" w:ascii="Times New Roman" w:hAnsi="Times New Roman" w:eastAsia="方正仿宋_GBK" w:cs="Times New Roman"/>
                <w:i w:val="0"/>
                <w:color w:val="auto"/>
                <w:kern w:val="0"/>
                <w:sz w:val="24"/>
                <w:szCs w:val="24"/>
                <w:highlight w:val="none"/>
                <w:u w:val="none"/>
                <w:lang w:val="en-US" w:eastAsia="zh-CN" w:bidi="ar-SA"/>
              </w:rPr>
              <w:t>16</w:t>
            </w:r>
            <w:r>
              <w:rPr>
                <w:rFonts w:hint="eastAsia" w:ascii="方正仿宋_GBK" w:hAnsi="方正仿宋_GBK" w:eastAsia="方正仿宋_GBK" w:cs="方正仿宋_GBK"/>
                <w:i w:val="0"/>
                <w:color w:val="auto"/>
                <w:kern w:val="0"/>
                <w:sz w:val="24"/>
                <w:szCs w:val="24"/>
                <w:highlight w:val="none"/>
                <w:u w:val="none"/>
                <w:lang w:val="en-US" w:eastAsia="zh-CN" w:bidi="ar-SA"/>
              </w:rPr>
              <w:t>.稻谷完全成本补充保险</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500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2</w:t>
            </w:r>
            <w:r>
              <w:rPr>
                <w:rFonts w:hint="eastAsia" w:ascii="Times New Roman" w:hAnsi="Times New Roman" w:eastAsia="方正仿宋_GBK" w:cs="Times New Roman"/>
                <w:i w:val="0"/>
                <w:color w:val="auto"/>
                <w:kern w:val="0"/>
                <w:sz w:val="24"/>
                <w:szCs w:val="24"/>
                <w:highlight w:val="none"/>
                <w:u w:val="none"/>
                <w:lang w:val="en-US" w:eastAsia="zh-CN" w:bidi="ar-SA"/>
              </w:rPr>
              <w:t>.</w:t>
            </w:r>
            <w:r>
              <w:rPr>
                <w:rFonts w:hint="default" w:ascii="Times New Roman" w:hAnsi="Times New Roman" w:eastAsia="方正仿宋_GBK" w:cs="Times New Roman"/>
                <w:i w:val="0"/>
                <w:color w:val="auto"/>
                <w:kern w:val="0"/>
                <w:sz w:val="24"/>
                <w:szCs w:val="24"/>
                <w:highlight w:val="none"/>
                <w:u w:val="none"/>
                <w:lang w:val="en-US" w:eastAsia="zh-CN" w:bidi="ar-SA"/>
              </w:rPr>
              <w:t>7</w:t>
            </w:r>
            <w:r>
              <w:rPr>
                <w:rFonts w:hint="eastAsia" w:ascii="Times New Roman" w:hAnsi="Times New Roman" w:eastAsia="方正仿宋_GBK" w:cs="Times New Roman"/>
                <w:i w:val="0"/>
                <w:color w:val="auto"/>
                <w:kern w:val="0"/>
                <w:sz w:val="24"/>
                <w:szCs w:val="24"/>
                <w:highlight w:val="none"/>
                <w:u w:val="none"/>
                <w:lang w:val="en-US" w:eastAsia="zh-CN" w:bidi="ar-SA"/>
              </w:rPr>
              <w:t>%</w:t>
            </w:r>
          </w:p>
        </w:tc>
        <w:tc>
          <w:tcPr>
            <w:tcW w:w="2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13</w:t>
            </w:r>
            <w:r>
              <w:rPr>
                <w:rFonts w:hint="eastAsia" w:ascii="Times New Roman" w:hAnsi="Times New Roman" w:eastAsia="方正仿宋_GBK" w:cs="Times New Roman"/>
                <w:i w:val="0"/>
                <w:color w:val="auto"/>
                <w:kern w:val="0"/>
                <w:sz w:val="24"/>
                <w:szCs w:val="24"/>
                <w:highlight w:val="none"/>
                <w:u w:val="none"/>
                <w:lang w:val="en-US" w:eastAsia="zh-CN" w:bidi="ar-SA"/>
              </w:rPr>
              <w:t>.</w:t>
            </w:r>
            <w:r>
              <w:rPr>
                <w:rFonts w:hint="default" w:ascii="Times New Roman" w:hAnsi="Times New Roman" w:eastAsia="方正仿宋_GBK" w:cs="Times New Roman"/>
                <w:i w:val="0"/>
                <w:color w:val="auto"/>
                <w:kern w:val="0"/>
                <w:sz w:val="24"/>
                <w:szCs w:val="24"/>
                <w:highlight w:val="none"/>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highlight w:val="none"/>
                <w:u w:val="none"/>
                <w:lang w:val="en-US" w:eastAsia="zh-CN" w:bidi="ar-SA"/>
              </w:rPr>
            </w:pPr>
            <w:r>
              <w:rPr>
                <w:rFonts w:hint="eastAsia" w:ascii="方正仿宋_GBK" w:hAnsi="方正仿宋_GBK" w:eastAsia="方正仿宋_GBK" w:cs="方正仿宋_GBK"/>
                <w:i w:val="0"/>
                <w:color w:val="auto"/>
                <w:kern w:val="0"/>
                <w:sz w:val="24"/>
                <w:szCs w:val="24"/>
                <w:highlight w:val="none"/>
                <w:u w:val="none"/>
                <w:lang w:val="en-US" w:eastAsia="zh-CN" w:bidi="ar-SA"/>
              </w:rPr>
              <w:t xml:space="preserve">  </w:t>
            </w:r>
            <w:r>
              <w:rPr>
                <w:rFonts w:hint="default" w:ascii="Times New Roman" w:hAnsi="Times New Roman" w:eastAsia="方正仿宋_GBK" w:cs="Times New Roman"/>
                <w:i w:val="0"/>
                <w:color w:val="auto"/>
                <w:kern w:val="0"/>
                <w:sz w:val="24"/>
                <w:szCs w:val="24"/>
                <w:highlight w:val="none"/>
                <w:u w:val="none"/>
                <w:lang w:val="en-US" w:eastAsia="zh-CN" w:bidi="ar-SA"/>
              </w:rPr>
              <w:t>17</w:t>
            </w:r>
            <w:r>
              <w:rPr>
                <w:rFonts w:hint="eastAsia" w:ascii="方正仿宋_GBK" w:hAnsi="方正仿宋_GBK" w:eastAsia="方正仿宋_GBK" w:cs="方正仿宋_GBK"/>
                <w:i w:val="0"/>
                <w:color w:val="auto"/>
                <w:kern w:val="0"/>
                <w:sz w:val="24"/>
                <w:szCs w:val="24"/>
                <w:highlight w:val="none"/>
                <w:u w:val="none"/>
                <w:lang w:val="en-US" w:eastAsia="zh-CN" w:bidi="ar-SA"/>
              </w:rPr>
              <w:t>.玉米完全成本补充保险</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500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2</w:t>
            </w:r>
            <w:r>
              <w:rPr>
                <w:rFonts w:hint="eastAsia" w:ascii="Times New Roman" w:hAnsi="Times New Roman" w:eastAsia="方正仿宋_GBK" w:cs="Times New Roman"/>
                <w:i w:val="0"/>
                <w:color w:val="auto"/>
                <w:kern w:val="0"/>
                <w:sz w:val="24"/>
                <w:szCs w:val="24"/>
                <w:highlight w:val="none"/>
                <w:u w:val="none"/>
                <w:lang w:val="en-US" w:eastAsia="zh-CN" w:bidi="ar-SA"/>
              </w:rPr>
              <w:t>.</w:t>
            </w:r>
            <w:r>
              <w:rPr>
                <w:rFonts w:hint="default" w:ascii="Times New Roman" w:hAnsi="Times New Roman" w:eastAsia="方正仿宋_GBK" w:cs="Times New Roman"/>
                <w:i w:val="0"/>
                <w:color w:val="auto"/>
                <w:kern w:val="0"/>
                <w:sz w:val="24"/>
                <w:szCs w:val="24"/>
                <w:highlight w:val="none"/>
                <w:u w:val="none"/>
                <w:lang w:val="en-US" w:eastAsia="zh-CN" w:bidi="ar-SA"/>
              </w:rPr>
              <w:t>7</w:t>
            </w:r>
            <w:r>
              <w:rPr>
                <w:rFonts w:hint="eastAsia" w:ascii="Times New Roman" w:hAnsi="Times New Roman" w:eastAsia="方正仿宋_GBK" w:cs="Times New Roman"/>
                <w:i w:val="0"/>
                <w:color w:val="auto"/>
                <w:kern w:val="0"/>
                <w:sz w:val="24"/>
                <w:szCs w:val="24"/>
                <w:highlight w:val="none"/>
                <w:u w:val="none"/>
                <w:lang w:val="en-US" w:eastAsia="zh-CN" w:bidi="ar-SA"/>
              </w:rPr>
              <w:t>%</w:t>
            </w:r>
          </w:p>
        </w:tc>
        <w:tc>
          <w:tcPr>
            <w:tcW w:w="2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13</w:t>
            </w:r>
            <w:r>
              <w:rPr>
                <w:rFonts w:hint="eastAsia" w:ascii="Times New Roman" w:hAnsi="Times New Roman" w:eastAsia="方正仿宋_GBK" w:cs="Times New Roman"/>
                <w:i w:val="0"/>
                <w:color w:val="auto"/>
                <w:kern w:val="0"/>
                <w:sz w:val="24"/>
                <w:szCs w:val="24"/>
                <w:highlight w:val="none"/>
                <w:u w:val="none"/>
                <w:lang w:val="en-US" w:eastAsia="zh-CN" w:bidi="ar-SA"/>
              </w:rPr>
              <w:t>.</w:t>
            </w:r>
            <w:r>
              <w:rPr>
                <w:rFonts w:hint="default" w:ascii="Times New Roman" w:hAnsi="Times New Roman" w:eastAsia="方正仿宋_GBK" w:cs="Times New Roman"/>
                <w:i w:val="0"/>
                <w:color w:val="auto"/>
                <w:kern w:val="0"/>
                <w:sz w:val="24"/>
                <w:szCs w:val="24"/>
                <w:highlight w:val="none"/>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highlight w:val="none"/>
                <w:u w:val="none"/>
                <w:lang w:val="en-US" w:eastAsia="zh-CN" w:bidi="ar-SA"/>
              </w:rPr>
            </w:pPr>
            <w:r>
              <w:rPr>
                <w:rFonts w:hint="eastAsia" w:ascii="方正仿宋_GBK" w:hAnsi="方正仿宋_GBK" w:eastAsia="方正仿宋_GBK" w:cs="方正仿宋_GBK"/>
                <w:i w:val="0"/>
                <w:color w:val="auto"/>
                <w:kern w:val="0"/>
                <w:sz w:val="24"/>
                <w:szCs w:val="24"/>
                <w:highlight w:val="none"/>
                <w:u w:val="none"/>
                <w:lang w:val="en-US" w:eastAsia="zh-CN" w:bidi="ar-SA"/>
              </w:rPr>
              <w:t xml:space="preserve">  </w:t>
            </w:r>
            <w:r>
              <w:rPr>
                <w:rFonts w:hint="default" w:ascii="Times New Roman" w:hAnsi="Times New Roman" w:eastAsia="方正仿宋_GBK" w:cs="Times New Roman"/>
                <w:i w:val="0"/>
                <w:color w:val="auto"/>
                <w:kern w:val="0"/>
                <w:sz w:val="24"/>
                <w:szCs w:val="24"/>
                <w:highlight w:val="none"/>
                <w:u w:val="none"/>
                <w:lang w:val="en-US" w:eastAsia="zh-CN" w:bidi="ar-SA"/>
              </w:rPr>
              <w:t>18</w:t>
            </w:r>
            <w:r>
              <w:rPr>
                <w:rFonts w:hint="eastAsia" w:ascii="方正仿宋_GBK" w:hAnsi="方正仿宋_GBK" w:eastAsia="方正仿宋_GBK" w:cs="方正仿宋_GBK"/>
                <w:i w:val="0"/>
                <w:color w:val="auto"/>
                <w:kern w:val="0"/>
                <w:sz w:val="24"/>
                <w:szCs w:val="24"/>
                <w:highlight w:val="none"/>
                <w:u w:val="none"/>
                <w:lang w:val="en-US" w:eastAsia="zh-CN" w:bidi="ar-SA"/>
              </w:rPr>
              <w:t>.马铃薯完全成本补充保险</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640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4</w:t>
            </w:r>
            <w:r>
              <w:rPr>
                <w:rFonts w:hint="eastAsia" w:ascii="Times New Roman" w:hAnsi="Times New Roman" w:eastAsia="方正仿宋_GBK" w:cs="Times New Roman"/>
                <w:i w:val="0"/>
                <w:color w:val="auto"/>
                <w:kern w:val="0"/>
                <w:sz w:val="24"/>
                <w:szCs w:val="24"/>
                <w:highlight w:val="none"/>
                <w:u w:val="none"/>
                <w:lang w:val="en-US" w:eastAsia="zh-CN" w:bidi="ar-SA"/>
              </w:rPr>
              <w:t>%</w:t>
            </w:r>
          </w:p>
        </w:tc>
        <w:tc>
          <w:tcPr>
            <w:tcW w:w="2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25</w:t>
            </w:r>
            <w:r>
              <w:rPr>
                <w:rFonts w:hint="eastAsia" w:ascii="Times New Roman" w:hAnsi="Times New Roman" w:eastAsia="方正仿宋_GBK" w:cs="Times New Roman"/>
                <w:i w:val="0"/>
                <w:color w:val="auto"/>
                <w:kern w:val="0"/>
                <w:sz w:val="24"/>
                <w:szCs w:val="24"/>
                <w:highlight w:val="none"/>
                <w:u w:val="none"/>
                <w:lang w:val="en-US" w:eastAsia="zh-CN" w:bidi="ar-SA"/>
              </w:rPr>
              <w:t>.</w:t>
            </w:r>
            <w:r>
              <w:rPr>
                <w:rFonts w:hint="default" w:ascii="Times New Roman" w:hAnsi="Times New Roman" w:eastAsia="方正仿宋_GBK" w:cs="Times New Roman"/>
                <w:i w:val="0"/>
                <w:color w:val="auto"/>
                <w:kern w:val="0"/>
                <w:sz w:val="24"/>
                <w:szCs w:val="24"/>
                <w:highlight w:val="none"/>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left"/>
              <w:textAlignment w:val="center"/>
              <w:rPr>
                <w:rFonts w:hint="default" w:ascii="方正仿宋_GBK" w:hAnsi="方正仿宋_GBK" w:eastAsia="方正仿宋_GBK" w:cs="方正仿宋_GBK"/>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19</w:t>
            </w:r>
            <w:r>
              <w:rPr>
                <w:rFonts w:hint="eastAsia" w:ascii="方正仿宋_GBK" w:hAnsi="方正仿宋_GBK" w:eastAsia="方正仿宋_GBK" w:cs="方正仿宋_GBK"/>
                <w:i w:val="0"/>
                <w:color w:val="auto"/>
                <w:kern w:val="0"/>
                <w:sz w:val="24"/>
                <w:szCs w:val="24"/>
                <w:highlight w:val="none"/>
                <w:u w:val="none"/>
                <w:lang w:val="en-US" w:eastAsia="zh-CN" w:bidi="ar-SA"/>
              </w:rPr>
              <w:t>.生态渔业保险</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4000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5</w:t>
            </w:r>
            <w:r>
              <w:rPr>
                <w:rFonts w:hint="eastAsia" w:ascii="Times New Roman" w:hAnsi="Times New Roman" w:eastAsia="方正仿宋_GBK" w:cs="Times New Roman"/>
                <w:i w:val="0"/>
                <w:color w:val="auto"/>
                <w:kern w:val="0"/>
                <w:sz w:val="24"/>
                <w:szCs w:val="24"/>
                <w:highlight w:val="none"/>
                <w:u w:val="none"/>
                <w:lang w:val="en-US" w:eastAsia="zh-CN" w:bidi="ar-SA"/>
              </w:rPr>
              <w:t>%</w:t>
            </w:r>
          </w:p>
        </w:tc>
        <w:tc>
          <w:tcPr>
            <w:tcW w:w="2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left"/>
              <w:textAlignment w:val="center"/>
              <w:rPr>
                <w:rFonts w:hint="default" w:ascii="方正仿宋_GBK" w:hAnsi="方正仿宋_GBK" w:eastAsia="方正仿宋_GBK" w:cs="方正仿宋_GBK"/>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20</w:t>
            </w:r>
            <w:r>
              <w:rPr>
                <w:rFonts w:hint="eastAsia" w:ascii="方正仿宋_GBK" w:hAnsi="方正仿宋_GBK" w:eastAsia="方正仿宋_GBK" w:cs="方正仿宋_GBK"/>
                <w:i w:val="0"/>
                <w:color w:val="auto"/>
                <w:kern w:val="0"/>
                <w:sz w:val="24"/>
                <w:szCs w:val="24"/>
                <w:highlight w:val="none"/>
                <w:u w:val="none"/>
                <w:lang w:val="en-US" w:eastAsia="zh-CN" w:bidi="ar-SA"/>
              </w:rPr>
              <w:t>.柑橘收益保险</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2000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5</w:t>
            </w:r>
            <w:r>
              <w:rPr>
                <w:rFonts w:hint="eastAsia" w:ascii="Times New Roman" w:hAnsi="Times New Roman" w:eastAsia="方正仿宋_GBK" w:cs="Times New Roman"/>
                <w:i w:val="0"/>
                <w:color w:val="auto"/>
                <w:kern w:val="0"/>
                <w:sz w:val="24"/>
                <w:szCs w:val="24"/>
                <w:highlight w:val="none"/>
                <w:u w:val="none"/>
                <w:lang w:val="en-US" w:eastAsia="zh-CN" w:bidi="ar-SA"/>
              </w:rPr>
              <w:t>%</w:t>
            </w:r>
          </w:p>
        </w:tc>
        <w:tc>
          <w:tcPr>
            <w:tcW w:w="2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left"/>
              <w:textAlignment w:val="center"/>
              <w:rPr>
                <w:rFonts w:hint="default" w:ascii="方正仿宋_GBK" w:hAnsi="方正仿宋_GBK" w:eastAsia="方正仿宋_GBK" w:cs="方正仿宋_GBK"/>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21</w:t>
            </w:r>
            <w:r>
              <w:rPr>
                <w:rFonts w:hint="eastAsia" w:ascii="方正仿宋_GBK" w:hAnsi="方正仿宋_GBK" w:eastAsia="方正仿宋_GBK" w:cs="方正仿宋_GBK"/>
                <w:i w:val="0"/>
                <w:color w:val="auto"/>
                <w:kern w:val="0"/>
                <w:sz w:val="24"/>
                <w:szCs w:val="24"/>
                <w:highlight w:val="none"/>
                <w:u w:val="none"/>
                <w:lang w:val="en-US" w:eastAsia="zh-CN" w:bidi="ar-SA"/>
              </w:rPr>
              <w:t>.蛋鸡养殖保险</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20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6</w:t>
            </w:r>
            <w:r>
              <w:rPr>
                <w:rFonts w:hint="eastAsia" w:ascii="Times New Roman" w:hAnsi="Times New Roman" w:eastAsia="方正仿宋_GBK" w:cs="Times New Roman"/>
                <w:i w:val="0"/>
                <w:color w:val="auto"/>
                <w:kern w:val="0"/>
                <w:sz w:val="24"/>
                <w:szCs w:val="24"/>
                <w:highlight w:val="none"/>
                <w:u w:val="none"/>
                <w:lang w:val="en-US" w:eastAsia="zh-CN" w:bidi="ar-SA"/>
              </w:rPr>
              <w:t>%</w:t>
            </w:r>
          </w:p>
        </w:tc>
        <w:tc>
          <w:tcPr>
            <w:tcW w:w="2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1</w:t>
            </w:r>
            <w:r>
              <w:rPr>
                <w:rFonts w:hint="eastAsia" w:ascii="Times New Roman" w:hAnsi="Times New Roman" w:eastAsia="方正仿宋_GBK" w:cs="Times New Roman"/>
                <w:i w:val="0"/>
                <w:color w:val="auto"/>
                <w:kern w:val="0"/>
                <w:sz w:val="24"/>
                <w:szCs w:val="24"/>
                <w:highlight w:val="none"/>
                <w:u w:val="none"/>
                <w:lang w:val="en-US" w:eastAsia="zh-CN" w:bidi="ar-SA"/>
              </w:rPr>
              <w:t>.</w:t>
            </w:r>
            <w:r>
              <w:rPr>
                <w:rFonts w:hint="default" w:ascii="Times New Roman" w:hAnsi="Times New Roman" w:eastAsia="方正仿宋_GBK" w:cs="Times New Roman"/>
                <w:i w:val="0"/>
                <w:color w:val="auto"/>
                <w:kern w:val="0"/>
                <w:sz w:val="24"/>
                <w:szCs w:val="24"/>
                <w:highlight w:val="none"/>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left"/>
              <w:textAlignment w:val="center"/>
              <w:rPr>
                <w:rFonts w:hint="default" w:ascii="方正仿宋_GBK" w:hAnsi="方正仿宋_GBK" w:eastAsia="方正仿宋_GBK" w:cs="方正仿宋_GBK"/>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22</w:t>
            </w:r>
            <w:r>
              <w:rPr>
                <w:rFonts w:hint="eastAsia" w:ascii="方正仿宋_GBK" w:hAnsi="方正仿宋_GBK" w:eastAsia="方正仿宋_GBK" w:cs="方正仿宋_GBK"/>
                <w:i w:val="0"/>
                <w:color w:val="auto"/>
                <w:kern w:val="0"/>
                <w:sz w:val="24"/>
                <w:szCs w:val="24"/>
                <w:highlight w:val="none"/>
                <w:u w:val="none"/>
                <w:lang w:val="en-US" w:eastAsia="zh-CN" w:bidi="ar-SA"/>
              </w:rPr>
              <w:t>.鸡蛋期货保险</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8000</w:t>
            </w:r>
            <w:r>
              <w:rPr>
                <w:rFonts w:hint="eastAsia" w:ascii="Times New Roman" w:hAnsi="Times New Roman" w:eastAsia="方正仿宋_GBK" w:cs="Times New Roman"/>
                <w:i w:val="0"/>
                <w:color w:val="auto"/>
                <w:kern w:val="0"/>
                <w:sz w:val="24"/>
                <w:szCs w:val="24"/>
                <w:highlight w:val="none"/>
                <w:u w:val="none"/>
                <w:lang w:val="en-US" w:eastAsia="zh-CN" w:bidi="ar-SA"/>
              </w:rPr>
              <w:t>-</w:t>
            </w:r>
            <w:r>
              <w:rPr>
                <w:rFonts w:hint="default" w:ascii="Times New Roman" w:hAnsi="Times New Roman" w:eastAsia="方正仿宋_GBK" w:cs="Times New Roman"/>
                <w:i w:val="0"/>
                <w:color w:val="auto"/>
                <w:kern w:val="0"/>
                <w:sz w:val="24"/>
                <w:szCs w:val="24"/>
                <w:highlight w:val="none"/>
                <w:u w:val="none"/>
                <w:lang w:val="en-US" w:eastAsia="zh-CN" w:bidi="ar-SA"/>
              </w:rPr>
              <w:t>10000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3</w:t>
            </w:r>
            <w:r>
              <w:rPr>
                <w:rFonts w:hint="eastAsia" w:ascii="Times New Roman" w:hAnsi="Times New Roman" w:eastAsia="方正仿宋_GBK" w:cs="Times New Roman"/>
                <w:i w:val="0"/>
                <w:color w:val="auto"/>
                <w:kern w:val="0"/>
                <w:sz w:val="24"/>
                <w:szCs w:val="24"/>
                <w:highlight w:val="none"/>
                <w:u w:val="none"/>
                <w:lang w:val="en-US" w:eastAsia="zh-CN" w:bidi="ar-SA"/>
              </w:rPr>
              <w:t>.</w:t>
            </w:r>
            <w:r>
              <w:rPr>
                <w:rFonts w:hint="default" w:ascii="Times New Roman" w:hAnsi="Times New Roman" w:eastAsia="方正仿宋_GBK" w:cs="Times New Roman"/>
                <w:i w:val="0"/>
                <w:color w:val="auto"/>
                <w:kern w:val="0"/>
                <w:sz w:val="24"/>
                <w:szCs w:val="24"/>
                <w:highlight w:val="none"/>
                <w:u w:val="none"/>
                <w:lang w:val="en-US" w:eastAsia="zh-CN" w:bidi="ar-SA"/>
              </w:rPr>
              <w:t>5</w:t>
            </w:r>
            <w:r>
              <w:rPr>
                <w:rFonts w:hint="eastAsia" w:ascii="Times New Roman" w:hAnsi="Times New Roman" w:eastAsia="方正仿宋_GBK" w:cs="Times New Roman"/>
                <w:i w:val="0"/>
                <w:color w:val="auto"/>
                <w:kern w:val="0"/>
                <w:sz w:val="24"/>
                <w:szCs w:val="24"/>
                <w:highlight w:val="none"/>
                <w:u w:val="none"/>
                <w:lang w:val="en-US" w:eastAsia="zh-CN" w:bidi="ar-SA"/>
              </w:rPr>
              <w:t>-</w:t>
            </w:r>
            <w:r>
              <w:rPr>
                <w:rFonts w:hint="default" w:ascii="Times New Roman" w:hAnsi="Times New Roman" w:eastAsia="方正仿宋_GBK" w:cs="Times New Roman"/>
                <w:i w:val="0"/>
                <w:color w:val="auto"/>
                <w:kern w:val="0"/>
                <w:sz w:val="24"/>
                <w:szCs w:val="24"/>
                <w:highlight w:val="none"/>
                <w:u w:val="none"/>
                <w:lang w:val="en-US" w:eastAsia="zh-CN" w:bidi="ar-SA"/>
              </w:rPr>
              <w:t>5</w:t>
            </w:r>
            <w:r>
              <w:rPr>
                <w:rFonts w:hint="eastAsia" w:ascii="Times New Roman" w:hAnsi="Times New Roman" w:eastAsia="方正仿宋_GBK" w:cs="Times New Roman"/>
                <w:i w:val="0"/>
                <w:color w:val="auto"/>
                <w:kern w:val="0"/>
                <w:sz w:val="24"/>
                <w:szCs w:val="24"/>
                <w:highlight w:val="none"/>
                <w:u w:val="none"/>
                <w:lang w:val="en-US" w:eastAsia="zh-CN" w:bidi="ar-SA"/>
              </w:rPr>
              <w:t>%</w:t>
            </w:r>
          </w:p>
        </w:tc>
        <w:tc>
          <w:tcPr>
            <w:tcW w:w="2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left"/>
              <w:textAlignment w:val="center"/>
              <w:rPr>
                <w:rFonts w:hint="default" w:ascii="方正仿宋_GBK" w:hAnsi="方正仿宋_GBK" w:eastAsia="方正仿宋_GBK" w:cs="方正仿宋_GBK"/>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23</w:t>
            </w:r>
            <w:r>
              <w:rPr>
                <w:rFonts w:hint="eastAsia" w:ascii="方正仿宋_GBK" w:hAnsi="方正仿宋_GBK" w:eastAsia="方正仿宋_GBK" w:cs="方正仿宋_GBK"/>
                <w:i w:val="0"/>
                <w:color w:val="auto"/>
                <w:kern w:val="0"/>
                <w:sz w:val="24"/>
                <w:szCs w:val="24"/>
                <w:highlight w:val="none"/>
                <w:u w:val="none"/>
                <w:lang w:val="en-US" w:eastAsia="zh-CN" w:bidi="ar-SA"/>
              </w:rPr>
              <w:t>.长寿湖渔业保险</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800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3</w:t>
            </w:r>
            <w:r>
              <w:rPr>
                <w:rFonts w:hint="eastAsia" w:ascii="Times New Roman" w:hAnsi="Times New Roman" w:eastAsia="方正仿宋_GBK" w:cs="Times New Roman"/>
                <w:i w:val="0"/>
                <w:color w:val="auto"/>
                <w:kern w:val="0"/>
                <w:sz w:val="24"/>
                <w:szCs w:val="24"/>
                <w:highlight w:val="none"/>
                <w:u w:val="none"/>
                <w:lang w:val="en-US" w:eastAsia="zh-CN" w:bidi="ar-SA"/>
              </w:rPr>
              <w:t>%</w:t>
            </w:r>
          </w:p>
        </w:tc>
        <w:tc>
          <w:tcPr>
            <w:tcW w:w="2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方正仿宋_GBK" w:hAnsi="方正仿宋_GBK" w:eastAsia="方正仿宋_GBK" w:cs="方正仿宋_GBK"/>
                <w:b/>
                <w:i w:val="0"/>
                <w:color w:val="auto"/>
                <w:kern w:val="0"/>
                <w:sz w:val="24"/>
                <w:szCs w:val="24"/>
                <w:highlight w:val="none"/>
                <w:u w:val="none"/>
                <w:lang w:val="en-US" w:eastAsia="zh-CN" w:bidi="ar-SA"/>
              </w:rPr>
              <w:t>三、区级补贴险种</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SA"/>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SA"/>
              </w:rPr>
            </w:pPr>
          </w:p>
        </w:tc>
        <w:tc>
          <w:tcPr>
            <w:tcW w:w="2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K" w:hAnsi="方正仿宋_GBK" w:eastAsia="方正仿宋_GBK" w:cs="方正仿宋_GBK"/>
                <w:b/>
                <w:i w:val="0"/>
                <w:color w:val="auto"/>
                <w:kern w:val="0"/>
                <w:sz w:val="24"/>
                <w:szCs w:val="24"/>
                <w:highlight w:val="none"/>
                <w:u w:val="none"/>
                <w:lang w:val="en-US" w:eastAsia="zh-CN" w:bidi="ar-SA"/>
              </w:rPr>
            </w:pPr>
            <w:r>
              <w:rPr>
                <w:rFonts w:hint="eastAsia" w:ascii="方正仿宋_GBK" w:hAnsi="方正仿宋_GBK" w:eastAsia="方正仿宋_GBK" w:cs="方正仿宋_GBK"/>
                <w:i w:val="0"/>
                <w:color w:val="auto"/>
                <w:kern w:val="0"/>
                <w:sz w:val="24"/>
                <w:szCs w:val="24"/>
                <w:highlight w:val="none"/>
                <w:u w:val="none"/>
                <w:lang w:val="en-US" w:eastAsia="zh-CN" w:bidi="ar-SA"/>
              </w:rPr>
              <w:t xml:space="preserve">  </w:t>
            </w:r>
            <w:r>
              <w:rPr>
                <w:rFonts w:hint="default" w:ascii="Times New Roman" w:hAnsi="Times New Roman" w:eastAsia="方正仿宋_GBK" w:cs="Times New Roman"/>
                <w:i w:val="0"/>
                <w:color w:val="auto"/>
                <w:kern w:val="0"/>
                <w:sz w:val="24"/>
                <w:szCs w:val="24"/>
                <w:highlight w:val="none"/>
                <w:u w:val="none"/>
                <w:lang w:val="en-US" w:eastAsia="zh-CN" w:bidi="ar-SA"/>
              </w:rPr>
              <w:t>24</w:t>
            </w:r>
            <w:r>
              <w:rPr>
                <w:rFonts w:hint="eastAsia" w:ascii="方正仿宋_GBK" w:hAnsi="方正仿宋_GBK" w:eastAsia="方正仿宋_GBK" w:cs="方正仿宋_GBK"/>
                <w:i w:val="0"/>
                <w:color w:val="auto"/>
                <w:kern w:val="0"/>
                <w:sz w:val="24"/>
                <w:szCs w:val="24"/>
                <w:highlight w:val="none"/>
                <w:u w:val="none"/>
                <w:lang w:val="en-US" w:eastAsia="zh-CN" w:bidi="ar-SA"/>
              </w:rPr>
              <w:t>.一村一品产业保险</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1500</w:t>
            </w:r>
            <w:r>
              <w:rPr>
                <w:rFonts w:hint="eastAsia" w:ascii="Times New Roman" w:hAnsi="Times New Roman" w:eastAsia="方正仿宋_GBK" w:cs="Times New Roman"/>
                <w:i w:val="0"/>
                <w:color w:val="auto"/>
                <w:kern w:val="0"/>
                <w:sz w:val="24"/>
                <w:szCs w:val="24"/>
                <w:highlight w:val="none"/>
                <w:u w:val="none"/>
                <w:lang w:val="en-US" w:eastAsia="zh-CN" w:bidi="ar-SA"/>
              </w:rPr>
              <w:t>-</w:t>
            </w:r>
            <w:r>
              <w:rPr>
                <w:rFonts w:hint="default" w:ascii="Times New Roman" w:hAnsi="Times New Roman" w:eastAsia="方正仿宋_GBK" w:cs="Times New Roman"/>
                <w:i w:val="0"/>
                <w:color w:val="auto"/>
                <w:kern w:val="0"/>
                <w:sz w:val="24"/>
                <w:szCs w:val="24"/>
                <w:highlight w:val="none"/>
                <w:u w:val="none"/>
                <w:lang w:val="en-US" w:eastAsia="zh-CN" w:bidi="ar-SA"/>
              </w:rPr>
              <w:t>2000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5</w:t>
            </w:r>
            <w:r>
              <w:rPr>
                <w:rFonts w:hint="eastAsia" w:ascii="Times New Roman" w:hAnsi="Times New Roman" w:eastAsia="方正仿宋_GBK" w:cs="Times New Roman"/>
                <w:i w:val="0"/>
                <w:color w:val="auto"/>
                <w:kern w:val="0"/>
                <w:sz w:val="24"/>
                <w:szCs w:val="24"/>
                <w:highlight w:val="none"/>
                <w:u w:val="none"/>
                <w:lang w:val="en-US" w:eastAsia="zh-CN" w:bidi="ar-SA"/>
              </w:rPr>
              <w:t>%</w:t>
            </w:r>
          </w:p>
        </w:tc>
        <w:tc>
          <w:tcPr>
            <w:tcW w:w="2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SA"/>
              </w:rPr>
              <w:t>75</w:t>
            </w:r>
            <w:r>
              <w:rPr>
                <w:rFonts w:hint="eastAsia" w:ascii="Times New Roman" w:hAnsi="Times New Roman" w:eastAsia="方正仿宋_GBK" w:cs="Times New Roman"/>
                <w:i w:val="0"/>
                <w:color w:val="auto"/>
                <w:kern w:val="0"/>
                <w:sz w:val="24"/>
                <w:szCs w:val="24"/>
                <w:highlight w:val="none"/>
                <w:u w:val="none"/>
                <w:lang w:val="en-US" w:eastAsia="zh-CN" w:bidi="ar-SA"/>
              </w:rPr>
              <w:t>-</w:t>
            </w:r>
            <w:r>
              <w:rPr>
                <w:rFonts w:hint="default" w:ascii="Times New Roman" w:hAnsi="Times New Roman" w:eastAsia="方正仿宋_GBK" w:cs="Times New Roman"/>
                <w:i w:val="0"/>
                <w:color w:val="auto"/>
                <w:kern w:val="0"/>
                <w:sz w:val="24"/>
                <w:szCs w:val="24"/>
                <w:highlight w:val="none"/>
                <w:u w:val="none"/>
                <w:lang w:val="en-US" w:eastAsia="zh-CN" w:bidi="ar-SA"/>
              </w:rPr>
              <w:t>100</w:t>
            </w:r>
          </w:p>
        </w:tc>
      </w:tr>
    </w:tbl>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w:t>
      </w:r>
      <w:r>
        <w:rPr>
          <w:rFonts w:hint="eastAsia" w:ascii="Times New Roman" w:hAnsi="Times New Roman" w:eastAsia="方正黑体_GBK" w:cs="Times New Roman"/>
          <w:color w:val="auto"/>
          <w:sz w:val="32"/>
          <w:szCs w:val="20"/>
          <w:highlight w:val="none"/>
          <w:lang w:val="en-US" w:eastAsia="zh-CN"/>
        </w:rPr>
        <w:t>八</w:t>
      </w:r>
      <w:r>
        <w:rPr>
          <w:rFonts w:hint="eastAsia" w:ascii="Times New Roman" w:hAnsi="Times New Roman" w:eastAsia="方正黑体_GBK" w:cs="Times New Roman"/>
          <w:color w:val="auto"/>
          <w:sz w:val="32"/>
          <w:szCs w:val="20"/>
          <w:highlight w:val="none"/>
        </w:rPr>
        <w:t>条</w:t>
      </w:r>
      <w:r>
        <w:rPr>
          <w:rFonts w:hint="eastAsia" w:ascii="Times New Roman" w:hAnsi="Times New Roman" w:eastAsia="方正仿宋_GBK" w:cs="Times New Roman"/>
          <w:color w:val="auto"/>
          <w:sz w:val="32"/>
          <w:szCs w:val="20"/>
          <w:highlight w:val="none"/>
        </w:rPr>
        <w:t xml:space="preserve">  补贴险种的保险责任涵盖我</w:t>
      </w:r>
      <w:r>
        <w:rPr>
          <w:rFonts w:hint="eastAsia" w:ascii="Times New Roman" w:hAnsi="Times New Roman" w:eastAsia="方正仿宋_GBK" w:cs="Times New Roman"/>
          <w:color w:val="auto"/>
          <w:sz w:val="32"/>
          <w:szCs w:val="20"/>
          <w:highlight w:val="none"/>
          <w:lang w:eastAsia="zh-CN"/>
        </w:rPr>
        <w:t>区</w:t>
      </w:r>
      <w:r>
        <w:rPr>
          <w:rFonts w:hint="eastAsia" w:ascii="Times New Roman" w:hAnsi="Times New Roman" w:eastAsia="方正仿宋_GBK" w:cs="Times New Roman"/>
          <w:color w:val="auto"/>
          <w:sz w:val="32"/>
          <w:szCs w:val="20"/>
          <w:highlight w:val="none"/>
        </w:rPr>
        <w:t>主要的自然灾害、重大病虫鼠害、动物疾病疫病、意外事故、野生动物毁损等风险；</w:t>
      </w:r>
      <w:r>
        <w:rPr>
          <w:rFonts w:hint="eastAsia" w:ascii="Times New Roman" w:hAnsi="Times New Roman" w:eastAsia="方正仿宋_GBK" w:cs="Times New Roman"/>
          <w:color w:val="auto"/>
          <w:sz w:val="32"/>
          <w:szCs w:val="20"/>
          <w:highlight w:val="none"/>
          <w:lang w:eastAsia="zh-CN"/>
        </w:rPr>
        <w:t>同时</w:t>
      </w:r>
      <w:r>
        <w:rPr>
          <w:rFonts w:hint="eastAsia" w:ascii="Times New Roman" w:hAnsi="Times New Roman" w:eastAsia="方正仿宋_GBK" w:cs="Times New Roman"/>
          <w:color w:val="auto"/>
          <w:sz w:val="32"/>
          <w:szCs w:val="20"/>
          <w:highlight w:val="none"/>
        </w:rPr>
        <w:t>可稳步探索将价格、产量、气象等变动因素作为保险责任。</w:t>
      </w:r>
    </w:p>
    <w:p>
      <w:pPr>
        <w:spacing w:line="578" w:lineRule="exact"/>
        <w:ind w:firstLine="640" w:firstLineChars="200"/>
        <w:rPr>
          <w:rFonts w:hint="eastAsia" w:ascii="Times New Roman" w:hAnsi="Times New Roman" w:eastAsia="方正仿宋_GBK" w:cs="Times New Roman"/>
          <w:color w:val="auto"/>
          <w:sz w:val="32"/>
          <w:szCs w:val="20"/>
          <w:highlight w:val="none"/>
          <w:lang w:eastAsia="zh-CN"/>
        </w:rPr>
      </w:pPr>
      <w:r>
        <w:rPr>
          <w:rFonts w:hint="eastAsia" w:ascii="Times New Roman" w:hAnsi="Times New Roman" w:eastAsia="方正黑体_GBK" w:cs="Times New Roman"/>
          <w:color w:val="auto"/>
          <w:sz w:val="32"/>
          <w:szCs w:val="20"/>
          <w:highlight w:val="none"/>
        </w:rPr>
        <w:t>第</w:t>
      </w:r>
      <w:r>
        <w:rPr>
          <w:rFonts w:hint="eastAsia" w:ascii="Times New Roman" w:hAnsi="Times New Roman" w:eastAsia="方正黑体_GBK" w:cs="Times New Roman"/>
          <w:color w:val="auto"/>
          <w:sz w:val="32"/>
          <w:szCs w:val="20"/>
          <w:highlight w:val="none"/>
          <w:lang w:val="en-US" w:eastAsia="zh-CN"/>
        </w:rPr>
        <w:t>九</w:t>
      </w:r>
      <w:r>
        <w:rPr>
          <w:rFonts w:hint="eastAsia" w:ascii="Times New Roman" w:hAnsi="Times New Roman" w:eastAsia="方正黑体_GBK" w:cs="Times New Roman"/>
          <w:color w:val="auto"/>
          <w:sz w:val="32"/>
          <w:szCs w:val="20"/>
          <w:highlight w:val="none"/>
        </w:rPr>
        <w:t>条</w:t>
      </w:r>
      <w:r>
        <w:rPr>
          <w:rFonts w:hint="eastAsia" w:ascii="Times New Roman" w:hAnsi="Times New Roman" w:eastAsia="方正仿宋_GBK" w:cs="Times New Roman"/>
          <w:color w:val="auto"/>
          <w:sz w:val="32"/>
          <w:szCs w:val="20"/>
          <w:highlight w:val="none"/>
        </w:rPr>
        <w:t xml:space="preserve">  鼓励承保机构根据本地实际，</w:t>
      </w:r>
      <w:r>
        <w:rPr>
          <w:rFonts w:hint="eastAsia" w:ascii="Times New Roman" w:hAnsi="Times New Roman" w:eastAsia="方正仿宋_GBK" w:cs="Times New Roman"/>
          <w:color w:val="auto"/>
          <w:sz w:val="32"/>
          <w:szCs w:val="20"/>
          <w:highlight w:val="none"/>
          <w:lang w:eastAsia="zh-CN"/>
        </w:rPr>
        <w:t>不断创新保险产品，区财政根据实际情况，可提供一定的补贴。</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w:t>
      </w:r>
      <w:r>
        <w:rPr>
          <w:rFonts w:hint="eastAsia" w:ascii="Times New Roman" w:hAnsi="Times New Roman" w:eastAsia="方正黑体_GBK" w:cs="Times New Roman"/>
          <w:color w:val="auto"/>
          <w:sz w:val="32"/>
          <w:szCs w:val="20"/>
          <w:highlight w:val="none"/>
          <w:lang w:eastAsia="zh-CN"/>
        </w:rPr>
        <w:t>十</w:t>
      </w:r>
      <w:r>
        <w:rPr>
          <w:rFonts w:hint="eastAsia" w:ascii="Times New Roman" w:hAnsi="Times New Roman" w:eastAsia="方正黑体_GBK" w:cs="Times New Roman"/>
          <w:color w:val="auto"/>
          <w:sz w:val="32"/>
          <w:szCs w:val="20"/>
          <w:highlight w:val="none"/>
        </w:rPr>
        <w:t xml:space="preserve">条 </w:t>
      </w:r>
      <w:r>
        <w:rPr>
          <w:rFonts w:hint="eastAsia" w:ascii="Times New Roman" w:hAnsi="Times New Roman" w:eastAsia="方正仿宋_GBK" w:cs="Times New Roman"/>
          <w:color w:val="auto"/>
          <w:sz w:val="32"/>
          <w:szCs w:val="20"/>
          <w:highlight w:val="none"/>
        </w:rPr>
        <w:t xml:space="preserve"> 承保机构应当合理设置补贴险种赔付标准，维护投保农户合法权益，不得设置绝对免赔，科学合理设置相对免赔。</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第十</w:t>
      </w:r>
      <w:r>
        <w:rPr>
          <w:rFonts w:hint="eastAsia" w:ascii="Times New Roman" w:hAnsi="Times New Roman" w:eastAsia="方正黑体_GBK" w:cs="Times New Roman"/>
          <w:color w:val="auto"/>
          <w:sz w:val="32"/>
          <w:szCs w:val="20"/>
          <w:highlight w:val="none"/>
          <w:lang w:val="en-US" w:eastAsia="zh-CN"/>
        </w:rPr>
        <w:t>一</w:t>
      </w:r>
      <w:r>
        <w:rPr>
          <w:rFonts w:hint="eastAsia" w:ascii="Times New Roman" w:hAnsi="Times New Roman" w:eastAsia="方正黑体_GBK" w:cs="Times New Roman"/>
          <w:color w:val="auto"/>
          <w:sz w:val="32"/>
          <w:szCs w:val="20"/>
          <w:highlight w:val="none"/>
        </w:rPr>
        <w:t>条</w:t>
      </w:r>
      <w:r>
        <w:rPr>
          <w:rFonts w:hint="eastAsia" w:ascii="Times New Roman" w:hAnsi="Times New Roman" w:eastAsia="方正仿宋_GBK" w:cs="Times New Roman"/>
          <w:color w:val="auto"/>
          <w:sz w:val="32"/>
          <w:szCs w:val="20"/>
          <w:highlight w:val="none"/>
        </w:rPr>
        <w:t xml:space="preserve">  补贴险种的保险条款应当通俗易懂、表述清晰，保单上应当载明农业保险标的位置和农户、农业生产经营组织，以及中央、市级、区</w:t>
      </w:r>
      <w:r>
        <w:rPr>
          <w:rFonts w:hint="eastAsia" w:ascii="Times New Roman" w:hAnsi="Times New Roman" w:eastAsia="方正仿宋_GBK" w:cs="Times New Roman"/>
          <w:color w:val="auto"/>
          <w:sz w:val="32"/>
          <w:szCs w:val="20"/>
          <w:highlight w:val="none"/>
          <w:lang w:eastAsia="zh-CN"/>
        </w:rPr>
        <w:t>级</w:t>
      </w:r>
      <w:r>
        <w:rPr>
          <w:rFonts w:hint="eastAsia" w:ascii="Times New Roman" w:hAnsi="Times New Roman" w:eastAsia="方正仿宋_GBK" w:cs="Times New Roman"/>
          <w:color w:val="auto"/>
          <w:sz w:val="32"/>
          <w:szCs w:val="20"/>
          <w:highlight w:val="none"/>
        </w:rPr>
        <w:t>财政等各方承担的保费比例及金额。其中，对市级补贴险种的保单不需单独载明中央财政承担比例，但需体现“在中央财政奖补政策支持下”等字样。</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第十</w:t>
      </w:r>
      <w:r>
        <w:rPr>
          <w:rFonts w:hint="eastAsia" w:ascii="Times New Roman" w:hAnsi="Times New Roman" w:eastAsia="方正黑体_GBK" w:cs="Times New Roman"/>
          <w:color w:val="auto"/>
          <w:sz w:val="32"/>
          <w:szCs w:val="20"/>
          <w:highlight w:val="none"/>
          <w:lang w:val="en-US" w:eastAsia="zh-CN"/>
        </w:rPr>
        <w:t>二</w:t>
      </w:r>
      <w:r>
        <w:rPr>
          <w:rFonts w:hint="eastAsia" w:ascii="Times New Roman" w:hAnsi="Times New Roman" w:eastAsia="方正黑体_GBK" w:cs="Times New Roman"/>
          <w:color w:val="auto"/>
          <w:sz w:val="32"/>
          <w:szCs w:val="20"/>
          <w:highlight w:val="none"/>
        </w:rPr>
        <w:t>条</w:t>
      </w:r>
      <w:r>
        <w:rPr>
          <w:rFonts w:hint="eastAsia" w:ascii="Times New Roman" w:hAnsi="Times New Roman" w:eastAsia="方正仿宋_GBK" w:cs="Times New Roman"/>
          <w:color w:val="auto"/>
          <w:sz w:val="32"/>
          <w:szCs w:val="20"/>
          <w:highlight w:val="none"/>
        </w:rPr>
        <w:t xml:space="preserve">  </w:t>
      </w:r>
      <w:r>
        <w:rPr>
          <w:rFonts w:hint="eastAsia" w:ascii="Times New Roman" w:hAnsi="Times New Roman" w:eastAsia="方正仿宋_GBK" w:cs="Times New Roman"/>
          <w:color w:val="auto"/>
          <w:sz w:val="32"/>
          <w:szCs w:val="20"/>
          <w:highlight w:val="none"/>
          <w:lang w:eastAsia="zh-CN"/>
        </w:rPr>
        <w:t>承保机构</w:t>
      </w:r>
      <w:r>
        <w:rPr>
          <w:rFonts w:hint="eastAsia" w:ascii="Times New Roman" w:hAnsi="Times New Roman" w:eastAsia="方正仿宋_GBK" w:cs="Times New Roman"/>
          <w:color w:val="auto"/>
          <w:sz w:val="32"/>
          <w:szCs w:val="20"/>
          <w:highlight w:val="none"/>
        </w:rPr>
        <w:t>参考中国农业再保险股份有限公司发布的农业保险风险区划和风险费率，逐步建立农业保险费率动态调整机制，合理确定补贴险种的保险金额、费率水平。</w:t>
      </w:r>
    </w:p>
    <w:p>
      <w:pPr>
        <w:spacing w:line="578" w:lineRule="exact"/>
        <w:ind w:firstLine="640" w:firstLineChars="200"/>
        <w:rPr>
          <w:rFonts w:hint="eastAsia" w:ascii="Times New Roman" w:hAnsi="Times New Roman" w:eastAsia="方正仿宋_GBK" w:cs="Times New Roman"/>
          <w:color w:val="auto"/>
          <w:sz w:val="32"/>
          <w:szCs w:val="20"/>
          <w:highlight w:val="none"/>
        </w:rPr>
      </w:pPr>
    </w:p>
    <w:p>
      <w:pPr>
        <w:numPr>
          <w:ilvl w:val="0"/>
          <w:numId w:val="1"/>
        </w:numPr>
        <w:spacing w:line="578" w:lineRule="exact"/>
        <w:ind w:left="0" w:leftChars="0" w:firstLine="0" w:firstLineChars="0"/>
        <w:jc w:val="center"/>
        <w:rPr>
          <w:rFonts w:hint="eastAsia" w:ascii="Times New Roman" w:hAnsi="Times New Roman" w:eastAsia="方正黑体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 xml:space="preserve"> 补贴资金管理</w:t>
      </w:r>
    </w:p>
    <w:p>
      <w:pPr>
        <w:pStyle w:val="2"/>
        <w:numPr>
          <w:ilvl w:val="0"/>
          <w:numId w:val="0"/>
        </w:numPr>
        <w:ind w:leftChars="0"/>
      </w:pP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第十</w:t>
      </w:r>
      <w:r>
        <w:rPr>
          <w:rFonts w:hint="eastAsia" w:ascii="Times New Roman" w:hAnsi="Times New Roman" w:eastAsia="方正黑体_GBK" w:cs="Times New Roman"/>
          <w:color w:val="auto"/>
          <w:sz w:val="32"/>
          <w:szCs w:val="20"/>
          <w:highlight w:val="none"/>
          <w:lang w:val="en-US" w:eastAsia="zh-CN"/>
        </w:rPr>
        <w:t>三</w:t>
      </w:r>
      <w:r>
        <w:rPr>
          <w:rFonts w:hint="eastAsia" w:ascii="Times New Roman" w:hAnsi="Times New Roman" w:eastAsia="方正黑体_GBK" w:cs="Times New Roman"/>
          <w:color w:val="auto"/>
          <w:sz w:val="32"/>
          <w:szCs w:val="20"/>
          <w:highlight w:val="none"/>
        </w:rPr>
        <w:t>条</w:t>
      </w:r>
      <w:r>
        <w:rPr>
          <w:rFonts w:hint="eastAsia" w:ascii="Times New Roman" w:hAnsi="Times New Roman" w:eastAsia="方正仿宋_GBK" w:cs="Times New Roman"/>
          <w:color w:val="auto"/>
          <w:sz w:val="32"/>
          <w:szCs w:val="20"/>
          <w:highlight w:val="none"/>
        </w:rPr>
        <w:t xml:space="preserve">  保费补贴资金实行专项管理、分账核算。</w:t>
      </w:r>
      <w:r>
        <w:rPr>
          <w:rFonts w:hint="eastAsia" w:ascii="Times New Roman" w:hAnsi="Times New Roman" w:eastAsia="方正仿宋_GBK" w:cs="Times New Roman"/>
          <w:color w:val="auto"/>
          <w:sz w:val="32"/>
          <w:szCs w:val="20"/>
          <w:highlight w:val="none"/>
          <w:lang w:eastAsia="zh-CN"/>
        </w:rPr>
        <w:t>区级财政将</w:t>
      </w:r>
      <w:r>
        <w:rPr>
          <w:rFonts w:hint="eastAsia" w:ascii="Times New Roman" w:hAnsi="Times New Roman" w:eastAsia="方正仿宋_GBK" w:cs="Times New Roman"/>
          <w:color w:val="auto"/>
          <w:sz w:val="32"/>
          <w:szCs w:val="20"/>
          <w:highlight w:val="none"/>
        </w:rPr>
        <w:t>根据全年参保计划，将本级应承担的保费补贴资金，足额列入本级年度预算。</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第十</w:t>
      </w:r>
      <w:r>
        <w:rPr>
          <w:rFonts w:hint="eastAsia" w:ascii="Times New Roman" w:hAnsi="Times New Roman" w:eastAsia="方正黑体_GBK" w:cs="Times New Roman"/>
          <w:color w:val="auto"/>
          <w:sz w:val="32"/>
          <w:szCs w:val="20"/>
          <w:highlight w:val="none"/>
          <w:lang w:val="en-US" w:eastAsia="zh-CN"/>
        </w:rPr>
        <w:t>四</w:t>
      </w:r>
      <w:r>
        <w:rPr>
          <w:rFonts w:hint="eastAsia" w:ascii="Times New Roman" w:hAnsi="Times New Roman" w:eastAsia="方正黑体_GBK" w:cs="Times New Roman"/>
          <w:color w:val="auto"/>
          <w:sz w:val="32"/>
          <w:szCs w:val="20"/>
          <w:highlight w:val="none"/>
        </w:rPr>
        <w:t>条</w:t>
      </w:r>
      <w:r>
        <w:rPr>
          <w:rFonts w:hint="eastAsia" w:ascii="Times New Roman" w:hAnsi="Times New Roman" w:eastAsia="方正仿宋_GBK" w:cs="Times New Roman"/>
          <w:color w:val="auto"/>
          <w:sz w:val="32"/>
          <w:szCs w:val="20"/>
          <w:highlight w:val="none"/>
        </w:rPr>
        <w:t xml:space="preserve">  保费补贴资金实行专款专用、据实结算。</w:t>
      </w:r>
      <w:r>
        <w:rPr>
          <w:rFonts w:hint="eastAsia" w:ascii="Times New Roman" w:hAnsi="Times New Roman" w:eastAsia="方正仿宋_GBK" w:cs="Times New Roman"/>
          <w:color w:val="auto"/>
          <w:sz w:val="32"/>
          <w:szCs w:val="20"/>
          <w:highlight w:val="none"/>
          <w:lang w:eastAsia="zh-CN"/>
        </w:rPr>
        <w:t>区级年初预算下达资金，在年末存在结余的，将统一收回区财政。</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第十</w:t>
      </w:r>
      <w:r>
        <w:rPr>
          <w:rFonts w:hint="eastAsia" w:ascii="Times New Roman" w:hAnsi="Times New Roman" w:eastAsia="方正黑体_GBK" w:cs="Times New Roman"/>
          <w:color w:val="auto"/>
          <w:sz w:val="32"/>
          <w:szCs w:val="20"/>
          <w:highlight w:val="none"/>
          <w:lang w:val="en-US" w:eastAsia="zh-CN"/>
        </w:rPr>
        <w:t>五</w:t>
      </w:r>
      <w:r>
        <w:rPr>
          <w:rFonts w:hint="eastAsia" w:ascii="Times New Roman" w:hAnsi="Times New Roman" w:eastAsia="方正黑体_GBK" w:cs="Times New Roman"/>
          <w:color w:val="auto"/>
          <w:sz w:val="32"/>
          <w:szCs w:val="20"/>
          <w:highlight w:val="none"/>
        </w:rPr>
        <w:t>条</w:t>
      </w:r>
      <w:r>
        <w:rPr>
          <w:rFonts w:hint="eastAsia" w:ascii="Times New Roman" w:hAnsi="Times New Roman" w:eastAsia="方正仿宋_GBK" w:cs="Times New Roman"/>
          <w:color w:val="auto"/>
          <w:sz w:val="32"/>
          <w:szCs w:val="20"/>
          <w:highlight w:val="none"/>
        </w:rPr>
        <w:t xml:space="preserve">  承保机构应加强对承保标的的核验，对承保理赔数据的真实性负责。承保机构签订保单后，应当按季向行业主管部门报送《农业保险保费补贴资金申请表》（附件</w:t>
      </w:r>
      <w:r>
        <w:rPr>
          <w:rFonts w:hint="default" w:ascii="Times New Roman" w:hAnsi="Times New Roman" w:eastAsia="方正仿宋_GBK" w:cs="Times New Roman"/>
          <w:color w:val="auto"/>
          <w:sz w:val="32"/>
          <w:szCs w:val="20"/>
          <w:highlight w:val="none"/>
          <w:lang w:val="en-US" w:eastAsia="zh-CN"/>
        </w:rPr>
        <w:t>1</w:t>
      </w:r>
      <w:r>
        <w:rPr>
          <w:rFonts w:hint="eastAsia" w:ascii="Times New Roman" w:hAnsi="Times New Roman" w:eastAsia="方正仿宋_GBK" w:cs="Times New Roman"/>
          <w:color w:val="auto"/>
          <w:sz w:val="32"/>
          <w:szCs w:val="20"/>
          <w:highlight w:val="none"/>
        </w:rPr>
        <w:t>）；行业主管部门会同</w:t>
      </w:r>
      <w:r>
        <w:rPr>
          <w:rFonts w:hint="eastAsia" w:ascii="Times New Roman" w:hAnsi="Times New Roman" w:eastAsia="方正仿宋_GBK" w:cs="Times New Roman"/>
          <w:color w:val="auto"/>
          <w:sz w:val="32"/>
          <w:szCs w:val="20"/>
          <w:highlight w:val="none"/>
          <w:lang w:val="en-US" w:eastAsia="zh-CN"/>
        </w:rPr>
        <w:t>街镇等</w:t>
      </w:r>
      <w:r>
        <w:rPr>
          <w:rFonts w:hint="eastAsia" w:ascii="Times New Roman" w:hAnsi="Times New Roman" w:eastAsia="方正仿宋_GBK" w:cs="Times New Roman"/>
          <w:color w:val="auto"/>
          <w:sz w:val="32"/>
          <w:szCs w:val="20"/>
          <w:highlight w:val="none"/>
        </w:rPr>
        <w:t>相关部门</w:t>
      </w:r>
      <w:r>
        <w:rPr>
          <w:rFonts w:hint="eastAsia" w:ascii="Times New Roman" w:hAnsi="Times New Roman" w:eastAsia="方正仿宋_GBK" w:cs="Times New Roman"/>
          <w:color w:val="auto"/>
          <w:sz w:val="32"/>
          <w:szCs w:val="20"/>
          <w:highlight w:val="none"/>
          <w:lang w:val="en-US" w:eastAsia="zh-CN"/>
        </w:rPr>
        <w:t>对</w:t>
      </w:r>
      <w:r>
        <w:rPr>
          <w:rFonts w:hint="eastAsia" w:ascii="Times New Roman" w:hAnsi="Times New Roman" w:eastAsia="方正仿宋_GBK" w:cs="Times New Roman"/>
          <w:color w:val="auto"/>
          <w:sz w:val="32"/>
          <w:szCs w:val="20"/>
          <w:highlight w:val="none"/>
        </w:rPr>
        <w:t>补贴险种参保情况</w:t>
      </w:r>
      <w:r>
        <w:rPr>
          <w:rFonts w:hint="eastAsia" w:ascii="Times New Roman" w:hAnsi="Times New Roman" w:eastAsia="方正仿宋_GBK" w:cs="Times New Roman"/>
          <w:color w:val="auto"/>
          <w:sz w:val="32"/>
          <w:szCs w:val="20"/>
          <w:highlight w:val="none"/>
          <w:lang w:val="en-US" w:eastAsia="zh-CN"/>
        </w:rPr>
        <w:t>进行抽查</w:t>
      </w:r>
      <w:r>
        <w:rPr>
          <w:rFonts w:hint="eastAsia" w:ascii="Times New Roman" w:hAnsi="Times New Roman" w:eastAsia="方正仿宋_GBK" w:cs="Times New Roman"/>
          <w:color w:val="auto"/>
          <w:sz w:val="32"/>
          <w:szCs w:val="20"/>
          <w:highlight w:val="none"/>
        </w:rPr>
        <w:t>，并对参保数量等基础数据进行审核。</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第十</w:t>
      </w:r>
      <w:r>
        <w:rPr>
          <w:rFonts w:hint="eastAsia" w:ascii="Times New Roman" w:hAnsi="Times New Roman" w:eastAsia="方正黑体_GBK" w:cs="Times New Roman"/>
          <w:color w:val="auto"/>
          <w:sz w:val="32"/>
          <w:szCs w:val="20"/>
          <w:highlight w:val="none"/>
          <w:lang w:val="en-US" w:eastAsia="zh-CN"/>
        </w:rPr>
        <w:t>六</w:t>
      </w:r>
      <w:r>
        <w:rPr>
          <w:rFonts w:hint="eastAsia" w:ascii="Times New Roman" w:hAnsi="Times New Roman" w:eastAsia="方正黑体_GBK" w:cs="Times New Roman"/>
          <w:color w:val="auto"/>
          <w:sz w:val="32"/>
          <w:szCs w:val="20"/>
          <w:highlight w:val="none"/>
        </w:rPr>
        <w:t xml:space="preserve">条 </w:t>
      </w:r>
      <w:r>
        <w:rPr>
          <w:rFonts w:hint="eastAsia" w:ascii="Times New Roman" w:hAnsi="Times New Roman" w:eastAsia="方正仿宋_GBK" w:cs="Times New Roman"/>
          <w:color w:val="auto"/>
          <w:sz w:val="32"/>
          <w:szCs w:val="20"/>
          <w:highlight w:val="none"/>
        </w:rPr>
        <w:t xml:space="preserve"> </w:t>
      </w:r>
      <w:r>
        <w:rPr>
          <w:rFonts w:hint="eastAsia" w:ascii="Times New Roman" w:hAnsi="Times New Roman" w:eastAsia="方正仿宋_GBK" w:cs="Times New Roman"/>
          <w:color w:val="auto"/>
          <w:sz w:val="32"/>
          <w:szCs w:val="20"/>
          <w:highlight w:val="none"/>
          <w:lang w:eastAsia="zh-CN"/>
        </w:rPr>
        <w:t>区财政</w:t>
      </w:r>
      <w:r>
        <w:rPr>
          <w:rFonts w:hint="eastAsia" w:ascii="Times New Roman" w:hAnsi="Times New Roman" w:eastAsia="方正仿宋_GBK" w:cs="Times New Roman"/>
          <w:color w:val="auto"/>
          <w:sz w:val="32"/>
          <w:szCs w:val="20"/>
          <w:highlight w:val="none"/>
        </w:rPr>
        <w:t>在审核保费补贴资金时，会同行业主管部门要求承保机构提供对应业务的保单级数据。保单级数据</w:t>
      </w:r>
      <w:r>
        <w:rPr>
          <w:rFonts w:hint="eastAsia" w:ascii="Times New Roman" w:hAnsi="Times New Roman" w:eastAsia="方正仿宋_GBK" w:cs="Times New Roman"/>
          <w:color w:val="auto"/>
          <w:sz w:val="32"/>
          <w:szCs w:val="20"/>
          <w:highlight w:val="none"/>
          <w:lang w:val="en-US" w:eastAsia="zh-CN"/>
        </w:rPr>
        <w:t>和资金拨付申请资料</w:t>
      </w:r>
      <w:r>
        <w:rPr>
          <w:rFonts w:hint="eastAsia" w:ascii="Times New Roman" w:hAnsi="Times New Roman" w:eastAsia="方正仿宋_GBK" w:cs="Times New Roman"/>
          <w:color w:val="auto"/>
          <w:sz w:val="32"/>
          <w:szCs w:val="20"/>
          <w:highlight w:val="none"/>
        </w:rPr>
        <w:t>由行业主管部门留存，且至少保存</w:t>
      </w:r>
      <w:r>
        <w:rPr>
          <w:rFonts w:hint="default" w:ascii="Times New Roman" w:hAnsi="Times New Roman" w:eastAsia="方正仿宋_GBK" w:cs="Times New Roman"/>
          <w:color w:val="auto"/>
          <w:sz w:val="32"/>
          <w:szCs w:val="20"/>
          <w:highlight w:val="none"/>
        </w:rPr>
        <w:t>10</w:t>
      </w:r>
      <w:r>
        <w:rPr>
          <w:rFonts w:hint="eastAsia" w:ascii="Times New Roman" w:hAnsi="Times New Roman" w:eastAsia="方正仿宋_GBK" w:cs="Times New Roman"/>
          <w:color w:val="auto"/>
          <w:sz w:val="32"/>
          <w:szCs w:val="20"/>
          <w:highlight w:val="none"/>
        </w:rPr>
        <w:t>年。保单级数据要做到可核验、可追溯、可追责。</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第十</w:t>
      </w:r>
      <w:r>
        <w:rPr>
          <w:rFonts w:hint="eastAsia" w:ascii="Times New Roman" w:hAnsi="Times New Roman" w:eastAsia="方正黑体_GBK" w:cs="Times New Roman"/>
          <w:color w:val="auto"/>
          <w:sz w:val="32"/>
          <w:szCs w:val="20"/>
          <w:highlight w:val="none"/>
          <w:lang w:val="en-US" w:eastAsia="zh-CN"/>
        </w:rPr>
        <w:t>七</w:t>
      </w:r>
      <w:r>
        <w:rPr>
          <w:rFonts w:hint="eastAsia" w:ascii="Times New Roman" w:hAnsi="Times New Roman" w:eastAsia="方正黑体_GBK" w:cs="Times New Roman"/>
          <w:color w:val="auto"/>
          <w:sz w:val="32"/>
          <w:szCs w:val="20"/>
          <w:highlight w:val="none"/>
        </w:rPr>
        <w:t xml:space="preserve">条 </w:t>
      </w:r>
      <w:r>
        <w:rPr>
          <w:rFonts w:hint="eastAsia" w:ascii="Times New Roman" w:hAnsi="Times New Roman" w:eastAsia="方正仿宋_GBK" w:cs="Times New Roman"/>
          <w:color w:val="auto"/>
          <w:sz w:val="32"/>
          <w:szCs w:val="20"/>
          <w:highlight w:val="none"/>
        </w:rPr>
        <w:t xml:space="preserve"> </w:t>
      </w:r>
      <w:r>
        <w:rPr>
          <w:rFonts w:hint="eastAsia" w:ascii="Times New Roman" w:hAnsi="Times New Roman" w:eastAsia="方正仿宋_GBK" w:cs="Times New Roman"/>
          <w:color w:val="auto"/>
          <w:sz w:val="32"/>
          <w:szCs w:val="20"/>
          <w:highlight w:val="none"/>
          <w:lang w:eastAsia="zh-CN"/>
        </w:rPr>
        <w:t>行业主管部门</w:t>
      </w:r>
      <w:r>
        <w:rPr>
          <w:rFonts w:hint="eastAsia" w:ascii="Times New Roman" w:hAnsi="Times New Roman" w:eastAsia="方正仿宋_GBK" w:cs="Times New Roman"/>
          <w:color w:val="auto"/>
          <w:sz w:val="32"/>
          <w:szCs w:val="20"/>
          <w:highlight w:val="none"/>
        </w:rPr>
        <w:t>在收到承保机构保费补贴资金申请后，原则上应在一个季度内完成审核和资金</w:t>
      </w:r>
      <w:r>
        <w:rPr>
          <w:rFonts w:hint="eastAsia" w:ascii="Times New Roman" w:hAnsi="Times New Roman" w:eastAsia="方正仿宋_GBK" w:cs="Times New Roman"/>
          <w:color w:val="auto"/>
          <w:sz w:val="32"/>
          <w:szCs w:val="20"/>
          <w:highlight w:val="none"/>
          <w:lang w:eastAsia="zh-CN"/>
        </w:rPr>
        <w:t>申请</w:t>
      </w:r>
      <w:r>
        <w:rPr>
          <w:rFonts w:hint="eastAsia" w:ascii="Times New Roman" w:hAnsi="Times New Roman" w:eastAsia="方正仿宋_GBK" w:cs="Times New Roman"/>
          <w:color w:val="auto"/>
          <w:sz w:val="32"/>
          <w:szCs w:val="20"/>
          <w:highlight w:val="none"/>
        </w:rPr>
        <w:t>拨付工作，超过一个季度仍未</w:t>
      </w:r>
      <w:r>
        <w:rPr>
          <w:rFonts w:hint="eastAsia" w:ascii="Times New Roman" w:hAnsi="Times New Roman" w:eastAsia="方正仿宋_GBK" w:cs="Times New Roman"/>
          <w:color w:val="auto"/>
          <w:sz w:val="32"/>
          <w:szCs w:val="20"/>
          <w:highlight w:val="none"/>
          <w:lang w:eastAsia="zh-CN"/>
        </w:rPr>
        <w:t>提交到区财政的，</w:t>
      </w:r>
      <w:r>
        <w:rPr>
          <w:rFonts w:hint="eastAsia" w:ascii="Times New Roman" w:hAnsi="Times New Roman" w:eastAsia="方正仿宋_GBK" w:cs="Times New Roman"/>
          <w:color w:val="auto"/>
          <w:sz w:val="32"/>
          <w:szCs w:val="20"/>
          <w:highlight w:val="none"/>
        </w:rPr>
        <w:t>应</w:t>
      </w:r>
      <w:r>
        <w:rPr>
          <w:rFonts w:hint="eastAsia" w:ascii="Times New Roman" w:hAnsi="Times New Roman" w:eastAsia="方正仿宋_GBK" w:cs="Times New Roman"/>
          <w:color w:val="auto"/>
          <w:sz w:val="32"/>
          <w:szCs w:val="20"/>
          <w:highlight w:val="none"/>
          <w:lang w:eastAsia="zh-CN"/>
        </w:rPr>
        <w:t>作</w:t>
      </w:r>
      <w:r>
        <w:rPr>
          <w:rFonts w:hint="eastAsia" w:ascii="Times New Roman" w:hAnsi="Times New Roman" w:eastAsia="方正仿宋_GBK" w:cs="Times New Roman"/>
          <w:color w:val="auto"/>
          <w:sz w:val="32"/>
          <w:szCs w:val="20"/>
          <w:highlight w:val="none"/>
        </w:rPr>
        <w:t>书面说明。</w:t>
      </w:r>
      <w:r>
        <w:rPr>
          <w:rFonts w:hint="eastAsia" w:ascii="Times New Roman" w:hAnsi="Times New Roman" w:eastAsia="方正仿宋_GBK" w:cs="Times New Roman"/>
          <w:color w:val="auto"/>
          <w:sz w:val="32"/>
          <w:szCs w:val="20"/>
          <w:highlight w:val="none"/>
          <w:lang w:eastAsia="zh-CN"/>
        </w:rPr>
        <w:t>区财政将根据</w:t>
      </w:r>
      <w:r>
        <w:rPr>
          <w:rFonts w:hint="eastAsia" w:ascii="Times New Roman" w:hAnsi="Times New Roman" w:eastAsia="方正仿宋_GBK" w:cs="Times New Roman"/>
          <w:color w:val="auto"/>
          <w:sz w:val="32"/>
          <w:szCs w:val="20"/>
          <w:highlight w:val="none"/>
        </w:rPr>
        <w:t>承保进度及签单情况，按照预算管理和国库集中支付有关规定，</w:t>
      </w:r>
      <w:r>
        <w:rPr>
          <w:rFonts w:hint="eastAsia" w:ascii="Times New Roman" w:hAnsi="Times New Roman" w:eastAsia="方正仿宋_GBK" w:cs="Times New Roman"/>
          <w:color w:val="auto"/>
          <w:sz w:val="32"/>
          <w:szCs w:val="20"/>
          <w:highlight w:val="none"/>
          <w:lang w:eastAsia="zh-CN"/>
        </w:rPr>
        <w:t>确保</w:t>
      </w:r>
      <w:r>
        <w:rPr>
          <w:rFonts w:hint="eastAsia" w:ascii="Times New Roman" w:hAnsi="Times New Roman" w:eastAsia="方正仿宋_GBK" w:cs="Times New Roman"/>
          <w:color w:val="auto"/>
          <w:sz w:val="32"/>
          <w:szCs w:val="20"/>
          <w:highlight w:val="none"/>
        </w:rPr>
        <w:t>保费补贴资金及时足额拨付</w:t>
      </w:r>
      <w:r>
        <w:rPr>
          <w:rFonts w:hint="eastAsia" w:ascii="Times New Roman" w:hAnsi="Times New Roman" w:eastAsia="方正仿宋_GBK" w:cs="Times New Roman"/>
          <w:color w:val="auto"/>
          <w:sz w:val="32"/>
          <w:szCs w:val="20"/>
          <w:highlight w:val="none"/>
          <w:lang w:eastAsia="zh-CN"/>
        </w:rPr>
        <w:t>，</w:t>
      </w:r>
      <w:r>
        <w:rPr>
          <w:rFonts w:hint="eastAsia" w:ascii="Times New Roman" w:hAnsi="Times New Roman" w:eastAsia="方正仿宋_GBK" w:cs="Times New Roman"/>
          <w:color w:val="auto"/>
          <w:sz w:val="32"/>
          <w:szCs w:val="20"/>
          <w:highlight w:val="none"/>
        </w:rPr>
        <w:t>年度终了</w:t>
      </w:r>
      <w:r>
        <w:rPr>
          <w:rFonts w:hint="eastAsia" w:ascii="Times New Roman" w:hAnsi="Times New Roman" w:eastAsia="方正仿宋_GBK" w:cs="Times New Roman"/>
          <w:color w:val="auto"/>
          <w:sz w:val="32"/>
          <w:szCs w:val="20"/>
          <w:highlight w:val="none"/>
          <w:lang w:eastAsia="zh-CN"/>
        </w:rPr>
        <w:t>时，</w:t>
      </w:r>
      <w:r>
        <w:rPr>
          <w:rFonts w:hint="eastAsia" w:ascii="Times New Roman" w:hAnsi="Times New Roman" w:eastAsia="方正仿宋_GBK" w:cs="Times New Roman"/>
          <w:color w:val="auto"/>
          <w:sz w:val="32"/>
          <w:szCs w:val="20"/>
          <w:highlight w:val="none"/>
        </w:rPr>
        <w:t>全面、准确地向承保机构结算保费补贴资金。</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w:t>
      </w:r>
      <w:r>
        <w:rPr>
          <w:rFonts w:hint="eastAsia" w:ascii="Times New Roman" w:hAnsi="Times New Roman" w:eastAsia="方正黑体_GBK" w:cs="Times New Roman"/>
          <w:color w:val="auto"/>
          <w:sz w:val="32"/>
          <w:szCs w:val="20"/>
          <w:highlight w:val="none"/>
          <w:lang w:eastAsia="zh-CN"/>
        </w:rPr>
        <w:t>十</w:t>
      </w:r>
      <w:r>
        <w:rPr>
          <w:rFonts w:hint="eastAsia" w:ascii="Times New Roman" w:hAnsi="Times New Roman" w:eastAsia="方正黑体_GBK" w:cs="Times New Roman"/>
          <w:color w:val="auto"/>
          <w:sz w:val="32"/>
          <w:szCs w:val="20"/>
          <w:highlight w:val="none"/>
          <w:lang w:val="en-US" w:eastAsia="zh-CN"/>
        </w:rPr>
        <w:t>八</w:t>
      </w:r>
      <w:r>
        <w:rPr>
          <w:rFonts w:hint="eastAsia" w:ascii="Times New Roman" w:hAnsi="Times New Roman" w:eastAsia="方正黑体_GBK" w:cs="Times New Roman"/>
          <w:color w:val="auto"/>
          <w:sz w:val="32"/>
          <w:szCs w:val="20"/>
          <w:highlight w:val="none"/>
        </w:rPr>
        <w:t xml:space="preserve">条 </w:t>
      </w:r>
      <w:r>
        <w:rPr>
          <w:rFonts w:hint="eastAsia" w:ascii="Times New Roman" w:hAnsi="Times New Roman" w:eastAsia="方正仿宋_GBK" w:cs="Times New Roman"/>
          <w:color w:val="auto"/>
          <w:sz w:val="32"/>
          <w:szCs w:val="20"/>
          <w:highlight w:val="none"/>
        </w:rPr>
        <w:t xml:space="preserve"> </w:t>
      </w:r>
      <w:r>
        <w:rPr>
          <w:rFonts w:hint="eastAsia" w:ascii="Times New Roman" w:hAnsi="Times New Roman" w:eastAsia="方正仿宋_GBK" w:cs="Times New Roman"/>
          <w:color w:val="auto"/>
          <w:sz w:val="32"/>
          <w:szCs w:val="20"/>
          <w:highlight w:val="none"/>
          <w:lang w:eastAsia="zh-CN"/>
        </w:rPr>
        <w:t>各行业主管部门</w:t>
      </w:r>
      <w:r>
        <w:rPr>
          <w:rFonts w:hint="eastAsia" w:ascii="Times New Roman" w:hAnsi="Times New Roman" w:eastAsia="方正仿宋_GBK" w:cs="Times New Roman"/>
          <w:color w:val="auto"/>
          <w:sz w:val="32"/>
          <w:szCs w:val="20"/>
          <w:highlight w:val="none"/>
        </w:rPr>
        <w:t>每年</w:t>
      </w:r>
      <w:r>
        <w:rPr>
          <w:rFonts w:hint="default" w:ascii="Times New Roman" w:hAnsi="Times New Roman" w:eastAsia="方正仿宋_GBK" w:cs="Times New Roman"/>
          <w:color w:val="auto"/>
          <w:sz w:val="32"/>
          <w:szCs w:val="20"/>
          <w:highlight w:val="none"/>
          <w:lang w:val="en-US" w:eastAsia="zh-CN"/>
        </w:rPr>
        <w:t>1</w:t>
      </w:r>
      <w:r>
        <w:rPr>
          <w:rFonts w:hint="eastAsia" w:ascii="Times New Roman" w:hAnsi="Times New Roman" w:eastAsia="方正仿宋_GBK" w:cs="Times New Roman"/>
          <w:color w:val="auto"/>
          <w:sz w:val="32"/>
          <w:szCs w:val="20"/>
          <w:highlight w:val="none"/>
        </w:rPr>
        <w:t>月</w:t>
      </w:r>
      <w:r>
        <w:rPr>
          <w:rFonts w:hint="eastAsia" w:ascii="Times New Roman" w:hAnsi="Times New Roman" w:eastAsia="方正仿宋_GBK" w:cs="Times New Roman"/>
          <w:color w:val="auto"/>
          <w:sz w:val="32"/>
          <w:szCs w:val="20"/>
          <w:highlight w:val="none"/>
          <w:lang w:val="en-US" w:eastAsia="zh-CN"/>
        </w:rPr>
        <w:t>初</w:t>
      </w:r>
      <w:r>
        <w:rPr>
          <w:rFonts w:hint="eastAsia" w:ascii="Times New Roman" w:hAnsi="Times New Roman" w:eastAsia="方正仿宋_GBK" w:cs="Times New Roman"/>
          <w:color w:val="auto"/>
          <w:sz w:val="32"/>
          <w:szCs w:val="20"/>
          <w:highlight w:val="none"/>
        </w:rPr>
        <w:t>编制上年度</w:t>
      </w:r>
      <w:r>
        <w:rPr>
          <w:rFonts w:hint="eastAsia" w:ascii="Times New Roman" w:hAnsi="Times New Roman" w:eastAsia="方正仿宋_GBK" w:cs="Times New Roman"/>
          <w:color w:val="auto"/>
          <w:sz w:val="32"/>
          <w:szCs w:val="20"/>
          <w:highlight w:val="none"/>
          <w:lang w:eastAsia="zh-CN"/>
        </w:rPr>
        <w:t>农业保险</w:t>
      </w:r>
      <w:r>
        <w:rPr>
          <w:rFonts w:hint="eastAsia" w:ascii="Times New Roman" w:hAnsi="Times New Roman" w:eastAsia="方正仿宋_GBK" w:cs="Times New Roman"/>
          <w:color w:val="auto"/>
          <w:sz w:val="32"/>
          <w:szCs w:val="20"/>
          <w:highlight w:val="none"/>
        </w:rPr>
        <w:t>财政保费补贴资金结算报告、当年保费补贴申请报告，报告内容包括但不限于资金管理和使用、补贴标准及范围、保险金额及费率、保障措施、生产成本收益数据和相关表格</w:t>
      </w:r>
      <w:r>
        <w:rPr>
          <w:rFonts w:hint="eastAsia" w:ascii="Times New Roman" w:hAnsi="Times New Roman" w:eastAsia="方正仿宋_GBK" w:cs="Times New Roman"/>
          <w:color w:val="auto"/>
          <w:sz w:val="32"/>
          <w:szCs w:val="20"/>
          <w:highlight w:val="none"/>
          <w:lang w:eastAsia="zh-CN"/>
        </w:rPr>
        <w:t>等</w:t>
      </w:r>
      <w:r>
        <w:rPr>
          <w:rFonts w:hint="eastAsia" w:ascii="Times New Roman" w:hAnsi="Times New Roman" w:eastAsia="方正仿宋_GBK" w:cs="Times New Roman"/>
          <w:color w:val="auto"/>
          <w:sz w:val="32"/>
          <w:szCs w:val="20"/>
          <w:highlight w:val="none"/>
        </w:rPr>
        <w:t>（附件</w:t>
      </w:r>
      <w:r>
        <w:rPr>
          <w:rFonts w:hint="default" w:ascii="Times New Roman" w:hAnsi="Times New Roman" w:eastAsia="方正仿宋_GBK" w:cs="Times New Roman"/>
          <w:color w:val="auto"/>
          <w:sz w:val="32"/>
          <w:szCs w:val="20"/>
          <w:highlight w:val="none"/>
          <w:lang w:val="en-US" w:eastAsia="zh-CN"/>
        </w:rPr>
        <w:t>2</w:t>
      </w:r>
      <w:r>
        <w:rPr>
          <w:rFonts w:hint="eastAsia" w:ascii="Times New Roman" w:hAnsi="Times New Roman" w:eastAsia="方正仿宋_GBK" w:cs="Times New Roman"/>
          <w:color w:val="auto"/>
          <w:sz w:val="32"/>
          <w:szCs w:val="20"/>
          <w:highlight w:val="none"/>
        </w:rPr>
        <w:t>）。</w:t>
      </w:r>
      <w:r>
        <w:rPr>
          <w:rFonts w:hint="eastAsia" w:ascii="Times New Roman" w:hAnsi="Times New Roman" w:eastAsia="方正仿宋_GBK" w:cs="Times New Roman"/>
          <w:color w:val="auto"/>
          <w:sz w:val="32"/>
          <w:szCs w:val="20"/>
          <w:highlight w:val="none"/>
          <w:lang w:eastAsia="zh-CN"/>
        </w:rPr>
        <w:t>区财政局汇总分析后报市财政局。</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仿宋_GBK" w:cs="Times New Roman"/>
          <w:color w:val="auto"/>
          <w:sz w:val="32"/>
          <w:szCs w:val="20"/>
          <w:highlight w:val="none"/>
        </w:rPr>
        <w:t>同时，</w:t>
      </w:r>
      <w:r>
        <w:rPr>
          <w:rFonts w:hint="eastAsia" w:ascii="Times New Roman" w:hAnsi="Times New Roman" w:eastAsia="方正仿宋_GBK" w:cs="Times New Roman"/>
          <w:color w:val="auto"/>
          <w:sz w:val="32"/>
          <w:szCs w:val="20"/>
          <w:highlight w:val="none"/>
          <w:lang w:eastAsia="zh-CN"/>
        </w:rPr>
        <w:t>区财政将</w:t>
      </w:r>
      <w:r>
        <w:rPr>
          <w:rFonts w:hint="eastAsia" w:ascii="Times New Roman" w:hAnsi="Times New Roman" w:eastAsia="方正仿宋_GBK" w:cs="Times New Roman"/>
          <w:color w:val="auto"/>
          <w:sz w:val="32"/>
          <w:szCs w:val="20"/>
          <w:highlight w:val="none"/>
        </w:rPr>
        <w:t>会同有关部门，对照农业保险保费补贴综合绩效评价指标表（附件</w:t>
      </w:r>
      <w:r>
        <w:rPr>
          <w:rFonts w:hint="default" w:ascii="Times New Roman" w:hAnsi="Times New Roman" w:eastAsia="方正仿宋_GBK" w:cs="Times New Roman"/>
          <w:color w:val="auto"/>
          <w:sz w:val="32"/>
          <w:szCs w:val="20"/>
          <w:highlight w:val="none"/>
          <w:lang w:val="en-US" w:eastAsia="zh-CN"/>
        </w:rPr>
        <w:t>4</w:t>
      </w:r>
      <w:r>
        <w:rPr>
          <w:rFonts w:hint="eastAsia" w:ascii="Times New Roman" w:hAnsi="Times New Roman" w:eastAsia="方正仿宋_GBK" w:cs="Times New Roman"/>
          <w:color w:val="auto"/>
          <w:sz w:val="32"/>
          <w:szCs w:val="20"/>
          <w:highlight w:val="none"/>
        </w:rPr>
        <w:t>）进行绩效自评，并形成上年度保费补贴综合绩效自评报告，报送市财政局。报告内容包括但不限于各项综合绩效评价指标完成情况、未完成绩效指标的原因和改进措施</w:t>
      </w:r>
      <w:r>
        <w:rPr>
          <w:rFonts w:hint="eastAsia" w:ascii="Times New Roman" w:hAnsi="Times New Roman" w:eastAsia="方正仿宋_GBK" w:cs="Times New Roman"/>
          <w:color w:val="auto"/>
          <w:sz w:val="32"/>
          <w:szCs w:val="20"/>
          <w:highlight w:val="none"/>
          <w:lang w:eastAsia="zh-CN"/>
        </w:rPr>
        <w:t>以及相关表格等</w:t>
      </w:r>
      <w:r>
        <w:rPr>
          <w:rFonts w:hint="eastAsia" w:ascii="Times New Roman" w:hAnsi="Times New Roman" w:eastAsia="方正仿宋_GBK" w:cs="Times New Roman"/>
          <w:color w:val="auto"/>
          <w:sz w:val="32"/>
          <w:szCs w:val="20"/>
          <w:highlight w:val="none"/>
        </w:rPr>
        <w:t>。</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w:t>
      </w:r>
      <w:r>
        <w:rPr>
          <w:rFonts w:hint="eastAsia" w:ascii="Times New Roman" w:hAnsi="Times New Roman" w:eastAsia="方正黑体_GBK" w:cs="Times New Roman"/>
          <w:color w:val="auto"/>
          <w:sz w:val="32"/>
          <w:szCs w:val="20"/>
          <w:highlight w:val="none"/>
          <w:lang w:val="en-US" w:eastAsia="zh-CN"/>
        </w:rPr>
        <w:t>十九</w:t>
      </w:r>
      <w:r>
        <w:rPr>
          <w:rFonts w:hint="eastAsia" w:ascii="Times New Roman" w:hAnsi="Times New Roman" w:eastAsia="方正黑体_GBK" w:cs="Times New Roman"/>
          <w:color w:val="auto"/>
          <w:sz w:val="32"/>
          <w:szCs w:val="20"/>
          <w:highlight w:val="none"/>
        </w:rPr>
        <w:t>条</w:t>
      </w:r>
      <w:r>
        <w:rPr>
          <w:rFonts w:hint="eastAsia" w:ascii="Times New Roman" w:hAnsi="Times New Roman" w:eastAsia="方正仿宋_GBK" w:cs="Times New Roman"/>
          <w:color w:val="auto"/>
          <w:sz w:val="32"/>
          <w:szCs w:val="20"/>
          <w:highlight w:val="none"/>
        </w:rPr>
        <w:t xml:space="preserve">  </w:t>
      </w:r>
      <w:r>
        <w:rPr>
          <w:rFonts w:hint="eastAsia" w:ascii="Times New Roman" w:hAnsi="Times New Roman" w:eastAsia="方正仿宋_GBK" w:cs="Times New Roman"/>
          <w:color w:val="auto"/>
          <w:sz w:val="32"/>
          <w:szCs w:val="20"/>
          <w:highlight w:val="none"/>
          <w:lang w:val="en-US" w:eastAsia="zh-CN"/>
        </w:rPr>
        <w:t>行业主管部门、承保公司</w:t>
      </w:r>
      <w:r>
        <w:rPr>
          <w:rFonts w:hint="eastAsia" w:ascii="Times New Roman" w:hAnsi="Times New Roman" w:eastAsia="方正仿宋_GBK" w:cs="Times New Roman"/>
          <w:color w:val="auto"/>
          <w:sz w:val="32"/>
          <w:szCs w:val="20"/>
          <w:highlight w:val="none"/>
        </w:rPr>
        <w:t>根据补贴险种的投保面积、投保数量、保险金额、保险费率和保费补贴比例等情况，测算下一年度各级财政应当承担的保费补贴资金，填报农业保险保费补贴资金测算表（附件</w:t>
      </w:r>
      <w:r>
        <w:rPr>
          <w:rFonts w:hint="default" w:ascii="Times New Roman" w:hAnsi="Times New Roman" w:eastAsia="方正仿宋_GBK" w:cs="Times New Roman"/>
          <w:color w:val="auto"/>
          <w:sz w:val="32"/>
          <w:szCs w:val="20"/>
          <w:highlight w:val="none"/>
          <w:lang w:val="en-US" w:eastAsia="zh-CN"/>
        </w:rPr>
        <w:t>3</w:t>
      </w:r>
      <w:r>
        <w:rPr>
          <w:rFonts w:hint="eastAsia" w:ascii="Times New Roman" w:hAnsi="Times New Roman" w:eastAsia="方正仿宋_GBK" w:cs="Times New Roman"/>
          <w:color w:val="auto"/>
          <w:sz w:val="32"/>
          <w:szCs w:val="20"/>
          <w:highlight w:val="none"/>
        </w:rPr>
        <w:t>），</w:t>
      </w:r>
      <w:r>
        <w:rPr>
          <w:rFonts w:hint="eastAsia" w:ascii="Times New Roman" w:hAnsi="Times New Roman" w:eastAsia="方正仿宋_GBK" w:cs="Times New Roman"/>
          <w:color w:val="auto"/>
          <w:sz w:val="32"/>
          <w:szCs w:val="20"/>
          <w:highlight w:val="none"/>
          <w:lang w:val="en-US" w:eastAsia="zh-CN"/>
        </w:rPr>
        <w:t>于每年</w:t>
      </w:r>
      <w:r>
        <w:rPr>
          <w:rFonts w:hint="default" w:ascii="Times New Roman" w:hAnsi="Times New Roman" w:eastAsia="方正仿宋_GBK" w:cs="Times New Roman"/>
          <w:color w:val="auto"/>
          <w:sz w:val="32"/>
          <w:szCs w:val="20"/>
          <w:highlight w:val="none"/>
          <w:lang w:val="en-US" w:eastAsia="zh-CN"/>
        </w:rPr>
        <w:t>6</w:t>
      </w:r>
      <w:r>
        <w:rPr>
          <w:rFonts w:hint="eastAsia" w:ascii="Times New Roman" w:hAnsi="Times New Roman" w:eastAsia="方正仿宋_GBK" w:cs="Times New Roman"/>
          <w:color w:val="auto"/>
          <w:sz w:val="32"/>
          <w:szCs w:val="20"/>
          <w:highlight w:val="none"/>
          <w:lang w:val="en-US" w:eastAsia="zh-CN"/>
        </w:rPr>
        <w:t>月</w:t>
      </w:r>
      <w:r>
        <w:rPr>
          <w:rFonts w:hint="default" w:ascii="Times New Roman" w:hAnsi="Times New Roman" w:eastAsia="方正仿宋_GBK" w:cs="Times New Roman"/>
          <w:color w:val="auto"/>
          <w:sz w:val="32"/>
          <w:szCs w:val="20"/>
          <w:highlight w:val="none"/>
          <w:lang w:val="en-US" w:eastAsia="zh-CN"/>
        </w:rPr>
        <w:t>30</w:t>
      </w:r>
      <w:r>
        <w:rPr>
          <w:rFonts w:hint="eastAsia" w:ascii="Times New Roman" w:hAnsi="Times New Roman" w:eastAsia="方正仿宋_GBK" w:cs="Times New Roman"/>
          <w:color w:val="auto"/>
          <w:sz w:val="32"/>
          <w:szCs w:val="20"/>
          <w:highlight w:val="none"/>
          <w:lang w:val="en-US" w:eastAsia="zh-CN"/>
        </w:rPr>
        <w:t>日之前报区财政局，</w:t>
      </w:r>
      <w:r>
        <w:rPr>
          <w:rFonts w:hint="eastAsia" w:ascii="Times New Roman" w:hAnsi="Times New Roman" w:eastAsia="方正仿宋_GBK" w:cs="Times New Roman"/>
          <w:color w:val="auto"/>
          <w:sz w:val="32"/>
          <w:szCs w:val="20"/>
          <w:highlight w:val="none"/>
          <w:lang w:eastAsia="zh-CN"/>
        </w:rPr>
        <w:t>区财政将</w:t>
      </w:r>
      <w:r>
        <w:rPr>
          <w:rFonts w:hint="eastAsia" w:ascii="Times New Roman" w:hAnsi="Times New Roman" w:eastAsia="方正仿宋_GBK" w:cs="Times New Roman"/>
          <w:color w:val="auto"/>
          <w:sz w:val="32"/>
          <w:szCs w:val="20"/>
          <w:highlight w:val="none"/>
        </w:rPr>
        <w:t>加强和完善预算编制工作，于每年</w:t>
      </w:r>
      <w:r>
        <w:rPr>
          <w:rFonts w:hint="default" w:ascii="Times New Roman" w:hAnsi="Times New Roman" w:eastAsia="方正仿宋_GBK" w:cs="Times New Roman"/>
          <w:color w:val="auto"/>
          <w:sz w:val="32"/>
          <w:szCs w:val="20"/>
          <w:highlight w:val="none"/>
        </w:rPr>
        <w:t>7</w:t>
      </w:r>
      <w:r>
        <w:rPr>
          <w:rFonts w:hint="eastAsia" w:ascii="Times New Roman" w:hAnsi="Times New Roman" w:eastAsia="方正仿宋_GBK" w:cs="Times New Roman"/>
          <w:color w:val="auto"/>
          <w:sz w:val="32"/>
          <w:szCs w:val="20"/>
          <w:highlight w:val="none"/>
        </w:rPr>
        <w:t>月</w:t>
      </w:r>
      <w:r>
        <w:rPr>
          <w:rFonts w:hint="default" w:ascii="Times New Roman" w:hAnsi="Times New Roman" w:eastAsia="方正仿宋_GBK" w:cs="Times New Roman"/>
          <w:color w:val="auto"/>
          <w:sz w:val="32"/>
          <w:szCs w:val="20"/>
          <w:highlight w:val="none"/>
        </w:rPr>
        <w:t>30</w:t>
      </w:r>
      <w:r>
        <w:rPr>
          <w:rFonts w:hint="eastAsia" w:ascii="Times New Roman" w:hAnsi="Times New Roman" w:eastAsia="方正仿宋_GBK" w:cs="Times New Roman"/>
          <w:color w:val="auto"/>
          <w:sz w:val="32"/>
          <w:szCs w:val="20"/>
          <w:highlight w:val="none"/>
        </w:rPr>
        <w:t>日前形成正式文件报送市财政局。</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第二十条</w:t>
      </w:r>
      <w:r>
        <w:rPr>
          <w:rFonts w:hint="eastAsia" w:ascii="Times New Roman" w:hAnsi="Times New Roman" w:eastAsia="方正仿宋_GBK" w:cs="Times New Roman"/>
          <w:color w:val="auto"/>
          <w:sz w:val="32"/>
          <w:szCs w:val="20"/>
          <w:highlight w:val="none"/>
        </w:rPr>
        <w:t xml:space="preserve">  </w:t>
      </w:r>
      <w:r>
        <w:rPr>
          <w:rFonts w:hint="eastAsia" w:ascii="Times New Roman" w:hAnsi="Times New Roman" w:eastAsia="方正仿宋_GBK" w:cs="Times New Roman"/>
          <w:color w:val="auto"/>
          <w:sz w:val="32"/>
          <w:szCs w:val="20"/>
          <w:highlight w:val="none"/>
          <w:lang w:eastAsia="zh-CN"/>
        </w:rPr>
        <w:t>区</w:t>
      </w:r>
      <w:r>
        <w:rPr>
          <w:rFonts w:hint="eastAsia" w:ascii="Times New Roman" w:hAnsi="Times New Roman" w:eastAsia="方正仿宋_GBK" w:cs="Times New Roman"/>
          <w:color w:val="auto"/>
          <w:sz w:val="32"/>
          <w:szCs w:val="20"/>
          <w:highlight w:val="none"/>
        </w:rPr>
        <w:t>财政根据</w:t>
      </w:r>
      <w:r>
        <w:rPr>
          <w:rFonts w:hint="eastAsia" w:ascii="Times New Roman" w:hAnsi="Times New Roman" w:eastAsia="方正仿宋_GBK" w:cs="Times New Roman"/>
          <w:color w:val="auto"/>
          <w:sz w:val="32"/>
          <w:szCs w:val="20"/>
          <w:highlight w:val="none"/>
          <w:lang w:eastAsia="zh-CN"/>
        </w:rPr>
        <w:t>上年度投保情况，</w:t>
      </w:r>
      <w:r>
        <w:rPr>
          <w:rFonts w:hint="eastAsia" w:ascii="Times New Roman" w:hAnsi="Times New Roman" w:eastAsia="方正仿宋_GBK" w:cs="Times New Roman"/>
          <w:color w:val="auto"/>
          <w:sz w:val="32"/>
          <w:szCs w:val="20"/>
          <w:highlight w:val="none"/>
        </w:rPr>
        <w:t>结合预算下达、资金拨付、</w:t>
      </w:r>
      <w:r>
        <w:rPr>
          <w:rFonts w:hint="eastAsia" w:ascii="Times New Roman" w:hAnsi="Times New Roman" w:eastAsia="方正仿宋_GBK" w:cs="Times New Roman"/>
          <w:color w:val="auto"/>
          <w:sz w:val="32"/>
          <w:szCs w:val="20"/>
          <w:highlight w:val="none"/>
          <w:lang w:eastAsia="zh-CN"/>
        </w:rPr>
        <w:t>市财政局</w:t>
      </w:r>
      <w:r>
        <w:rPr>
          <w:rFonts w:hint="eastAsia" w:ascii="Times New Roman" w:hAnsi="Times New Roman" w:eastAsia="方正仿宋_GBK" w:cs="Times New Roman"/>
          <w:color w:val="auto"/>
          <w:sz w:val="32"/>
          <w:szCs w:val="20"/>
          <w:highlight w:val="none"/>
        </w:rPr>
        <w:t>审核结果等，</w:t>
      </w:r>
      <w:r>
        <w:rPr>
          <w:rFonts w:hint="eastAsia" w:ascii="Times New Roman" w:hAnsi="Times New Roman" w:eastAsia="方正仿宋_GBK" w:cs="Times New Roman"/>
          <w:color w:val="auto"/>
          <w:sz w:val="32"/>
          <w:szCs w:val="20"/>
          <w:highlight w:val="none"/>
          <w:lang w:eastAsia="zh-CN"/>
        </w:rPr>
        <w:t>与行业主管部门清理</w:t>
      </w:r>
      <w:r>
        <w:rPr>
          <w:rFonts w:hint="eastAsia" w:ascii="Times New Roman" w:hAnsi="Times New Roman" w:eastAsia="方正仿宋_GBK" w:cs="Times New Roman"/>
          <w:color w:val="auto"/>
          <w:sz w:val="32"/>
          <w:szCs w:val="20"/>
          <w:highlight w:val="none"/>
        </w:rPr>
        <w:t>上年度保费补贴资金，</w:t>
      </w:r>
      <w:r>
        <w:rPr>
          <w:rFonts w:hint="eastAsia" w:ascii="Times New Roman" w:hAnsi="Times New Roman" w:eastAsia="方正仿宋_GBK" w:cs="Times New Roman"/>
          <w:color w:val="auto"/>
          <w:sz w:val="32"/>
          <w:szCs w:val="20"/>
          <w:highlight w:val="none"/>
          <w:lang w:eastAsia="zh-CN"/>
        </w:rPr>
        <w:t>同时及时</w:t>
      </w:r>
      <w:r>
        <w:rPr>
          <w:rFonts w:hint="eastAsia" w:ascii="Times New Roman" w:hAnsi="Times New Roman" w:eastAsia="方正仿宋_GBK" w:cs="Times New Roman"/>
          <w:color w:val="auto"/>
          <w:sz w:val="32"/>
          <w:szCs w:val="20"/>
          <w:highlight w:val="none"/>
        </w:rPr>
        <w:t>下达当年保费补贴资金预算。</w:t>
      </w:r>
    </w:p>
    <w:p>
      <w:pPr>
        <w:spacing w:line="578" w:lineRule="exact"/>
        <w:rPr>
          <w:rFonts w:hint="eastAsia" w:ascii="Times New Roman" w:hAnsi="Times New Roman" w:eastAsia="方正仿宋_GBK" w:cs="Times New Roman"/>
          <w:color w:val="auto"/>
          <w:sz w:val="32"/>
          <w:szCs w:val="20"/>
          <w:highlight w:val="none"/>
        </w:rPr>
      </w:pPr>
    </w:p>
    <w:p>
      <w:pPr>
        <w:numPr>
          <w:ilvl w:val="0"/>
          <w:numId w:val="1"/>
        </w:numPr>
        <w:spacing w:line="578" w:lineRule="exact"/>
        <w:ind w:left="0" w:leftChars="0" w:firstLine="0" w:firstLineChars="0"/>
        <w:jc w:val="center"/>
        <w:rPr>
          <w:rFonts w:hint="eastAsia" w:ascii="Times New Roman" w:hAnsi="Times New Roman" w:eastAsia="方正黑体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 xml:space="preserve"> 承保机构管理</w:t>
      </w:r>
    </w:p>
    <w:p>
      <w:pPr>
        <w:pStyle w:val="2"/>
        <w:numPr>
          <w:ilvl w:val="0"/>
          <w:numId w:val="0"/>
        </w:numPr>
        <w:ind w:leftChars="0"/>
      </w:pPr>
    </w:p>
    <w:p>
      <w:pPr>
        <w:spacing w:line="578" w:lineRule="exact"/>
        <w:ind w:firstLine="640" w:firstLineChars="200"/>
        <w:rPr>
          <w:rFonts w:hint="eastAsia" w:ascii="Times New Roman" w:hAnsi="Times New Roman" w:eastAsia="方正仿宋_GBK" w:cs="Times New Roman"/>
          <w:color w:val="auto"/>
          <w:sz w:val="32"/>
          <w:szCs w:val="20"/>
          <w:highlight w:val="none"/>
          <w:lang w:eastAsia="zh-CN"/>
        </w:rPr>
      </w:pPr>
      <w:r>
        <w:rPr>
          <w:rFonts w:hint="eastAsia" w:ascii="Times New Roman" w:hAnsi="Times New Roman" w:eastAsia="方正黑体_GBK" w:cs="Times New Roman"/>
          <w:color w:val="auto"/>
          <w:sz w:val="32"/>
          <w:szCs w:val="20"/>
          <w:highlight w:val="none"/>
        </w:rPr>
        <w:t>第二十</w:t>
      </w:r>
      <w:r>
        <w:rPr>
          <w:rFonts w:hint="eastAsia" w:ascii="Times New Roman" w:hAnsi="Times New Roman" w:eastAsia="方正黑体_GBK" w:cs="Times New Roman"/>
          <w:color w:val="auto"/>
          <w:sz w:val="32"/>
          <w:szCs w:val="20"/>
          <w:highlight w:val="none"/>
          <w:lang w:val="en-US" w:eastAsia="zh-CN"/>
        </w:rPr>
        <w:t>一</w:t>
      </w:r>
      <w:r>
        <w:rPr>
          <w:rFonts w:hint="eastAsia" w:ascii="Times New Roman" w:hAnsi="Times New Roman" w:eastAsia="方正黑体_GBK" w:cs="Times New Roman"/>
          <w:color w:val="auto"/>
          <w:sz w:val="32"/>
          <w:szCs w:val="20"/>
          <w:highlight w:val="none"/>
        </w:rPr>
        <w:t>条</w:t>
      </w:r>
      <w:r>
        <w:rPr>
          <w:rFonts w:hint="eastAsia" w:ascii="Times New Roman" w:hAnsi="Times New Roman" w:eastAsia="方正仿宋_GBK" w:cs="Times New Roman"/>
          <w:color w:val="auto"/>
          <w:sz w:val="32"/>
          <w:szCs w:val="20"/>
          <w:highlight w:val="none"/>
        </w:rPr>
        <w:t xml:space="preserve">  </w:t>
      </w:r>
      <w:r>
        <w:rPr>
          <w:rFonts w:hint="eastAsia" w:ascii="Times New Roman" w:hAnsi="Times New Roman" w:eastAsia="方正仿宋_GBK" w:cs="Times New Roman"/>
          <w:color w:val="auto"/>
          <w:sz w:val="32"/>
          <w:szCs w:val="20"/>
          <w:highlight w:val="none"/>
          <w:lang w:eastAsia="zh-CN"/>
        </w:rPr>
        <w:t>区财政</w:t>
      </w:r>
      <w:r>
        <w:rPr>
          <w:rFonts w:hint="eastAsia" w:ascii="Times New Roman" w:hAnsi="Times New Roman" w:eastAsia="方正仿宋_GBK" w:cs="Times New Roman"/>
          <w:color w:val="auto"/>
          <w:sz w:val="32"/>
          <w:szCs w:val="20"/>
          <w:highlight w:val="none"/>
        </w:rPr>
        <w:t>根据</w:t>
      </w:r>
      <w:r>
        <w:rPr>
          <w:rFonts w:hint="eastAsia" w:ascii="Times New Roman" w:hAnsi="Times New Roman" w:eastAsia="方正仿宋_GBK" w:cs="Times New Roman"/>
          <w:color w:val="auto"/>
          <w:sz w:val="32"/>
          <w:szCs w:val="20"/>
          <w:highlight w:val="none"/>
          <w:lang w:eastAsia="zh-CN"/>
        </w:rPr>
        <w:t>中央、市级财政关于</w:t>
      </w:r>
      <w:r>
        <w:rPr>
          <w:rFonts w:hint="eastAsia" w:ascii="Times New Roman" w:hAnsi="Times New Roman" w:eastAsia="方正仿宋_GBK" w:cs="Times New Roman"/>
          <w:color w:val="auto"/>
          <w:sz w:val="32"/>
          <w:szCs w:val="20"/>
          <w:highlight w:val="none"/>
        </w:rPr>
        <w:t>政策性农业保险承保机构遴选管理工作相关规定</w:t>
      </w:r>
      <w:r>
        <w:rPr>
          <w:rFonts w:hint="eastAsia" w:ascii="Times New Roman" w:hAnsi="Times New Roman" w:eastAsia="方正仿宋_GBK" w:cs="Times New Roman"/>
          <w:color w:val="auto"/>
          <w:sz w:val="32"/>
          <w:szCs w:val="20"/>
          <w:highlight w:val="none"/>
          <w:lang w:eastAsia="zh-CN"/>
        </w:rPr>
        <w:t>和要求</w:t>
      </w:r>
      <w:r>
        <w:rPr>
          <w:rFonts w:hint="eastAsia" w:ascii="Times New Roman" w:hAnsi="Times New Roman" w:eastAsia="方正仿宋_GBK" w:cs="Times New Roman"/>
          <w:color w:val="auto"/>
          <w:sz w:val="32"/>
          <w:szCs w:val="20"/>
          <w:highlight w:val="none"/>
        </w:rPr>
        <w:t>，结合实际，做好补贴险种承保机构遴选、管理、考核等工作，按照公平、公正、公开和优胜劣汰的原则，依法依规确定符合条件的承保机构，承保机构要履行社会责任，把社会效益放在首位，兼顾经济效益，不断提高农业保险服务水平与质量</w:t>
      </w:r>
      <w:r>
        <w:rPr>
          <w:rFonts w:hint="eastAsia" w:ascii="Times New Roman" w:hAnsi="Times New Roman" w:eastAsia="方正仿宋_GBK" w:cs="Times New Roman"/>
          <w:color w:val="auto"/>
          <w:sz w:val="32"/>
          <w:szCs w:val="20"/>
          <w:highlight w:val="none"/>
          <w:lang w:eastAsia="zh-CN"/>
        </w:rPr>
        <w:t>。</w:t>
      </w:r>
    </w:p>
    <w:p>
      <w:pPr>
        <w:spacing w:line="578" w:lineRule="exact"/>
        <w:ind w:firstLine="640" w:firstLineChars="200"/>
        <w:rPr>
          <w:rFonts w:hint="default" w:ascii="Times New Roman" w:hAnsi="Times New Roman" w:eastAsia="方正仿宋_GBK" w:cs="Times New Roman"/>
          <w:color w:val="auto"/>
          <w:sz w:val="32"/>
          <w:szCs w:val="20"/>
          <w:highlight w:val="none"/>
          <w:lang w:val="en-US"/>
        </w:rPr>
      </w:pPr>
      <w:r>
        <w:rPr>
          <w:rFonts w:hint="eastAsia" w:ascii="Times New Roman" w:hAnsi="Times New Roman" w:eastAsia="方正黑体_GBK" w:cs="Times New Roman"/>
          <w:color w:val="auto"/>
          <w:sz w:val="32"/>
          <w:szCs w:val="20"/>
          <w:highlight w:val="none"/>
        </w:rPr>
        <w:t>第二十</w:t>
      </w:r>
      <w:r>
        <w:rPr>
          <w:rFonts w:hint="eastAsia" w:ascii="Times New Roman" w:hAnsi="Times New Roman" w:eastAsia="方正黑体_GBK" w:cs="Times New Roman"/>
          <w:color w:val="auto"/>
          <w:sz w:val="32"/>
          <w:szCs w:val="20"/>
          <w:highlight w:val="none"/>
          <w:lang w:val="en-US" w:eastAsia="zh-CN"/>
        </w:rPr>
        <w:t>二</w:t>
      </w:r>
      <w:r>
        <w:rPr>
          <w:rFonts w:hint="eastAsia" w:ascii="Times New Roman" w:hAnsi="Times New Roman" w:eastAsia="方正黑体_GBK" w:cs="Times New Roman"/>
          <w:color w:val="auto"/>
          <w:sz w:val="32"/>
          <w:szCs w:val="20"/>
          <w:highlight w:val="none"/>
        </w:rPr>
        <w:t>条</w:t>
      </w:r>
      <w:r>
        <w:rPr>
          <w:rFonts w:hint="eastAsia" w:ascii="Times New Roman" w:hAnsi="Times New Roman" w:eastAsia="方正仿宋_GBK" w:cs="Times New Roman"/>
          <w:color w:val="auto"/>
          <w:sz w:val="32"/>
          <w:szCs w:val="20"/>
          <w:highlight w:val="none"/>
        </w:rPr>
        <w:t xml:space="preserve">  </w:t>
      </w:r>
      <w:r>
        <w:rPr>
          <w:rFonts w:hint="eastAsia" w:ascii="Times New Roman" w:hAnsi="Times New Roman" w:eastAsia="方正仿宋_GBK" w:cs="Times New Roman"/>
          <w:color w:val="auto"/>
          <w:sz w:val="32"/>
          <w:szCs w:val="20"/>
          <w:highlight w:val="none"/>
          <w:lang w:eastAsia="zh-CN"/>
        </w:rPr>
        <w:t>区</w:t>
      </w:r>
      <w:r>
        <w:rPr>
          <w:rFonts w:hint="eastAsia" w:ascii="Times New Roman" w:hAnsi="Times New Roman" w:eastAsia="方正仿宋_GBK" w:cs="Times New Roman"/>
          <w:color w:val="auto"/>
          <w:sz w:val="32"/>
          <w:szCs w:val="20"/>
          <w:highlight w:val="none"/>
        </w:rPr>
        <w:t>财政</w:t>
      </w:r>
      <w:r>
        <w:rPr>
          <w:rFonts w:hint="eastAsia" w:ascii="Times New Roman" w:hAnsi="Times New Roman" w:eastAsia="方正仿宋_GBK" w:cs="Times New Roman"/>
          <w:color w:val="auto"/>
          <w:sz w:val="32"/>
          <w:szCs w:val="20"/>
          <w:highlight w:val="none"/>
          <w:lang w:eastAsia="zh-CN"/>
        </w:rPr>
        <w:t>将</w:t>
      </w:r>
      <w:r>
        <w:rPr>
          <w:rFonts w:hint="eastAsia" w:ascii="Times New Roman" w:hAnsi="Times New Roman" w:eastAsia="方正仿宋_GBK" w:cs="Times New Roman"/>
          <w:color w:val="auto"/>
          <w:sz w:val="32"/>
          <w:szCs w:val="20"/>
          <w:highlight w:val="none"/>
        </w:rPr>
        <w:t>会同行业主管部门等，将纳入中央、市级</w:t>
      </w:r>
      <w:r>
        <w:rPr>
          <w:rFonts w:hint="eastAsia" w:ascii="Times New Roman" w:hAnsi="Times New Roman" w:eastAsia="方正仿宋_GBK" w:cs="Times New Roman"/>
          <w:color w:val="auto"/>
          <w:sz w:val="32"/>
          <w:szCs w:val="20"/>
          <w:highlight w:val="none"/>
          <w:lang w:eastAsia="zh-CN"/>
        </w:rPr>
        <w:t>、区级</w:t>
      </w:r>
      <w:r>
        <w:rPr>
          <w:rFonts w:hint="eastAsia" w:ascii="Times New Roman" w:hAnsi="Times New Roman" w:eastAsia="方正仿宋_GBK" w:cs="Times New Roman"/>
          <w:color w:val="auto"/>
          <w:sz w:val="32"/>
          <w:szCs w:val="20"/>
          <w:highlight w:val="none"/>
        </w:rPr>
        <w:t>财政保费补贴范围的种植业、养殖业、林业等险种，在市级遴选的承保机构确定名单中</w:t>
      </w:r>
      <w:r>
        <w:rPr>
          <w:rFonts w:hint="eastAsia" w:ascii="Times New Roman" w:hAnsi="Times New Roman" w:eastAsia="方正仿宋_GBK" w:cs="Times New Roman"/>
          <w:color w:val="auto"/>
          <w:sz w:val="32"/>
          <w:szCs w:val="20"/>
          <w:highlight w:val="none"/>
          <w:lang w:eastAsia="zh-CN"/>
        </w:rPr>
        <w:t>进行遴选，积极落实市财政局</w:t>
      </w:r>
      <w:r>
        <w:rPr>
          <w:rFonts w:hint="eastAsia" w:ascii="Times New Roman" w:hAnsi="Times New Roman" w:eastAsia="方正仿宋_GBK" w:cs="Times New Roman"/>
          <w:color w:val="auto"/>
          <w:sz w:val="32"/>
          <w:szCs w:val="20"/>
          <w:highlight w:val="none"/>
          <w:lang w:val="en-US" w:eastAsia="zh-CN"/>
        </w:rPr>
        <w:t>关于机构数量的规定。在满足绩效评价要求的前提下，承保机构应保持相对稳定，一经确定原则上不少于</w:t>
      </w:r>
      <w:r>
        <w:rPr>
          <w:rFonts w:hint="default" w:ascii="Times New Roman" w:hAnsi="Times New Roman" w:eastAsia="方正仿宋_GBK" w:cs="Times New Roman"/>
          <w:color w:val="auto"/>
          <w:sz w:val="32"/>
          <w:szCs w:val="20"/>
          <w:highlight w:val="none"/>
          <w:lang w:val="en-US" w:eastAsia="zh-CN"/>
        </w:rPr>
        <w:t>3</w:t>
      </w:r>
      <w:r>
        <w:rPr>
          <w:rFonts w:hint="eastAsia" w:ascii="Times New Roman" w:hAnsi="Times New Roman" w:eastAsia="方正仿宋_GBK" w:cs="Times New Roman"/>
          <w:color w:val="auto"/>
          <w:sz w:val="32"/>
          <w:szCs w:val="20"/>
          <w:highlight w:val="none"/>
          <w:lang w:val="en-US" w:eastAsia="zh-CN"/>
        </w:rPr>
        <w:t>年。</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第二十</w:t>
      </w:r>
      <w:r>
        <w:rPr>
          <w:rFonts w:hint="eastAsia" w:ascii="Times New Roman" w:hAnsi="Times New Roman" w:eastAsia="方正黑体_GBK" w:cs="Times New Roman"/>
          <w:color w:val="auto"/>
          <w:sz w:val="32"/>
          <w:szCs w:val="20"/>
          <w:highlight w:val="none"/>
          <w:lang w:val="en-US" w:eastAsia="zh-CN"/>
        </w:rPr>
        <w:t>三</w:t>
      </w:r>
      <w:r>
        <w:rPr>
          <w:rFonts w:hint="eastAsia" w:ascii="Times New Roman" w:hAnsi="Times New Roman" w:eastAsia="方正黑体_GBK" w:cs="Times New Roman"/>
          <w:color w:val="auto"/>
          <w:sz w:val="32"/>
          <w:szCs w:val="20"/>
          <w:highlight w:val="none"/>
        </w:rPr>
        <w:t xml:space="preserve">条 </w:t>
      </w:r>
      <w:r>
        <w:rPr>
          <w:rFonts w:hint="eastAsia" w:ascii="Times New Roman" w:hAnsi="Times New Roman" w:eastAsia="方正仿宋_GBK" w:cs="Times New Roman"/>
          <w:color w:val="auto"/>
          <w:sz w:val="32"/>
          <w:szCs w:val="20"/>
          <w:highlight w:val="none"/>
        </w:rPr>
        <w:t xml:space="preserve"> 承保机构应当按照有关规定，及时、足额计提农业保险大灾风险准备金，逐年滚存，逐步建立应对农业大灾风险的长效机制；同时，应于每年</w:t>
      </w:r>
      <w:r>
        <w:rPr>
          <w:rFonts w:hint="default" w:ascii="Times New Roman" w:hAnsi="Times New Roman" w:eastAsia="方正仿宋_GBK" w:cs="Times New Roman"/>
          <w:color w:val="auto"/>
          <w:sz w:val="32"/>
          <w:szCs w:val="20"/>
          <w:highlight w:val="none"/>
        </w:rPr>
        <w:t>5</w:t>
      </w:r>
      <w:r>
        <w:rPr>
          <w:rFonts w:hint="eastAsia" w:ascii="Times New Roman" w:hAnsi="Times New Roman" w:eastAsia="方正仿宋_GBK" w:cs="Times New Roman"/>
          <w:color w:val="auto"/>
          <w:sz w:val="32"/>
          <w:szCs w:val="20"/>
          <w:highlight w:val="none"/>
        </w:rPr>
        <w:t>月</w:t>
      </w:r>
      <w:r>
        <w:rPr>
          <w:rFonts w:hint="default" w:ascii="Times New Roman" w:hAnsi="Times New Roman" w:eastAsia="方正仿宋_GBK" w:cs="Times New Roman"/>
          <w:color w:val="auto"/>
          <w:sz w:val="32"/>
          <w:szCs w:val="20"/>
          <w:highlight w:val="none"/>
        </w:rPr>
        <w:t>31</w:t>
      </w:r>
      <w:r>
        <w:rPr>
          <w:rFonts w:hint="eastAsia" w:ascii="Times New Roman" w:hAnsi="Times New Roman" w:eastAsia="方正仿宋_GBK" w:cs="Times New Roman"/>
          <w:color w:val="auto"/>
          <w:sz w:val="32"/>
          <w:szCs w:val="20"/>
          <w:highlight w:val="none"/>
        </w:rPr>
        <w:t>日前将上年度农业保险大灾风险准备金提取、使用情况报送</w:t>
      </w:r>
      <w:r>
        <w:rPr>
          <w:rFonts w:hint="eastAsia" w:ascii="Times New Roman" w:hAnsi="Times New Roman" w:eastAsia="方正仿宋_GBK" w:cs="Times New Roman"/>
          <w:color w:val="auto"/>
          <w:sz w:val="32"/>
          <w:szCs w:val="20"/>
          <w:highlight w:val="none"/>
          <w:lang w:eastAsia="zh-CN"/>
        </w:rPr>
        <w:t>区</w:t>
      </w:r>
      <w:r>
        <w:rPr>
          <w:rFonts w:hint="eastAsia" w:ascii="Times New Roman" w:hAnsi="Times New Roman" w:eastAsia="方正仿宋_GBK" w:cs="Times New Roman"/>
          <w:color w:val="auto"/>
          <w:sz w:val="32"/>
          <w:szCs w:val="20"/>
          <w:highlight w:val="none"/>
        </w:rPr>
        <w:t>财政局。</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第二十</w:t>
      </w:r>
      <w:r>
        <w:rPr>
          <w:rFonts w:hint="eastAsia" w:ascii="Times New Roman" w:hAnsi="Times New Roman" w:eastAsia="方正黑体_GBK" w:cs="Times New Roman"/>
          <w:color w:val="auto"/>
          <w:sz w:val="32"/>
          <w:szCs w:val="20"/>
          <w:highlight w:val="none"/>
          <w:lang w:val="en-US" w:eastAsia="zh-CN"/>
        </w:rPr>
        <w:t>四</w:t>
      </w:r>
      <w:r>
        <w:rPr>
          <w:rFonts w:hint="eastAsia" w:ascii="Times New Roman" w:hAnsi="Times New Roman" w:eastAsia="方正黑体_GBK" w:cs="Times New Roman"/>
          <w:color w:val="auto"/>
          <w:sz w:val="32"/>
          <w:szCs w:val="20"/>
          <w:highlight w:val="none"/>
        </w:rPr>
        <w:t>条</w:t>
      </w:r>
      <w:r>
        <w:rPr>
          <w:rFonts w:hint="eastAsia" w:ascii="Times New Roman" w:hAnsi="Times New Roman" w:eastAsia="方正仿宋_GBK" w:cs="Times New Roman"/>
          <w:color w:val="auto"/>
          <w:sz w:val="32"/>
          <w:szCs w:val="20"/>
          <w:highlight w:val="none"/>
        </w:rPr>
        <w:t xml:space="preserve">  承保机构不得引入保险中介机构为农户与承保机构办理补贴险种合同签订等有关事宜。保费及其补贴资金，不得用于向保险中介机构支付手续费或佣金。</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w:t>
      </w:r>
      <w:r>
        <w:rPr>
          <w:rFonts w:hint="eastAsia" w:ascii="Times New Roman" w:hAnsi="Times New Roman" w:eastAsia="方正黑体_GBK" w:cs="Times New Roman"/>
          <w:color w:val="auto"/>
          <w:sz w:val="32"/>
          <w:szCs w:val="20"/>
          <w:highlight w:val="none"/>
          <w:lang w:eastAsia="zh-CN"/>
        </w:rPr>
        <w:t>二十</w:t>
      </w:r>
      <w:r>
        <w:rPr>
          <w:rFonts w:hint="eastAsia" w:ascii="Times New Roman" w:hAnsi="Times New Roman" w:eastAsia="方正黑体_GBK" w:cs="Times New Roman"/>
          <w:color w:val="auto"/>
          <w:sz w:val="32"/>
          <w:szCs w:val="20"/>
          <w:highlight w:val="none"/>
          <w:lang w:val="en-US" w:eastAsia="zh-CN"/>
        </w:rPr>
        <w:t>五</w:t>
      </w:r>
      <w:r>
        <w:rPr>
          <w:rFonts w:hint="eastAsia" w:ascii="Times New Roman" w:hAnsi="Times New Roman" w:eastAsia="方正黑体_GBK" w:cs="Times New Roman"/>
          <w:color w:val="auto"/>
          <w:sz w:val="32"/>
          <w:szCs w:val="20"/>
          <w:highlight w:val="none"/>
        </w:rPr>
        <w:t>条</w:t>
      </w:r>
      <w:r>
        <w:rPr>
          <w:rFonts w:hint="eastAsia" w:ascii="Times New Roman" w:hAnsi="Times New Roman" w:eastAsia="方正仿宋_GBK" w:cs="Times New Roman"/>
          <w:color w:val="auto"/>
          <w:sz w:val="32"/>
          <w:szCs w:val="20"/>
          <w:highlight w:val="none"/>
        </w:rPr>
        <w:t xml:space="preserve">  承保机构应于每年</w:t>
      </w:r>
      <w:r>
        <w:rPr>
          <w:rFonts w:hint="default" w:ascii="Times New Roman" w:hAnsi="Times New Roman" w:eastAsia="方正仿宋_GBK" w:cs="Times New Roman"/>
          <w:color w:val="auto"/>
          <w:sz w:val="32"/>
          <w:szCs w:val="20"/>
          <w:highlight w:val="none"/>
        </w:rPr>
        <w:t>1</w:t>
      </w:r>
      <w:r>
        <w:rPr>
          <w:rFonts w:hint="eastAsia" w:ascii="Times New Roman" w:hAnsi="Times New Roman" w:eastAsia="方正仿宋_GBK" w:cs="Times New Roman"/>
          <w:color w:val="auto"/>
          <w:sz w:val="32"/>
          <w:szCs w:val="20"/>
          <w:highlight w:val="none"/>
        </w:rPr>
        <w:t>月</w:t>
      </w:r>
      <w:r>
        <w:rPr>
          <w:rFonts w:hint="eastAsia" w:ascii="Times New Roman" w:hAnsi="Times New Roman" w:eastAsia="方正仿宋_GBK" w:cs="Times New Roman"/>
          <w:color w:val="auto"/>
          <w:sz w:val="32"/>
          <w:szCs w:val="20"/>
          <w:highlight w:val="none"/>
          <w:lang w:val="en-US" w:eastAsia="zh-CN"/>
        </w:rPr>
        <w:t>初</w:t>
      </w:r>
      <w:r>
        <w:rPr>
          <w:rFonts w:hint="eastAsia" w:ascii="Times New Roman" w:hAnsi="Times New Roman" w:eastAsia="方正仿宋_GBK" w:cs="Times New Roman"/>
          <w:color w:val="auto"/>
          <w:sz w:val="32"/>
          <w:szCs w:val="20"/>
          <w:highlight w:val="none"/>
        </w:rPr>
        <w:t>将上年度农业保险工作情况以正式文件报送</w:t>
      </w:r>
      <w:r>
        <w:rPr>
          <w:rFonts w:hint="eastAsia" w:ascii="Times New Roman" w:hAnsi="Times New Roman" w:eastAsia="方正仿宋_GBK" w:cs="Times New Roman"/>
          <w:color w:val="auto"/>
          <w:sz w:val="32"/>
          <w:szCs w:val="20"/>
          <w:highlight w:val="none"/>
          <w:lang w:eastAsia="zh-CN"/>
        </w:rPr>
        <w:t>区</w:t>
      </w:r>
      <w:r>
        <w:rPr>
          <w:rFonts w:hint="eastAsia" w:ascii="Times New Roman" w:hAnsi="Times New Roman" w:eastAsia="方正仿宋_GBK" w:cs="Times New Roman"/>
          <w:color w:val="auto"/>
          <w:sz w:val="32"/>
          <w:szCs w:val="20"/>
          <w:highlight w:val="none"/>
        </w:rPr>
        <w:t>财政局。工作情况包括但不限于业务开展、工作举措、机构网点建设、大灾风险准备金提取等基本情况，以及存在的主要问题、工作建议、下一步工作打算和相关表格（附件</w:t>
      </w:r>
      <w:r>
        <w:rPr>
          <w:rFonts w:hint="default" w:ascii="Times New Roman" w:hAnsi="Times New Roman" w:eastAsia="方正仿宋_GBK" w:cs="Times New Roman"/>
          <w:color w:val="auto"/>
          <w:sz w:val="32"/>
          <w:szCs w:val="20"/>
          <w:highlight w:val="none"/>
          <w:lang w:val="en-US" w:eastAsia="zh-CN"/>
        </w:rPr>
        <w:t>5</w:t>
      </w:r>
      <w:r>
        <w:rPr>
          <w:rFonts w:hint="eastAsia" w:ascii="Times New Roman" w:hAnsi="Times New Roman" w:eastAsia="方正仿宋_GBK" w:cs="Times New Roman"/>
          <w:color w:val="auto"/>
          <w:sz w:val="32"/>
          <w:szCs w:val="20"/>
          <w:highlight w:val="none"/>
        </w:rPr>
        <w:t>）。</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lang w:eastAsia="zh-CN"/>
        </w:rPr>
        <w:t>第二十</w:t>
      </w:r>
      <w:r>
        <w:rPr>
          <w:rFonts w:hint="eastAsia" w:ascii="Times New Roman" w:hAnsi="Times New Roman" w:eastAsia="方正黑体_GBK" w:cs="Times New Roman"/>
          <w:color w:val="auto"/>
          <w:sz w:val="32"/>
          <w:szCs w:val="20"/>
          <w:highlight w:val="none"/>
          <w:lang w:val="en-US" w:eastAsia="zh-CN"/>
        </w:rPr>
        <w:t>六</w:t>
      </w:r>
      <w:r>
        <w:rPr>
          <w:rFonts w:hint="eastAsia" w:ascii="Times New Roman" w:hAnsi="Times New Roman" w:eastAsia="方正黑体_GBK" w:cs="Times New Roman"/>
          <w:color w:val="auto"/>
          <w:sz w:val="32"/>
          <w:szCs w:val="20"/>
          <w:highlight w:val="none"/>
          <w:lang w:eastAsia="zh-CN"/>
        </w:rPr>
        <w:t>条</w:t>
      </w:r>
      <w:r>
        <w:rPr>
          <w:rFonts w:hint="eastAsia" w:ascii="Times New Roman" w:hAnsi="Times New Roman" w:eastAsia="方正黑体_GBK" w:cs="Times New Roman"/>
          <w:color w:val="auto"/>
          <w:sz w:val="32"/>
          <w:szCs w:val="20"/>
          <w:highlight w:val="none"/>
          <w:lang w:val="en-US" w:eastAsia="zh-CN"/>
        </w:rPr>
        <w:t xml:space="preserve">  </w:t>
      </w:r>
      <w:r>
        <w:rPr>
          <w:rFonts w:hint="eastAsia" w:ascii="Times New Roman" w:hAnsi="Times New Roman" w:eastAsia="方正仿宋_GBK" w:cs="Times New Roman"/>
          <w:color w:val="auto"/>
          <w:sz w:val="32"/>
          <w:szCs w:val="20"/>
          <w:highlight w:val="none"/>
          <w:lang w:val="en-US" w:eastAsia="zh-CN"/>
        </w:rPr>
        <w:t>承保机构可建立协保员管理制度，按流程设立、公示、聘请、培训协保员，指导协保员开展相关工作。</w:t>
      </w:r>
      <w:r>
        <w:rPr>
          <w:rFonts w:hint="eastAsia" w:ascii="Times New Roman" w:hAnsi="Times New Roman" w:eastAsia="方正仿宋_GBK" w:cs="Times New Roman"/>
          <w:color w:val="auto"/>
          <w:sz w:val="32"/>
          <w:szCs w:val="20"/>
          <w:highlight w:val="none"/>
        </w:rPr>
        <w:t>对</w:t>
      </w:r>
      <w:r>
        <w:rPr>
          <w:rFonts w:hint="eastAsia" w:ascii="Times New Roman" w:hAnsi="Times New Roman" w:eastAsia="方正仿宋_GBK" w:cs="Times New Roman"/>
          <w:color w:val="auto"/>
          <w:sz w:val="32"/>
          <w:szCs w:val="20"/>
          <w:highlight w:val="none"/>
          <w:lang w:eastAsia="zh-CN"/>
        </w:rPr>
        <w:t>街镇</w:t>
      </w:r>
      <w:r>
        <w:rPr>
          <w:rFonts w:hint="eastAsia" w:ascii="Times New Roman" w:hAnsi="Times New Roman" w:eastAsia="方正仿宋_GBK" w:cs="Times New Roman"/>
          <w:color w:val="auto"/>
          <w:sz w:val="32"/>
          <w:szCs w:val="20"/>
          <w:highlight w:val="none"/>
        </w:rPr>
        <w:t>及以上农业保险协办业务的管理，按照《关于进一步规范农业保险工作费用管理使用的通知》（渝财金〔</w:t>
      </w:r>
      <w:r>
        <w:rPr>
          <w:rFonts w:hint="default" w:ascii="Times New Roman" w:hAnsi="Times New Roman" w:eastAsia="方正仿宋_GBK" w:cs="Times New Roman"/>
          <w:color w:val="auto"/>
          <w:sz w:val="32"/>
          <w:szCs w:val="20"/>
          <w:highlight w:val="none"/>
        </w:rPr>
        <w:t>2021</w:t>
      </w:r>
      <w:r>
        <w:rPr>
          <w:rFonts w:hint="eastAsia" w:ascii="Times New Roman" w:hAnsi="Times New Roman" w:eastAsia="方正仿宋_GBK" w:cs="Times New Roman"/>
          <w:color w:val="auto"/>
          <w:sz w:val="32"/>
          <w:szCs w:val="20"/>
          <w:highlight w:val="none"/>
        </w:rPr>
        <w:t>〕</w:t>
      </w:r>
      <w:r>
        <w:rPr>
          <w:rFonts w:hint="default" w:ascii="Times New Roman" w:hAnsi="Times New Roman" w:eastAsia="方正仿宋_GBK" w:cs="Times New Roman"/>
          <w:color w:val="auto"/>
          <w:sz w:val="32"/>
          <w:szCs w:val="20"/>
          <w:highlight w:val="none"/>
        </w:rPr>
        <w:t>61</w:t>
      </w:r>
      <w:r>
        <w:rPr>
          <w:rFonts w:hint="eastAsia" w:ascii="Times New Roman" w:hAnsi="Times New Roman" w:eastAsia="方正仿宋_GBK" w:cs="Times New Roman"/>
          <w:color w:val="auto"/>
          <w:sz w:val="32"/>
          <w:szCs w:val="20"/>
          <w:highlight w:val="none"/>
        </w:rPr>
        <w:t>号）相关规定执行。</w:t>
      </w:r>
    </w:p>
    <w:p>
      <w:pPr>
        <w:spacing w:line="578" w:lineRule="exact"/>
        <w:rPr>
          <w:rFonts w:hint="default" w:ascii="Times New Roman" w:hAnsi="Times New Roman" w:eastAsia="方正仿宋_GBK" w:cs="Times New Roman"/>
          <w:color w:val="auto"/>
          <w:sz w:val="32"/>
          <w:szCs w:val="20"/>
          <w:highlight w:val="none"/>
          <w:lang w:val="en-US" w:eastAsia="zh-CN"/>
        </w:rPr>
      </w:pPr>
      <w:r>
        <w:rPr>
          <w:rFonts w:hint="eastAsia" w:ascii="Times New Roman" w:hAnsi="Times New Roman" w:eastAsia="方正黑体_GBK" w:cs="Times New Roman"/>
          <w:color w:val="auto"/>
          <w:sz w:val="32"/>
          <w:szCs w:val="20"/>
          <w:highlight w:val="none"/>
          <w:lang w:val="en-US" w:eastAsia="zh-CN"/>
        </w:rPr>
        <w:t xml:space="preserve">    </w:t>
      </w:r>
      <w:r>
        <w:rPr>
          <w:rFonts w:hint="eastAsia" w:ascii="Times New Roman" w:hAnsi="Times New Roman" w:eastAsia="方正黑体_GBK" w:cs="Times New Roman"/>
          <w:color w:val="auto"/>
          <w:sz w:val="32"/>
          <w:szCs w:val="20"/>
          <w:highlight w:val="none"/>
        </w:rPr>
        <w:t>第</w:t>
      </w:r>
      <w:r>
        <w:rPr>
          <w:rFonts w:hint="eastAsia" w:ascii="Times New Roman" w:hAnsi="Times New Roman" w:eastAsia="方正黑体_GBK" w:cs="Times New Roman"/>
          <w:color w:val="auto"/>
          <w:sz w:val="32"/>
          <w:szCs w:val="20"/>
          <w:highlight w:val="none"/>
          <w:lang w:val="en-US" w:eastAsia="zh-CN"/>
        </w:rPr>
        <w:t>二十七</w:t>
      </w:r>
      <w:r>
        <w:rPr>
          <w:rFonts w:hint="eastAsia" w:ascii="Times New Roman" w:hAnsi="Times New Roman" w:eastAsia="方正黑体_GBK" w:cs="Times New Roman"/>
          <w:color w:val="auto"/>
          <w:sz w:val="32"/>
          <w:szCs w:val="20"/>
          <w:highlight w:val="none"/>
        </w:rPr>
        <w:t>条</w:t>
      </w:r>
      <w:r>
        <w:rPr>
          <w:rFonts w:hint="eastAsia" w:ascii="Times New Roman" w:hAnsi="Times New Roman" w:eastAsia="方正仿宋_GBK" w:cs="Times New Roman"/>
          <w:color w:val="auto"/>
          <w:sz w:val="32"/>
          <w:szCs w:val="20"/>
          <w:highlight w:val="none"/>
        </w:rPr>
        <w:t xml:space="preserve">  </w:t>
      </w:r>
      <w:r>
        <w:rPr>
          <w:rFonts w:hint="eastAsia" w:ascii="Times New Roman" w:hAnsi="Times New Roman" w:eastAsia="方正仿宋_GBK" w:cs="Times New Roman"/>
          <w:color w:val="auto"/>
          <w:sz w:val="32"/>
          <w:szCs w:val="20"/>
          <w:highlight w:val="none"/>
          <w:lang w:val="en-US" w:eastAsia="zh-CN"/>
        </w:rPr>
        <w:t>承保机构应当根据有关规定，做好补贴险种的承保、查勘、定损、理赔等工作，切实维护投保农户合法权益。</w:t>
      </w:r>
    </w:p>
    <w:p>
      <w:pPr>
        <w:spacing w:line="578" w:lineRule="exact"/>
        <w:ind w:firstLine="640" w:firstLineChars="200"/>
        <w:rPr>
          <w:rFonts w:hint="eastAsia" w:ascii="Times New Roman" w:hAnsi="Times New Roman" w:eastAsia="方正仿宋_GBK" w:cs="Times New Roman"/>
          <w:color w:val="auto"/>
          <w:sz w:val="32"/>
          <w:szCs w:val="20"/>
          <w:highlight w:val="none"/>
          <w:lang w:eastAsia="zh-CN"/>
        </w:rPr>
      </w:pPr>
      <w:r>
        <w:rPr>
          <w:rFonts w:hint="eastAsia" w:ascii="Times New Roman" w:hAnsi="Times New Roman" w:eastAsia="方正黑体_GBK" w:cs="Times New Roman"/>
          <w:color w:val="auto"/>
          <w:sz w:val="32"/>
          <w:szCs w:val="20"/>
          <w:highlight w:val="none"/>
        </w:rPr>
        <w:t>第</w:t>
      </w:r>
      <w:r>
        <w:rPr>
          <w:rFonts w:hint="eastAsia" w:ascii="Times New Roman" w:hAnsi="Times New Roman" w:eastAsia="方正黑体_GBK" w:cs="Times New Roman"/>
          <w:color w:val="auto"/>
          <w:sz w:val="32"/>
          <w:szCs w:val="20"/>
          <w:highlight w:val="none"/>
          <w:lang w:val="en-US" w:eastAsia="zh-CN"/>
        </w:rPr>
        <w:t>二十八</w:t>
      </w:r>
      <w:r>
        <w:rPr>
          <w:rFonts w:hint="eastAsia" w:ascii="Times New Roman" w:hAnsi="Times New Roman" w:eastAsia="方正黑体_GBK" w:cs="Times New Roman"/>
          <w:color w:val="auto"/>
          <w:sz w:val="32"/>
          <w:szCs w:val="20"/>
          <w:highlight w:val="none"/>
        </w:rPr>
        <w:t>条</w:t>
      </w:r>
      <w:r>
        <w:rPr>
          <w:rFonts w:hint="eastAsia" w:ascii="Times New Roman" w:hAnsi="Times New Roman" w:eastAsia="方正仿宋_GBK" w:cs="Times New Roman"/>
          <w:color w:val="auto"/>
          <w:sz w:val="32"/>
          <w:szCs w:val="20"/>
          <w:highlight w:val="none"/>
        </w:rPr>
        <w:t xml:space="preserve">  承保机构要会同</w:t>
      </w:r>
      <w:r>
        <w:rPr>
          <w:rFonts w:hint="eastAsia" w:ascii="Times New Roman" w:hAnsi="Times New Roman" w:eastAsia="方正仿宋_GBK" w:cs="Times New Roman"/>
          <w:color w:val="auto"/>
          <w:sz w:val="32"/>
          <w:szCs w:val="20"/>
          <w:highlight w:val="none"/>
          <w:lang w:eastAsia="zh-CN"/>
        </w:rPr>
        <w:t>行业主管部门、街镇</w:t>
      </w:r>
      <w:r>
        <w:rPr>
          <w:rFonts w:hint="eastAsia" w:ascii="Times New Roman" w:hAnsi="Times New Roman" w:eastAsia="方正仿宋_GBK" w:cs="Times New Roman"/>
          <w:color w:val="auto"/>
          <w:sz w:val="32"/>
          <w:szCs w:val="20"/>
          <w:highlight w:val="none"/>
        </w:rPr>
        <w:t>，做好政策的宣传工作，做到惠农政策、承保情况、理赔结果、服务标准、监管要求“五公开”，做到定损到户、理赔到户，不惜赔、不拖赔，确保农业保险工作公开透明</w:t>
      </w:r>
      <w:r>
        <w:rPr>
          <w:rFonts w:hint="eastAsia" w:ascii="Times New Roman" w:hAnsi="Times New Roman" w:eastAsia="方正仿宋_GBK" w:cs="Times New Roman"/>
          <w:color w:val="auto"/>
          <w:sz w:val="32"/>
          <w:szCs w:val="20"/>
          <w:highlight w:val="none"/>
          <w:lang w:eastAsia="zh-CN"/>
        </w:rPr>
        <w:t>。</w:t>
      </w:r>
    </w:p>
    <w:p>
      <w:pPr>
        <w:spacing w:line="578" w:lineRule="exact"/>
        <w:rPr>
          <w:rFonts w:hint="eastAsia" w:ascii="Times New Roman" w:hAnsi="Times New Roman" w:eastAsia="方正仿宋_GBK" w:cs="Times New Roman"/>
          <w:color w:val="auto"/>
          <w:sz w:val="32"/>
          <w:szCs w:val="20"/>
          <w:highlight w:val="none"/>
        </w:rPr>
      </w:pPr>
    </w:p>
    <w:p>
      <w:pPr>
        <w:numPr>
          <w:ilvl w:val="0"/>
          <w:numId w:val="1"/>
        </w:numPr>
        <w:spacing w:line="578" w:lineRule="exact"/>
        <w:ind w:left="0" w:leftChars="0" w:firstLine="0" w:firstLineChars="0"/>
        <w:jc w:val="center"/>
        <w:rPr>
          <w:rFonts w:hint="eastAsia" w:ascii="Times New Roman" w:hAnsi="Times New Roman" w:eastAsia="方正黑体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 xml:space="preserve"> 绩效管理和监督检查</w:t>
      </w:r>
    </w:p>
    <w:p>
      <w:pPr>
        <w:pStyle w:val="2"/>
        <w:numPr>
          <w:ilvl w:val="0"/>
          <w:numId w:val="0"/>
        </w:numPr>
        <w:ind w:leftChars="0"/>
      </w:pP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w:t>
      </w:r>
      <w:r>
        <w:rPr>
          <w:rFonts w:hint="eastAsia" w:ascii="Times New Roman" w:hAnsi="Times New Roman" w:eastAsia="方正黑体_GBK" w:cs="Times New Roman"/>
          <w:color w:val="auto"/>
          <w:sz w:val="32"/>
          <w:szCs w:val="20"/>
          <w:highlight w:val="none"/>
          <w:lang w:val="en-US" w:eastAsia="zh-CN"/>
        </w:rPr>
        <w:t>二十九</w:t>
      </w:r>
      <w:r>
        <w:rPr>
          <w:rFonts w:hint="eastAsia" w:ascii="Times New Roman" w:hAnsi="Times New Roman" w:eastAsia="方正黑体_GBK" w:cs="Times New Roman"/>
          <w:color w:val="auto"/>
          <w:sz w:val="32"/>
          <w:szCs w:val="20"/>
          <w:highlight w:val="none"/>
        </w:rPr>
        <w:t>条</w:t>
      </w:r>
      <w:r>
        <w:rPr>
          <w:rFonts w:hint="eastAsia" w:ascii="Times New Roman" w:hAnsi="Times New Roman" w:eastAsia="方正仿宋_GBK" w:cs="Times New Roman"/>
          <w:color w:val="auto"/>
          <w:sz w:val="32"/>
          <w:szCs w:val="20"/>
          <w:highlight w:val="none"/>
        </w:rPr>
        <w:t xml:space="preserve">  </w:t>
      </w:r>
      <w:r>
        <w:rPr>
          <w:rFonts w:hint="eastAsia" w:ascii="Times New Roman" w:hAnsi="Times New Roman" w:eastAsia="方正仿宋_GBK" w:cs="Times New Roman"/>
          <w:color w:val="auto"/>
          <w:sz w:val="32"/>
          <w:szCs w:val="20"/>
          <w:highlight w:val="none"/>
          <w:lang w:eastAsia="zh-CN"/>
        </w:rPr>
        <w:t>区财政将</w:t>
      </w:r>
      <w:r>
        <w:rPr>
          <w:rFonts w:hint="eastAsia" w:ascii="Times New Roman" w:hAnsi="Times New Roman" w:eastAsia="方正仿宋_GBK" w:cs="Times New Roman"/>
          <w:color w:val="auto"/>
          <w:sz w:val="32"/>
          <w:szCs w:val="20"/>
          <w:highlight w:val="none"/>
        </w:rPr>
        <w:t>按照全面实施预算绩效管理有关规定，对照绩效目标，开展绩效运行监控，全面掌握农业保险有关情况，确保绩效评价结果真实、全面、准确、有效。注重绩效评价结果运用，将评价结果与遴选承保机构等工作有机结合，提高业务操作规范性和财政资金使用绩效。</w:t>
      </w:r>
    </w:p>
    <w:p>
      <w:pPr>
        <w:spacing w:line="578" w:lineRule="exact"/>
        <w:ind w:firstLine="640" w:firstLineChars="200"/>
        <w:rPr>
          <w:rFonts w:hint="eastAsia" w:ascii="Times New Roman" w:hAnsi="Times New Roman" w:eastAsia="方正仿宋_GBK" w:cs="Times New Roman"/>
          <w:color w:val="auto"/>
          <w:sz w:val="32"/>
          <w:szCs w:val="20"/>
          <w:highlight w:val="none"/>
          <w:lang w:eastAsia="zh-CN"/>
        </w:rPr>
      </w:pPr>
      <w:r>
        <w:rPr>
          <w:rFonts w:hint="eastAsia" w:ascii="Times New Roman" w:hAnsi="Times New Roman" w:eastAsia="方正黑体_GBK" w:cs="Times New Roman"/>
          <w:color w:val="auto"/>
          <w:sz w:val="32"/>
          <w:szCs w:val="20"/>
          <w:highlight w:val="none"/>
        </w:rPr>
        <w:t>第三十条</w:t>
      </w:r>
      <w:r>
        <w:rPr>
          <w:rFonts w:hint="eastAsia" w:ascii="Times New Roman" w:hAnsi="Times New Roman" w:eastAsia="方正黑体_GBK" w:cs="Times New Roman"/>
          <w:color w:val="auto"/>
          <w:sz w:val="32"/>
          <w:szCs w:val="20"/>
          <w:highlight w:val="none"/>
          <w:lang w:val="en-US" w:eastAsia="zh-CN"/>
        </w:rPr>
        <w:t xml:space="preserve"> </w:t>
      </w:r>
      <w:r>
        <w:rPr>
          <w:rFonts w:hint="eastAsia" w:ascii="Times New Roman" w:hAnsi="Times New Roman" w:eastAsia="方正仿宋_GBK" w:cs="Times New Roman"/>
          <w:color w:val="auto"/>
          <w:sz w:val="32"/>
          <w:szCs w:val="20"/>
          <w:highlight w:val="none"/>
          <w:lang w:val="en-US" w:eastAsia="zh-CN"/>
        </w:rPr>
        <w:t xml:space="preserve"> 区财政会同有关部门</w:t>
      </w:r>
      <w:r>
        <w:rPr>
          <w:rFonts w:hint="eastAsia" w:ascii="Times New Roman" w:hAnsi="Times New Roman" w:eastAsia="方正仿宋_GBK" w:cs="Times New Roman"/>
          <w:color w:val="auto"/>
          <w:sz w:val="32"/>
          <w:szCs w:val="20"/>
          <w:highlight w:val="none"/>
          <w:lang w:eastAsia="zh-CN"/>
        </w:rPr>
        <w:t>严格按照《重庆市政策性农业保险承保机构绩效评价管理办法》（渝财金〔</w:t>
      </w:r>
      <w:r>
        <w:rPr>
          <w:rFonts w:hint="default" w:ascii="Times New Roman" w:hAnsi="Times New Roman" w:eastAsia="方正仿宋_GBK" w:cs="Times New Roman"/>
          <w:color w:val="auto"/>
          <w:sz w:val="32"/>
          <w:szCs w:val="20"/>
          <w:highlight w:val="none"/>
          <w:lang w:eastAsia="zh-CN"/>
        </w:rPr>
        <w:t>2021</w:t>
      </w:r>
      <w:r>
        <w:rPr>
          <w:rFonts w:hint="eastAsia" w:ascii="Times New Roman" w:hAnsi="Times New Roman" w:eastAsia="方正仿宋_GBK" w:cs="Times New Roman"/>
          <w:color w:val="auto"/>
          <w:sz w:val="32"/>
          <w:szCs w:val="20"/>
          <w:highlight w:val="none"/>
          <w:lang w:eastAsia="zh-CN"/>
        </w:rPr>
        <w:t>〕</w:t>
      </w:r>
      <w:r>
        <w:rPr>
          <w:rFonts w:hint="default" w:ascii="Times New Roman" w:hAnsi="Times New Roman" w:eastAsia="方正仿宋_GBK" w:cs="Times New Roman"/>
          <w:color w:val="auto"/>
          <w:sz w:val="32"/>
          <w:szCs w:val="20"/>
          <w:highlight w:val="none"/>
          <w:lang w:eastAsia="zh-CN"/>
        </w:rPr>
        <w:t>74</w:t>
      </w:r>
      <w:r>
        <w:rPr>
          <w:rFonts w:hint="eastAsia" w:ascii="Times New Roman" w:hAnsi="Times New Roman" w:eastAsia="方正仿宋_GBK" w:cs="Times New Roman"/>
          <w:color w:val="auto"/>
          <w:sz w:val="32"/>
          <w:szCs w:val="20"/>
          <w:highlight w:val="none"/>
          <w:lang w:eastAsia="zh-CN"/>
        </w:rPr>
        <w:t>号）要求，每年对承保机构开展绩效评价，绩效评价得分与其承保资格相挂钩。对在服务期限内连续两年绩效评价评定等次为“基本合格”或单次绩效评价评定等次为“不合格”的，取消该承保机构在本辖区内剩余服务期限内的承保资格。其剩余服务期限内的承保业务，由区财政局会同相关部门，研究在已遴选出的其他承保机构承担。</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第三十</w:t>
      </w:r>
      <w:r>
        <w:rPr>
          <w:rFonts w:hint="eastAsia" w:ascii="Times New Roman" w:hAnsi="Times New Roman" w:eastAsia="方正黑体_GBK" w:cs="Times New Roman"/>
          <w:color w:val="auto"/>
          <w:sz w:val="32"/>
          <w:szCs w:val="20"/>
          <w:highlight w:val="none"/>
          <w:lang w:val="en-US" w:eastAsia="zh-CN"/>
        </w:rPr>
        <w:t>一</w:t>
      </w:r>
      <w:r>
        <w:rPr>
          <w:rFonts w:hint="eastAsia" w:ascii="Times New Roman" w:hAnsi="Times New Roman" w:eastAsia="方正黑体_GBK" w:cs="Times New Roman"/>
          <w:color w:val="auto"/>
          <w:sz w:val="32"/>
          <w:szCs w:val="20"/>
          <w:highlight w:val="none"/>
        </w:rPr>
        <w:t>条</w:t>
      </w:r>
      <w:r>
        <w:rPr>
          <w:rFonts w:hint="eastAsia" w:ascii="Times New Roman" w:hAnsi="Times New Roman" w:eastAsia="方正仿宋_GBK" w:cs="Times New Roman"/>
          <w:color w:val="auto"/>
          <w:sz w:val="32"/>
          <w:szCs w:val="20"/>
          <w:highlight w:val="none"/>
        </w:rPr>
        <w:t xml:space="preserve">  </w:t>
      </w:r>
      <w:r>
        <w:rPr>
          <w:rFonts w:hint="eastAsia" w:ascii="Times New Roman" w:hAnsi="Times New Roman" w:eastAsia="方正仿宋_GBK" w:cs="Times New Roman"/>
          <w:color w:val="auto"/>
          <w:sz w:val="32"/>
          <w:szCs w:val="20"/>
          <w:highlight w:val="none"/>
          <w:lang w:eastAsia="zh-CN"/>
        </w:rPr>
        <w:t>区财政将</w:t>
      </w:r>
      <w:r>
        <w:rPr>
          <w:rFonts w:hint="eastAsia" w:ascii="Times New Roman" w:hAnsi="Times New Roman" w:eastAsia="方正仿宋_GBK" w:cs="Times New Roman"/>
          <w:color w:val="auto"/>
          <w:sz w:val="32"/>
          <w:szCs w:val="20"/>
          <w:highlight w:val="none"/>
        </w:rPr>
        <w:t>建立健全保费补贴资金执行情况动态监控机制，</w:t>
      </w:r>
      <w:r>
        <w:rPr>
          <w:rFonts w:hint="eastAsia" w:ascii="Times New Roman" w:hAnsi="Times New Roman" w:eastAsia="方正仿宋_GBK" w:cs="Times New Roman"/>
          <w:color w:val="auto"/>
          <w:sz w:val="32"/>
          <w:szCs w:val="20"/>
          <w:highlight w:val="none"/>
          <w:lang w:val="en-US" w:eastAsia="zh-CN"/>
        </w:rPr>
        <w:t>联合主管部门</w:t>
      </w:r>
      <w:r>
        <w:rPr>
          <w:rFonts w:hint="eastAsia" w:ascii="Times New Roman" w:hAnsi="Times New Roman" w:eastAsia="方正仿宋_GBK" w:cs="Times New Roman"/>
          <w:color w:val="auto"/>
          <w:sz w:val="32"/>
          <w:szCs w:val="20"/>
          <w:highlight w:val="none"/>
        </w:rPr>
        <w:t>定期或不定期自查保费补贴工作</w:t>
      </w:r>
      <w:r>
        <w:rPr>
          <w:rFonts w:hint="eastAsia" w:ascii="Times New Roman" w:hAnsi="Times New Roman" w:eastAsia="方正仿宋_GBK" w:cs="Times New Roman"/>
          <w:color w:val="auto"/>
          <w:sz w:val="32"/>
          <w:szCs w:val="20"/>
          <w:highlight w:val="none"/>
          <w:lang w:eastAsia="zh-CN"/>
        </w:rPr>
        <w:t>。</w:t>
      </w:r>
      <w:r>
        <w:rPr>
          <w:rFonts w:hint="eastAsia" w:ascii="Times New Roman" w:hAnsi="Times New Roman" w:eastAsia="方正仿宋_GBK" w:cs="Times New Roman"/>
          <w:color w:val="auto"/>
          <w:sz w:val="32"/>
          <w:szCs w:val="20"/>
          <w:highlight w:val="none"/>
        </w:rPr>
        <w:t>对存在挤占、挪用保费补贴资金，及拖欠</w:t>
      </w:r>
      <w:r>
        <w:rPr>
          <w:rFonts w:hint="eastAsia" w:ascii="Times New Roman" w:hAnsi="Times New Roman" w:eastAsia="方正仿宋_GBK" w:cs="Times New Roman"/>
          <w:color w:val="auto"/>
          <w:sz w:val="32"/>
          <w:szCs w:val="20"/>
          <w:highlight w:val="none"/>
          <w:lang w:eastAsia="zh-CN"/>
        </w:rPr>
        <w:t>承保机构申请的</w:t>
      </w:r>
      <w:r>
        <w:rPr>
          <w:rFonts w:hint="eastAsia" w:ascii="Times New Roman" w:hAnsi="Times New Roman" w:eastAsia="方正仿宋_GBK" w:cs="Times New Roman"/>
          <w:color w:val="auto"/>
          <w:sz w:val="32"/>
          <w:szCs w:val="20"/>
          <w:highlight w:val="none"/>
        </w:rPr>
        <w:t>，通过适当方式公开通报、督办。</w:t>
      </w:r>
    </w:p>
    <w:p>
      <w:pPr>
        <w:spacing w:line="578" w:lineRule="exact"/>
        <w:ind w:firstLine="640" w:firstLineChars="200"/>
        <w:rPr>
          <w:rFonts w:hint="eastAsia" w:ascii="Times New Roman" w:hAnsi="Times New Roman" w:eastAsia="方正仿宋_GBK" w:cs="Times New Roman"/>
          <w:color w:val="auto"/>
          <w:sz w:val="32"/>
          <w:szCs w:val="20"/>
          <w:highlight w:val="none"/>
          <w:lang w:eastAsia="zh-CN"/>
        </w:rPr>
      </w:pPr>
      <w:r>
        <w:rPr>
          <w:rFonts w:hint="eastAsia" w:ascii="Times New Roman" w:hAnsi="Times New Roman" w:eastAsia="方正黑体_GBK" w:cs="Times New Roman"/>
          <w:color w:val="auto"/>
          <w:sz w:val="32"/>
          <w:szCs w:val="20"/>
          <w:highlight w:val="none"/>
        </w:rPr>
        <w:t>第三十</w:t>
      </w:r>
      <w:r>
        <w:rPr>
          <w:rFonts w:hint="eastAsia" w:ascii="Times New Roman" w:hAnsi="Times New Roman" w:eastAsia="方正黑体_GBK" w:cs="Times New Roman"/>
          <w:color w:val="auto"/>
          <w:sz w:val="32"/>
          <w:szCs w:val="20"/>
          <w:highlight w:val="none"/>
          <w:lang w:val="en-US" w:eastAsia="zh-CN"/>
        </w:rPr>
        <w:t>二</w:t>
      </w:r>
      <w:r>
        <w:rPr>
          <w:rFonts w:hint="eastAsia" w:ascii="Times New Roman" w:hAnsi="Times New Roman" w:eastAsia="方正黑体_GBK" w:cs="Times New Roman"/>
          <w:color w:val="auto"/>
          <w:sz w:val="32"/>
          <w:szCs w:val="20"/>
          <w:highlight w:val="none"/>
        </w:rPr>
        <w:t xml:space="preserve">条 </w:t>
      </w:r>
      <w:r>
        <w:rPr>
          <w:rFonts w:hint="eastAsia" w:ascii="Times New Roman" w:hAnsi="Times New Roman" w:eastAsia="方正仿宋_GBK" w:cs="Times New Roman"/>
          <w:color w:val="auto"/>
          <w:sz w:val="32"/>
          <w:szCs w:val="20"/>
          <w:highlight w:val="none"/>
        </w:rPr>
        <w:t xml:space="preserve"> </w:t>
      </w:r>
      <w:r>
        <w:rPr>
          <w:rFonts w:hint="eastAsia" w:ascii="Times New Roman" w:hAnsi="Times New Roman" w:eastAsia="方正仿宋_GBK" w:cs="Times New Roman"/>
          <w:color w:val="auto"/>
          <w:sz w:val="32"/>
          <w:szCs w:val="20"/>
          <w:highlight w:val="none"/>
          <w:lang w:val="en-US" w:eastAsia="zh-CN"/>
        </w:rPr>
        <w:t>区财政将会同有关部门、承保机构，建立健全激励约束机制，采取有效措施，</w:t>
      </w:r>
      <w:r>
        <w:rPr>
          <w:rFonts w:hint="eastAsia" w:ascii="Times New Roman" w:hAnsi="Times New Roman" w:eastAsia="方正仿宋_GBK" w:cs="Times New Roman"/>
          <w:color w:val="auto"/>
          <w:sz w:val="32"/>
          <w:szCs w:val="20"/>
          <w:highlight w:val="none"/>
        </w:rPr>
        <w:t>严防个人或单位（组织）虚构、虚增保险标的，以及以同一保险标的进行多次投保等各类骗取保费补贴资金的违法行为发生</w:t>
      </w:r>
      <w:r>
        <w:rPr>
          <w:rFonts w:hint="eastAsia" w:ascii="Times New Roman" w:hAnsi="Times New Roman" w:eastAsia="方正仿宋_GBK" w:cs="Times New Roman"/>
          <w:color w:val="auto"/>
          <w:sz w:val="32"/>
          <w:szCs w:val="20"/>
          <w:highlight w:val="none"/>
          <w:lang w:eastAsia="zh-CN"/>
        </w:rPr>
        <w:t>。</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lang w:val="en-US" w:eastAsia="zh-CN"/>
        </w:rPr>
        <w:t>第三十三条</w:t>
      </w:r>
      <w:r>
        <w:rPr>
          <w:rFonts w:hint="eastAsia" w:ascii="Times New Roman" w:hAnsi="Times New Roman" w:eastAsia="方正仿宋_GBK" w:cs="Times New Roman"/>
          <w:color w:val="auto"/>
          <w:sz w:val="32"/>
          <w:szCs w:val="20"/>
          <w:highlight w:val="none"/>
          <w:lang w:val="en-US" w:eastAsia="zh-CN"/>
        </w:rPr>
        <w:t xml:space="preserve">  </w:t>
      </w:r>
      <w:r>
        <w:rPr>
          <w:rFonts w:hint="eastAsia" w:ascii="Times New Roman" w:hAnsi="Times New Roman" w:eastAsia="方正仿宋_GBK" w:cs="Times New Roman"/>
          <w:color w:val="auto"/>
          <w:sz w:val="32"/>
          <w:szCs w:val="20"/>
          <w:highlight w:val="none"/>
        </w:rPr>
        <w:t>对于有关部门、承保机构以任何方式骗取保费补贴资金的，</w:t>
      </w:r>
      <w:r>
        <w:rPr>
          <w:rFonts w:hint="eastAsia" w:ascii="Times New Roman" w:hAnsi="Times New Roman" w:eastAsia="方正仿宋_GBK" w:cs="Times New Roman"/>
          <w:color w:val="auto"/>
          <w:sz w:val="32"/>
          <w:szCs w:val="20"/>
          <w:highlight w:val="none"/>
          <w:lang w:eastAsia="zh-CN"/>
        </w:rPr>
        <w:t>区</w:t>
      </w:r>
      <w:r>
        <w:rPr>
          <w:rFonts w:hint="eastAsia" w:ascii="Times New Roman" w:hAnsi="Times New Roman" w:eastAsia="方正仿宋_GBK" w:cs="Times New Roman"/>
          <w:color w:val="auto"/>
          <w:sz w:val="32"/>
          <w:szCs w:val="20"/>
          <w:highlight w:val="none"/>
        </w:rPr>
        <w:t>财政将会同监管部门责令其改正并追回相应保费补贴资金，情节严重的，依法依规予以处罚。对承保机构存在骗取保费补贴资金的，还将视情况限制其业务范围、责令停止接受新业务或者取消一定年度财政补贴险种业务资格。</w:t>
      </w: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第三十</w:t>
      </w:r>
      <w:r>
        <w:rPr>
          <w:rFonts w:hint="eastAsia" w:ascii="Times New Roman" w:hAnsi="Times New Roman" w:eastAsia="方正黑体_GBK" w:cs="Times New Roman"/>
          <w:color w:val="auto"/>
          <w:sz w:val="32"/>
          <w:szCs w:val="20"/>
          <w:highlight w:val="none"/>
          <w:lang w:val="en-US" w:eastAsia="zh-CN"/>
        </w:rPr>
        <w:t>四</w:t>
      </w:r>
      <w:r>
        <w:rPr>
          <w:rFonts w:hint="eastAsia" w:ascii="Times New Roman" w:hAnsi="Times New Roman" w:eastAsia="方正黑体_GBK" w:cs="Times New Roman"/>
          <w:color w:val="auto"/>
          <w:sz w:val="32"/>
          <w:szCs w:val="20"/>
          <w:highlight w:val="none"/>
        </w:rPr>
        <w:t>条</w:t>
      </w:r>
      <w:r>
        <w:rPr>
          <w:rFonts w:hint="eastAsia" w:ascii="Times New Roman" w:hAnsi="Times New Roman" w:eastAsia="方正仿宋_GBK" w:cs="Times New Roman"/>
          <w:color w:val="auto"/>
          <w:sz w:val="32"/>
          <w:szCs w:val="20"/>
          <w:highlight w:val="none"/>
        </w:rPr>
        <w:t xml:space="preserve">  有关部门及其工作人员在保费补贴资金管理工作中，存在违反本</w:t>
      </w:r>
      <w:r>
        <w:rPr>
          <w:rFonts w:hint="eastAsia" w:ascii="Times New Roman" w:hAnsi="Times New Roman" w:eastAsia="方正仿宋_GBK" w:cs="Times New Roman"/>
          <w:color w:val="auto"/>
          <w:sz w:val="32"/>
          <w:szCs w:val="20"/>
          <w:highlight w:val="none"/>
          <w:lang w:eastAsia="zh-CN"/>
        </w:rPr>
        <w:t>实施细则</w:t>
      </w:r>
      <w:r>
        <w:rPr>
          <w:rFonts w:hint="eastAsia" w:ascii="Times New Roman" w:hAnsi="Times New Roman" w:eastAsia="方正仿宋_GBK" w:cs="Times New Roman"/>
          <w:color w:val="auto"/>
          <w:sz w:val="32"/>
          <w:szCs w:val="20"/>
          <w:highlight w:val="none"/>
        </w:rPr>
        <w:t>规定以及其他滥用职权、玩忽职守、徇私舞弊等违法违规行为的，依法追究相应责任；涉嫌犯罪的，依法移送有关机关处理。</w:t>
      </w:r>
    </w:p>
    <w:p>
      <w:pPr>
        <w:spacing w:line="578" w:lineRule="exact"/>
        <w:ind w:firstLine="640" w:firstLineChars="200"/>
        <w:rPr>
          <w:rFonts w:hint="eastAsia" w:ascii="Times New Roman" w:hAnsi="Times New Roman" w:eastAsia="方正仿宋_GBK" w:cs="Times New Roman"/>
          <w:color w:val="auto"/>
          <w:sz w:val="32"/>
          <w:szCs w:val="20"/>
          <w:highlight w:val="none"/>
        </w:rPr>
      </w:pPr>
    </w:p>
    <w:p>
      <w:pPr>
        <w:numPr>
          <w:ilvl w:val="0"/>
          <w:numId w:val="1"/>
        </w:numPr>
        <w:spacing w:line="578" w:lineRule="exact"/>
        <w:ind w:left="0" w:leftChars="0" w:firstLine="0" w:firstLineChars="0"/>
        <w:jc w:val="center"/>
        <w:rPr>
          <w:rFonts w:hint="eastAsia" w:ascii="Times New Roman" w:hAnsi="Times New Roman" w:eastAsia="方正黑体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 xml:space="preserve"> 附则</w:t>
      </w:r>
    </w:p>
    <w:p>
      <w:pPr>
        <w:pStyle w:val="2"/>
        <w:numPr>
          <w:ilvl w:val="0"/>
          <w:numId w:val="0"/>
        </w:numPr>
        <w:ind w:leftChars="0"/>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sz w:val="32"/>
          <w:szCs w:val="20"/>
          <w:highlight w:val="none"/>
        </w:rPr>
        <w:t>第三十</w:t>
      </w:r>
      <w:r>
        <w:rPr>
          <w:rFonts w:hint="eastAsia" w:ascii="Times New Roman" w:hAnsi="Times New Roman" w:eastAsia="方正黑体_GBK" w:cs="Times New Roman"/>
          <w:color w:val="auto"/>
          <w:sz w:val="32"/>
          <w:szCs w:val="20"/>
          <w:highlight w:val="none"/>
          <w:lang w:val="en-US" w:eastAsia="zh-CN"/>
        </w:rPr>
        <w:t>五</w:t>
      </w:r>
      <w:r>
        <w:rPr>
          <w:rFonts w:hint="eastAsia" w:ascii="Times New Roman" w:hAnsi="Times New Roman" w:eastAsia="方正黑体_GBK" w:cs="Times New Roman"/>
          <w:color w:val="auto"/>
          <w:sz w:val="32"/>
          <w:szCs w:val="20"/>
          <w:highlight w:val="none"/>
        </w:rPr>
        <w:t>条</w:t>
      </w:r>
      <w:r>
        <w:rPr>
          <w:rFonts w:hint="eastAsia" w:ascii="Times New Roman" w:hAnsi="Times New Roman" w:eastAsia="方正仿宋_GBK" w:cs="Times New Roman"/>
          <w:color w:val="auto"/>
          <w:sz w:val="32"/>
          <w:szCs w:val="20"/>
          <w:highlight w:val="none"/>
        </w:rPr>
        <w:t xml:space="preserve">  对未纳入本</w:t>
      </w:r>
      <w:r>
        <w:rPr>
          <w:rFonts w:hint="eastAsia" w:ascii="Times New Roman" w:hAnsi="Times New Roman" w:eastAsia="方正仿宋_GBK" w:cs="Times New Roman"/>
          <w:color w:val="auto"/>
          <w:sz w:val="32"/>
          <w:szCs w:val="20"/>
          <w:highlight w:val="none"/>
          <w:lang w:eastAsia="zh-CN"/>
        </w:rPr>
        <w:t>实施细则</w:t>
      </w:r>
      <w:r>
        <w:rPr>
          <w:rFonts w:hint="eastAsia" w:ascii="Times New Roman" w:hAnsi="Times New Roman" w:eastAsia="方正仿宋_GBK" w:cs="Times New Roman"/>
          <w:color w:val="auto"/>
          <w:sz w:val="32"/>
          <w:szCs w:val="20"/>
          <w:highlight w:val="none"/>
        </w:rPr>
        <w:t>补贴险种政策支持范围，但享有</w:t>
      </w:r>
      <w:r>
        <w:rPr>
          <w:rFonts w:hint="eastAsia" w:ascii="Times New Roman" w:hAnsi="Times New Roman" w:eastAsia="方正仿宋_GBK" w:cs="Times New Roman"/>
          <w:color w:val="auto"/>
          <w:sz w:val="32"/>
          <w:szCs w:val="20"/>
          <w:highlight w:val="none"/>
          <w:lang w:eastAsia="zh-CN"/>
        </w:rPr>
        <w:t>区级</w:t>
      </w:r>
      <w:r>
        <w:rPr>
          <w:rFonts w:hint="eastAsia" w:ascii="Times New Roman" w:hAnsi="Times New Roman" w:eastAsia="方正仿宋_GBK" w:cs="Times New Roman"/>
          <w:color w:val="auto"/>
          <w:sz w:val="32"/>
          <w:szCs w:val="20"/>
          <w:highlight w:val="none"/>
        </w:rPr>
        <w:t>财政补贴支持的农</w:t>
      </w:r>
      <w:bookmarkStart w:id="0" w:name="_GoBack"/>
      <w:bookmarkEnd w:id="0"/>
      <w:r>
        <w:rPr>
          <w:rFonts w:hint="eastAsia" w:ascii="Times New Roman" w:hAnsi="Times New Roman" w:eastAsia="方正仿宋_GBK" w:cs="Times New Roman"/>
          <w:color w:val="auto"/>
          <w:sz w:val="32"/>
          <w:szCs w:val="20"/>
          <w:highlight w:val="none"/>
        </w:rPr>
        <w:t>业保险业务，可参照本</w:t>
      </w:r>
      <w:r>
        <w:rPr>
          <w:rFonts w:hint="eastAsia" w:ascii="Times New Roman" w:hAnsi="Times New Roman" w:eastAsia="方正仿宋_GBK" w:cs="Times New Roman"/>
          <w:color w:val="auto"/>
          <w:sz w:val="32"/>
          <w:szCs w:val="20"/>
          <w:highlight w:val="none"/>
          <w:lang w:eastAsia="zh-CN"/>
        </w:rPr>
        <w:t>实施细则</w:t>
      </w:r>
      <w:r>
        <w:rPr>
          <w:rFonts w:hint="eastAsia" w:ascii="Times New Roman" w:hAnsi="Times New Roman" w:eastAsia="方正仿宋_GBK" w:cs="Times New Roman"/>
          <w:color w:val="auto"/>
          <w:sz w:val="32"/>
          <w:szCs w:val="20"/>
          <w:highlight w:val="none"/>
        </w:rPr>
        <w:t>执行。</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Times New Roman" w:hAnsi="Times New Roman" w:eastAsia="方正仿宋_GBK" w:cs="Times New Roman"/>
          <w:color w:val="auto"/>
          <w:sz w:val="32"/>
          <w:szCs w:val="20"/>
          <w:highlight w:val="none"/>
        </w:rPr>
      </w:pPr>
      <w:r>
        <w:rPr>
          <w:rFonts w:hint="eastAsia" w:ascii="Times New Roman" w:hAnsi="Times New Roman" w:eastAsia="方正仿宋_GBK" w:cs="Times New Roman"/>
          <w:color w:val="auto"/>
          <w:sz w:val="32"/>
          <w:szCs w:val="20"/>
          <w:highlight w:val="none"/>
        </w:rPr>
        <w:t>对纳入本</w:t>
      </w:r>
      <w:r>
        <w:rPr>
          <w:rFonts w:hint="eastAsia" w:ascii="Times New Roman" w:hAnsi="Times New Roman" w:eastAsia="方正仿宋_GBK" w:cs="Times New Roman"/>
          <w:color w:val="auto"/>
          <w:sz w:val="32"/>
          <w:szCs w:val="20"/>
          <w:highlight w:val="none"/>
          <w:lang w:eastAsia="zh-CN"/>
        </w:rPr>
        <w:t>实施细则</w:t>
      </w:r>
      <w:r>
        <w:rPr>
          <w:rFonts w:hint="eastAsia" w:ascii="Times New Roman" w:hAnsi="Times New Roman" w:eastAsia="方正仿宋_GBK" w:cs="Times New Roman"/>
          <w:color w:val="auto"/>
          <w:sz w:val="32"/>
          <w:szCs w:val="20"/>
          <w:highlight w:val="none"/>
        </w:rPr>
        <w:t>的补贴险种，承保机构已在</w:t>
      </w:r>
      <w:r>
        <w:rPr>
          <w:rFonts w:hint="default" w:ascii="Times New Roman" w:hAnsi="Times New Roman" w:eastAsia="方正仿宋_GBK" w:cs="Times New Roman"/>
          <w:color w:val="auto"/>
          <w:sz w:val="32"/>
          <w:szCs w:val="20"/>
          <w:highlight w:val="none"/>
        </w:rPr>
        <w:t>2022</w:t>
      </w:r>
      <w:r>
        <w:rPr>
          <w:rFonts w:hint="eastAsia" w:ascii="Times New Roman" w:hAnsi="Times New Roman" w:eastAsia="方正仿宋_GBK" w:cs="Times New Roman"/>
          <w:color w:val="auto"/>
          <w:sz w:val="32"/>
          <w:szCs w:val="20"/>
          <w:highlight w:val="none"/>
        </w:rPr>
        <w:t>年签单生效的业务，参照本</w:t>
      </w:r>
      <w:r>
        <w:rPr>
          <w:rFonts w:hint="eastAsia" w:ascii="Times New Roman" w:hAnsi="Times New Roman" w:eastAsia="方正仿宋_GBK" w:cs="Times New Roman"/>
          <w:color w:val="auto"/>
          <w:sz w:val="32"/>
          <w:szCs w:val="20"/>
          <w:highlight w:val="none"/>
          <w:lang w:eastAsia="zh-CN"/>
        </w:rPr>
        <w:t>实施细则</w:t>
      </w:r>
      <w:r>
        <w:rPr>
          <w:rFonts w:hint="eastAsia" w:ascii="Times New Roman" w:hAnsi="Times New Roman" w:eastAsia="方正仿宋_GBK" w:cs="Times New Roman"/>
          <w:color w:val="auto"/>
          <w:sz w:val="32"/>
          <w:szCs w:val="20"/>
          <w:highlight w:val="none"/>
        </w:rPr>
        <w:t>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0"/>
        <w:jc w:val="left"/>
        <w:textAlignment w:val="auto"/>
        <w:outlineLvl w:val="9"/>
        <w:rPr>
          <w:rFonts w:hint="default" w:ascii="Times New Roman" w:hAnsi="Times New Roman" w:eastAsia="方正仿宋_GBK" w:cs="Times New Roman"/>
          <w:color w:val="auto"/>
          <w:kern w:val="2"/>
          <w:sz w:val="32"/>
          <w:highlight w:val="none"/>
          <w:lang w:val="en-US" w:eastAsia="zh-CN" w:bidi="ar-SA"/>
        </w:rPr>
      </w:pPr>
      <w:r>
        <w:rPr>
          <w:rFonts w:hint="eastAsia" w:ascii="Times New Roman" w:hAnsi="Times New Roman" w:eastAsia="方正黑体_GBK" w:cs="Times New Roman"/>
          <w:color w:val="auto"/>
          <w:kern w:val="2"/>
          <w:sz w:val="32"/>
          <w:highlight w:val="none"/>
          <w:lang w:val="en-US" w:eastAsia="zh-CN" w:bidi="ar-SA"/>
        </w:rPr>
        <w:t xml:space="preserve">    第三十六条  </w:t>
      </w:r>
      <w:r>
        <w:rPr>
          <w:rFonts w:hint="eastAsia" w:ascii="Times New Roman" w:hAnsi="Times New Roman" w:eastAsia="方正仿宋_GBK" w:cs="Times New Roman"/>
          <w:color w:val="auto"/>
          <w:kern w:val="2"/>
          <w:sz w:val="32"/>
          <w:highlight w:val="none"/>
          <w:lang w:val="en-US" w:eastAsia="zh-CN" w:bidi="ar-SA"/>
        </w:rPr>
        <w:t>本实施细则由区财政局负责解释。</w:t>
      </w:r>
      <w:r>
        <w:rPr>
          <w:rFonts w:hint="default" w:ascii="Times New Roman" w:hAnsi="Times New Roman" w:eastAsia="方正仿宋_GBK" w:cs="Times New Roman"/>
          <w:color w:val="auto"/>
          <w:kern w:val="2"/>
          <w:sz w:val="32"/>
          <w:highlight w:val="none"/>
          <w:lang w:val="en-US" w:eastAsia="zh-CN" w:bidi="ar-SA"/>
        </w:rPr>
        <w:t>本相关法律法规、政策依据变化或有效期届满时，根据实际情况适时修订。</w:t>
      </w:r>
      <w:r>
        <w:rPr>
          <w:rFonts w:hint="eastAsia" w:ascii="Times New Roman" w:hAnsi="Times New Roman" w:eastAsia="方正仿宋_GBK" w:cs="Times New Roman"/>
          <w:color w:val="auto"/>
          <w:kern w:val="2"/>
          <w:sz w:val="32"/>
          <w:highlight w:val="none"/>
          <w:lang w:val="en-US" w:eastAsia="zh-CN" w:bidi="ar-SA"/>
        </w:rPr>
        <w:t>若遇上级政策调整变化，以最新政策为准。</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Times New Roman" w:hAnsi="Times New Roman" w:eastAsia="方正仿宋_GBK" w:cs="Times New Roman"/>
          <w:color w:val="auto"/>
          <w:sz w:val="32"/>
          <w:szCs w:val="20"/>
          <w:highlight w:val="none"/>
        </w:rPr>
      </w:pPr>
      <w:r>
        <w:rPr>
          <w:rFonts w:hint="eastAsia" w:ascii="Times New Roman" w:hAnsi="Times New Roman" w:eastAsia="方正黑体_GBK" w:cs="Times New Roman"/>
          <w:color w:val="auto"/>
          <w:kern w:val="2"/>
          <w:sz w:val="32"/>
          <w:szCs w:val="20"/>
          <w:highlight w:val="none"/>
          <w:lang w:val="en-US" w:eastAsia="zh-CN" w:bidi="ar-SA"/>
        </w:rPr>
        <w:t xml:space="preserve">第三十七条 </w:t>
      </w:r>
      <w:r>
        <w:rPr>
          <w:rFonts w:hint="eastAsia" w:ascii="Times New Roman" w:hAnsi="Times New Roman" w:eastAsia="方正仿宋_GBK" w:cs="Times New Roman"/>
          <w:color w:val="auto"/>
          <w:sz w:val="32"/>
          <w:szCs w:val="20"/>
          <w:highlight w:val="none"/>
        </w:rPr>
        <w:t xml:space="preserve"> 本</w:t>
      </w:r>
      <w:r>
        <w:rPr>
          <w:rFonts w:hint="eastAsia" w:ascii="Times New Roman" w:hAnsi="Times New Roman" w:eastAsia="方正仿宋_GBK" w:cs="Times New Roman"/>
          <w:color w:val="auto"/>
          <w:sz w:val="32"/>
          <w:szCs w:val="20"/>
          <w:highlight w:val="none"/>
          <w:lang w:eastAsia="zh-CN"/>
        </w:rPr>
        <w:t>实施细则</w:t>
      </w:r>
      <w:r>
        <w:rPr>
          <w:rFonts w:hint="eastAsia" w:ascii="Times New Roman" w:hAnsi="Times New Roman" w:eastAsia="方正仿宋_GBK" w:cs="Times New Roman"/>
          <w:color w:val="auto"/>
          <w:sz w:val="32"/>
          <w:szCs w:val="20"/>
          <w:highlight w:val="none"/>
        </w:rPr>
        <w:t>自印发之日起施行。</w:t>
      </w:r>
    </w:p>
    <w:p>
      <w:pPr>
        <w:spacing w:line="578" w:lineRule="exact"/>
        <w:ind w:firstLine="640" w:firstLineChars="200"/>
        <w:rPr>
          <w:rFonts w:hint="eastAsia" w:ascii="Times New Roman" w:hAnsi="Times New Roman" w:eastAsia="方正仿宋_GBK" w:cs="Times New Roman"/>
          <w:color w:val="auto"/>
          <w:sz w:val="32"/>
          <w:szCs w:val="20"/>
          <w:highlight w:val="none"/>
        </w:rPr>
      </w:pPr>
    </w:p>
    <w:p>
      <w:pPr>
        <w:spacing w:line="578" w:lineRule="exact"/>
        <w:ind w:firstLine="640" w:firstLineChars="200"/>
        <w:rPr>
          <w:rFonts w:hint="eastAsia" w:ascii="Times New Roman" w:hAnsi="Times New Roman" w:eastAsia="方正仿宋_GBK" w:cs="Times New Roman"/>
          <w:color w:val="auto"/>
          <w:sz w:val="32"/>
          <w:szCs w:val="20"/>
          <w:highlight w:val="none"/>
        </w:rPr>
      </w:pPr>
      <w:r>
        <w:rPr>
          <w:rFonts w:hint="eastAsia" w:ascii="Times New Roman" w:hAnsi="Times New Roman" w:eastAsia="方正仿宋_GBK" w:cs="Times New Roman"/>
          <w:color w:val="auto"/>
          <w:sz w:val="32"/>
          <w:szCs w:val="20"/>
          <w:highlight w:val="none"/>
        </w:rPr>
        <w:t>附件：</w:t>
      </w:r>
      <w:r>
        <w:rPr>
          <w:rFonts w:hint="default" w:ascii="Times New Roman" w:hAnsi="Times New Roman" w:eastAsia="方正仿宋_GBK" w:cs="Times New Roman"/>
          <w:color w:val="auto"/>
          <w:sz w:val="32"/>
          <w:szCs w:val="20"/>
          <w:highlight w:val="none"/>
          <w:lang w:val="en-US" w:eastAsia="zh-CN"/>
        </w:rPr>
        <w:t>1</w:t>
      </w:r>
      <w:r>
        <w:rPr>
          <w:rFonts w:hint="eastAsia" w:ascii="Times New Roman" w:hAnsi="Times New Roman" w:eastAsia="方正仿宋_GBK" w:cs="Times New Roman"/>
          <w:color w:val="auto"/>
          <w:sz w:val="32"/>
          <w:szCs w:val="20"/>
          <w:highlight w:val="none"/>
        </w:rPr>
        <w:t>.农业保险保费补贴资金申请表</w:t>
      </w:r>
    </w:p>
    <w:p>
      <w:pPr>
        <w:spacing w:line="578" w:lineRule="exact"/>
        <w:ind w:firstLine="1600" w:firstLineChars="500"/>
        <w:rPr>
          <w:rFonts w:hint="eastAsia" w:ascii="Times New Roman" w:hAnsi="Times New Roman" w:eastAsia="方正仿宋_GBK" w:cs="Times New Roman"/>
          <w:color w:val="auto"/>
          <w:sz w:val="32"/>
          <w:szCs w:val="20"/>
          <w:highlight w:val="none"/>
        </w:rPr>
      </w:pPr>
      <w:r>
        <w:rPr>
          <w:rFonts w:hint="default" w:ascii="Times New Roman" w:hAnsi="Times New Roman" w:eastAsia="方正仿宋_GBK" w:cs="Times New Roman"/>
          <w:color w:val="auto"/>
          <w:sz w:val="32"/>
          <w:szCs w:val="20"/>
          <w:highlight w:val="none"/>
          <w:lang w:val="en-US" w:eastAsia="zh-CN"/>
        </w:rPr>
        <w:t>2</w:t>
      </w:r>
      <w:r>
        <w:rPr>
          <w:rFonts w:hint="eastAsia" w:ascii="Times New Roman" w:hAnsi="Times New Roman" w:eastAsia="方正仿宋_GBK" w:cs="Times New Roman"/>
          <w:color w:val="auto"/>
          <w:sz w:val="32"/>
          <w:szCs w:val="20"/>
          <w:highlight w:val="none"/>
        </w:rPr>
        <w:t>.农业保险保费补贴资金结算套表</w:t>
      </w:r>
    </w:p>
    <w:p>
      <w:pPr>
        <w:spacing w:line="578" w:lineRule="exact"/>
        <w:ind w:firstLine="1600" w:firstLineChars="500"/>
        <w:rPr>
          <w:rFonts w:hint="eastAsia" w:ascii="Times New Roman" w:hAnsi="Times New Roman" w:eastAsia="方正仿宋_GBK" w:cs="Times New Roman"/>
          <w:color w:val="auto"/>
          <w:sz w:val="32"/>
          <w:szCs w:val="20"/>
          <w:highlight w:val="none"/>
        </w:rPr>
      </w:pPr>
      <w:r>
        <w:rPr>
          <w:rFonts w:hint="default" w:ascii="Times New Roman" w:hAnsi="Times New Roman" w:eastAsia="方正仿宋_GBK" w:cs="Times New Roman"/>
          <w:color w:val="auto"/>
          <w:sz w:val="32"/>
          <w:szCs w:val="20"/>
          <w:highlight w:val="none"/>
          <w:lang w:val="en-US" w:eastAsia="zh-CN"/>
        </w:rPr>
        <w:t>3</w:t>
      </w:r>
      <w:r>
        <w:rPr>
          <w:rFonts w:hint="eastAsia" w:ascii="Times New Roman" w:hAnsi="Times New Roman" w:eastAsia="方正仿宋_GBK" w:cs="Times New Roman"/>
          <w:color w:val="auto"/>
          <w:sz w:val="32"/>
          <w:szCs w:val="20"/>
          <w:highlight w:val="none"/>
        </w:rPr>
        <w:t>.农业保险保费补贴资金测算表</w:t>
      </w:r>
    </w:p>
    <w:p>
      <w:pPr>
        <w:spacing w:line="578" w:lineRule="exact"/>
        <w:ind w:firstLine="1600" w:firstLineChars="500"/>
        <w:rPr>
          <w:rFonts w:hint="eastAsia" w:ascii="Times New Roman" w:hAnsi="Times New Roman" w:eastAsia="方正仿宋_GBK" w:cs="Times New Roman"/>
          <w:color w:val="auto"/>
          <w:sz w:val="32"/>
          <w:szCs w:val="20"/>
          <w:highlight w:val="none"/>
        </w:rPr>
      </w:pPr>
      <w:r>
        <w:rPr>
          <w:rFonts w:hint="default" w:ascii="Times New Roman" w:hAnsi="Times New Roman" w:eastAsia="方正仿宋_GBK" w:cs="Times New Roman"/>
          <w:color w:val="auto"/>
          <w:sz w:val="32"/>
          <w:szCs w:val="20"/>
          <w:highlight w:val="none"/>
          <w:lang w:val="en-US" w:eastAsia="zh-CN"/>
        </w:rPr>
        <w:t>4</w:t>
      </w:r>
      <w:r>
        <w:rPr>
          <w:rFonts w:hint="eastAsia" w:ascii="Times New Roman" w:hAnsi="Times New Roman" w:eastAsia="方正仿宋_GBK" w:cs="Times New Roman"/>
          <w:color w:val="auto"/>
          <w:sz w:val="32"/>
          <w:szCs w:val="20"/>
          <w:highlight w:val="none"/>
        </w:rPr>
        <w:t>.农业保险保费补贴综合绩效评价指标表</w:t>
      </w:r>
    </w:p>
    <w:p>
      <w:pPr>
        <w:spacing w:line="578" w:lineRule="exact"/>
        <w:ind w:firstLine="1600" w:firstLineChars="500"/>
        <w:rPr>
          <w:rFonts w:hint="eastAsia" w:ascii="Times New Roman" w:hAnsi="Times New Roman" w:eastAsia="方正仿宋_GBK" w:cs="Times New Roman"/>
          <w:color w:val="auto"/>
          <w:sz w:val="32"/>
          <w:szCs w:val="20"/>
          <w:highlight w:val="none"/>
        </w:rPr>
      </w:pPr>
      <w:r>
        <w:rPr>
          <w:rFonts w:hint="default" w:ascii="Times New Roman" w:hAnsi="Times New Roman" w:eastAsia="方正仿宋_GBK" w:cs="Times New Roman"/>
          <w:color w:val="auto"/>
          <w:sz w:val="32"/>
          <w:szCs w:val="20"/>
          <w:highlight w:val="none"/>
          <w:lang w:val="en-US" w:eastAsia="zh-CN"/>
        </w:rPr>
        <w:t>5</w:t>
      </w:r>
      <w:r>
        <w:rPr>
          <w:rFonts w:hint="eastAsia" w:ascii="Times New Roman" w:hAnsi="Times New Roman" w:eastAsia="方正仿宋_GBK" w:cs="Times New Roman"/>
          <w:color w:val="auto"/>
          <w:sz w:val="32"/>
          <w:szCs w:val="20"/>
          <w:highlight w:val="none"/>
        </w:rPr>
        <w:t>.农业保险承保理赔统计情况套表</w:t>
      </w:r>
    </w:p>
    <w:p>
      <w:pPr>
        <w:pStyle w:val="2"/>
        <w:rPr>
          <w:rFonts w:hint="eastAsia" w:ascii="Times New Roman" w:hAnsi="Times New Roman" w:eastAsia="方正仿宋_GBK" w:cs="Times New Roman"/>
          <w:color w:val="auto"/>
          <w:sz w:val="32"/>
          <w:szCs w:val="20"/>
          <w:highlight w:val="none"/>
        </w:rPr>
      </w:pPr>
    </w:p>
    <w:p>
      <w:pPr>
        <w:pStyle w:val="2"/>
        <w:rPr>
          <w:rFonts w:hint="eastAsia" w:ascii="Times New Roman" w:hAnsi="Times New Roman" w:eastAsia="方正仿宋_GBK" w:cs="Times New Roman"/>
          <w:color w:val="auto"/>
          <w:sz w:val="32"/>
          <w:szCs w:val="20"/>
          <w:highlight w:val="none"/>
        </w:rPr>
      </w:pPr>
    </w:p>
    <w:tbl>
      <w:tblPr>
        <w:tblStyle w:val="9"/>
        <w:tblW w:w="7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4235"/>
        <w:gridCol w:w="3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957"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32"/>
                <w:szCs w:val="32"/>
                <w:u w:val="none"/>
                <w:lang w:val="en-US" w:eastAsia="zh-CN" w:bidi="ar"/>
              </w:rPr>
              <w:t>附件1</w:t>
            </w:r>
          </w:p>
        </w:tc>
        <w:tc>
          <w:tcPr>
            <w:tcW w:w="3199" w:type="dxa"/>
            <w:tcBorders>
              <w:top w:val="nil"/>
              <w:left w:val="nil"/>
              <w:bottom w:val="nil"/>
              <w:right w:val="nil"/>
            </w:tcBorders>
            <w:shd w:val="clear" w:color="auto" w:fill="auto"/>
            <w:noWrap/>
            <w:vAlign w:val="center"/>
          </w:tcPr>
          <w:p>
            <w:pPr>
              <w:rPr>
                <w:rFonts w:hint="eastAsia" w:ascii="等线" w:hAnsi="等线" w:eastAsia="等线" w:cs="等线"/>
                <w:i w:val="0"/>
                <w:iCs w:val="0"/>
                <w:color w:val="000000"/>
                <w:sz w:val="22"/>
                <w:szCs w:val="22"/>
                <w:u w:val="none"/>
              </w:rPr>
            </w:pPr>
          </w:p>
        </w:tc>
        <w:tc>
          <w:tcPr>
            <w:tcW w:w="3482" w:type="dxa"/>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农业保险保费补贴资金申请表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填报时间：</w:t>
            </w:r>
          </w:p>
        </w:tc>
        <w:tc>
          <w:tcPr>
            <w:tcW w:w="0" w:type="auto"/>
            <w:tcBorders>
              <w:top w:val="nil"/>
              <w:left w:val="nil"/>
              <w:bottom w:val="nil"/>
              <w:right w:val="nil"/>
            </w:tcBorders>
            <w:shd w:val="clear" w:color="auto" w:fill="auto"/>
            <w:noWrap/>
            <w:vAlign w:val="center"/>
          </w:tcPr>
          <w:p>
            <w:pPr>
              <w:jc w:val="right"/>
              <w:rPr>
                <w:rFonts w:hint="eastAsia" w:ascii="方正楷体_GBK" w:hAnsi="方正楷体_GBK" w:eastAsia="方正楷体_GBK" w:cs="方正楷体_GBK"/>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承保机构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保单签订期间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当期保单签订笔数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当期签单保费数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其中：已收取农户应缴保费数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其中：脱贫户、监测户应缴保费数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保费收入资金匹配申请数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其中：中央财政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市级财政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95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区级财政</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0" w:type="auto"/>
            <w:gridSpan w:val="2"/>
            <w:tcBorders>
              <w:top w:val="single" w:color="auto" w:sz="4" w:space="0"/>
              <w:left w:val="single" w:color="auto" w:sz="4" w:space="0"/>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0" w:type="auto"/>
            <w:gridSpan w:val="2"/>
            <w:tcBorders>
              <w:top w:val="nil"/>
              <w:left w:val="single" w:color="auto"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承保机构申请意见</w:t>
            </w:r>
          </w:p>
        </w:tc>
        <w:tc>
          <w:tcPr>
            <w:tcW w:w="0" w:type="auto"/>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0" w:type="auto"/>
            <w:gridSpan w:val="2"/>
            <w:tcBorders>
              <w:top w:val="nil"/>
              <w:left w:val="single" w:color="auto" w:sz="4" w:space="0"/>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部门（科室）有关负责人: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0" w:type="auto"/>
            <w:gridSpan w:val="2"/>
            <w:tcBorders>
              <w:top w:val="nil"/>
              <w:left w:val="single" w:color="auto" w:sz="4" w:space="0"/>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（签章）</w:t>
            </w:r>
          </w:p>
        </w:tc>
        <w:tc>
          <w:tcPr>
            <w:tcW w:w="0" w:type="auto"/>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0" w:type="auto"/>
            <w:gridSpan w:val="2"/>
            <w:tcBorders>
              <w:top w:val="nil"/>
              <w:left w:val="single" w:color="auto" w:sz="4" w:space="0"/>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单位有关负责人: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0" w:type="auto"/>
            <w:gridSpan w:val="2"/>
            <w:tcBorders>
              <w:top w:val="nil"/>
              <w:left w:val="single" w:color="auto" w:sz="4" w:space="0"/>
              <w:bottom w:val="single" w:color="auto" w:sz="4" w:space="0"/>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0" w:type="auto"/>
            <w:gridSpan w:val="2"/>
            <w:tcBorders>
              <w:top w:val="single" w:color="auto" w:sz="4" w:space="0"/>
              <w:left w:val="single" w:color="000000" w:sz="4" w:space="0"/>
              <w:bottom w:val="nil"/>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0" w:type="auto"/>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主管部门审核意见</w:t>
            </w: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0" w:type="auto"/>
            <w:gridSpan w:val="2"/>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科室有关负责人: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0" w:type="auto"/>
            <w:gridSpan w:val="2"/>
            <w:tcBorders>
              <w:top w:val="nil"/>
              <w:left w:val="single" w:color="000000" w:sz="4" w:space="0"/>
              <w:bottom w:val="nil"/>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（签章）</w:t>
            </w: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0" w:type="auto"/>
            <w:gridSpan w:val="2"/>
            <w:tcBorders>
              <w:top w:val="nil"/>
              <w:left w:val="single" w:color="000000" w:sz="4" w:space="0"/>
              <w:bottom w:val="nil"/>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单位有关负责人: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0" w:type="auto"/>
            <w:gridSpan w:val="2"/>
            <w:tcBorders>
              <w:top w:val="single" w:color="000000" w:sz="4" w:space="0"/>
              <w:left w:val="single" w:color="000000" w:sz="4" w:space="0"/>
              <w:bottom w:val="nil"/>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0" w:type="auto"/>
            <w:gridSpan w:val="2"/>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财政部门资金拨付意见</w:t>
            </w: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0" w:type="auto"/>
            <w:gridSpan w:val="2"/>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科室有关负责人: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0" w:type="auto"/>
            <w:gridSpan w:val="2"/>
            <w:tcBorders>
              <w:top w:val="nil"/>
              <w:left w:val="single" w:color="000000" w:sz="4" w:space="0"/>
              <w:bottom w:val="nil"/>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（签章）</w:t>
            </w: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0" w:type="auto"/>
            <w:gridSpan w:val="2"/>
            <w:tcBorders>
              <w:top w:val="nil"/>
              <w:left w:val="single" w:color="000000" w:sz="4" w:space="0"/>
              <w:bottom w:val="nil"/>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单位有关负责人: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pPr>
        <w:pStyle w:val="2"/>
        <w:rPr>
          <w:rFonts w:hint="eastAsia" w:ascii="Times New Roman" w:hAnsi="Times New Roman" w:eastAsia="方正仿宋_GBK" w:cs="Times New Roman"/>
          <w:color w:val="auto"/>
          <w:sz w:val="32"/>
          <w:szCs w:val="20"/>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578" w:lineRule="exact"/>
        <w:rPr>
          <w:color w:val="auto"/>
          <w:highlight w:val="none"/>
        </w:rPr>
      </w:pP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6"/>
        <w:gridCol w:w="433"/>
        <w:gridCol w:w="433"/>
        <w:gridCol w:w="433"/>
        <w:gridCol w:w="433"/>
        <w:gridCol w:w="433"/>
        <w:gridCol w:w="433"/>
        <w:gridCol w:w="3344"/>
        <w:gridCol w:w="433"/>
        <w:gridCol w:w="433"/>
        <w:gridCol w:w="433"/>
        <w:gridCol w:w="433"/>
        <w:gridCol w:w="433"/>
        <w:gridCol w:w="433"/>
        <w:gridCol w:w="434"/>
        <w:gridCol w:w="1122"/>
        <w:gridCol w:w="434"/>
        <w:gridCol w:w="434"/>
        <w:gridCol w:w="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9" w:type="pct"/>
            <w:tcBorders>
              <w:top w:val="nil"/>
              <w:left w:val="nil"/>
              <w:bottom w:val="nil"/>
              <w:right w:val="nil"/>
            </w:tcBorders>
            <w:noWrap/>
            <w:vAlign w:val="bottom"/>
          </w:tcPr>
          <w:p>
            <w:pPr>
              <w:keepNext w:val="0"/>
              <w:keepLines w:val="0"/>
              <w:widowControl/>
              <w:suppressLineNumbers w:val="0"/>
              <w:jc w:val="left"/>
              <w:textAlignment w:val="bottom"/>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32"/>
                <w:szCs w:val="32"/>
                <w:u w:val="none"/>
                <w:lang w:val="en-US" w:eastAsia="zh-CN" w:bidi="ar"/>
              </w:rPr>
              <w:t>附件2-1</w:t>
            </w:r>
          </w:p>
        </w:tc>
        <w:tc>
          <w:tcPr>
            <w:tcW w:w="307"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307"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182"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219"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219"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219"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752"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219"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219"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219"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170"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170"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170"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170"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246"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170"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170"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170"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000" w:type="pct"/>
            <w:gridSpan w:val="19"/>
            <w:tcBorders>
              <w:top w:val="nil"/>
              <w:left w:val="nil"/>
              <w:bottom w:val="nil"/>
              <w:right w:val="nil"/>
            </w:tcBorders>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农业保险保费补贴结算表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99" w:type="pct"/>
            <w:tcBorders>
              <w:top w:val="nil"/>
              <w:left w:val="nil"/>
              <w:bottom w:val="nil"/>
              <w:right w:val="nil"/>
            </w:tcBorders>
            <w:noWrap/>
            <w:vAlign w:val="center"/>
          </w:tcPr>
          <w:p>
            <w:pPr>
              <w:keepNext w:val="0"/>
              <w:keepLines w:val="0"/>
              <w:widowControl/>
              <w:suppressLineNumbers w:val="0"/>
              <w:jc w:val="lef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填报单位（公章）：</w:t>
            </w:r>
          </w:p>
        </w:tc>
        <w:tc>
          <w:tcPr>
            <w:tcW w:w="307"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307"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182"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219"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219"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219"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752" w:type="pct"/>
            <w:tcBorders>
              <w:top w:val="nil"/>
              <w:left w:val="nil"/>
              <w:bottom w:val="nil"/>
              <w:right w:val="nil"/>
            </w:tcBorders>
            <w:noWrap/>
            <w:vAlign w:val="center"/>
          </w:tcPr>
          <w:p>
            <w:pPr>
              <w:keepNext w:val="0"/>
              <w:keepLines w:val="0"/>
              <w:widowControl/>
              <w:suppressLineNumbers w:val="0"/>
              <w:jc w:val="left"/>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单位：元/亩（头），万亩，万头，万元</w:t>
            </w:r>
          </w:p>
        </w:tc>
        <w:tc>
          <w:tcPr>
            <w:tcW w:w="219"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219"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219"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170"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170"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170"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170"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246" w:type="pct"/>
            <w:tcBorders>
              <w:top w:val="nil"/>
              <w:left w:val="nil"/>
              <w:bottom w:val="nil"/>
              <w:right w:val="nil"/>
            </w:tcBorders>
            <w:noWrap/>
            <w:vAlign w:val="center"/>
          </w:tcPr>
          <w:p>
            <w:pPr>
              <w:keepNext w:val="0"/>
              <w:keepLines w:val="0"/>
              <w:widowControl/>
              <w:suppressLineNumbers w:val="0"/>
              <w:jc w:val="left"/>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填报日期：</w:t>
            </w:r>
          </w:p>
        </w:tc>
        <w:tc>
          <w:tcPr>
            <w:tcW w:w="170"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170"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170"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品种</w:t>
            </w:r>
          </w:p>
        </w:tc>
        <w:tc>
          <w:tcPr>
            <w:tcW w:w="30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种植面积／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存栏数量</w:t>
            </w:r>
          </w:p>
        </w:tc>
        <w:tc>
          <w:tcPr>
            <w:tcW w:w="30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投保面积／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投保数量</w:t>
            </w:r>
          </w:p>
        </w:tc>
        <w:tc>
          <w:tcPr>
            <w:tcW w:w="18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参保率</w:t>
            </w:r>
          </w:p>
        </w:tc>
        <w:tc>
          <w:tcPr>
            <w:tcW w:w="2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单位保额</w:t>
            </w:r>
          </w:p>
        </w:tc>
        <w:tc>
          <w:tcPr>
            <w:tcW w:w="2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直接物化成本</w:t>
            </w:r>
          </w:p>
        </w:tc>
        <w:tc>
          <w:tcPr>
            <w:tcW w:w="2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土地成本</w:t>
            </w:r>
          </w:p>
        </w:tc>
        <w:tc>
          <w:tcPr>
            <w:tcW w:w="75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人工成本</w:t>
            </w:r>
          </w:p>
        </w:tc>
        <w:tc>
          <w:tcPr>
            <w:tcW w:w="2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保险费率</w:t>
            </w:r>
          </w:p>
        </w:tc>
        <w:tc>
          <w:tcPr>
            <w:tcW w:w="2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单位保费</w:t>
            </w:r>
          </w:p>
        </w:tc>
        <w:tc>
          <w:tcPr>
            <w:tcW w:w="2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保费规模</w:t>
            </w:r>
          </w:p>
        </w:tc>
        <w:tc>
          <w:tcPr>
            <w:tcW w:w="34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中央财政补贴</w:t>
            </w:r>
          </w:p>
        </w:tc>
        <w:tc>
          <w:tcPr>
            <w:tcW w:w="34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市级财政补贴</w:t>
            </w:r>
          </w:p>
        </w:tc>
        <w:tc>
          <w:tcPr>
            <w:tcW w:w="41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区县财政补贴</w:t>
            </w:r>
          </w:p>
        </w:tc>
        <w:tc>
          <w:tcPr>
            <w:tcW w:w="34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农户自缴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0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比例</w:t>
            </w: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比例</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比例</w:t>
            </w: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一、中央补贴险种合计</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（一）种植业合计</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1.稻谷</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2.小麦</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3.玉米</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4.油菜</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5.大豆</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6.马铃薯</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7.稻谷制种</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8.玉米制种</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（二）养殖业合计</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9.能繁母猪</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10.育肥猪</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11.奶牛</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（三）林业合计</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12.公益林</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13.商品林</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二、市级补贴险种合计</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14.柑橘成本保险</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15.生猪收益保险</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16.稻谷完全成本补充保险</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17.玉米完全成本补充保险</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18.马铃薯完全成本补充保险</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19.区县优势特色农产品保险</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20.脱贫户、监测户优惠政策</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合计金额</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000" w:type="pct"/>
            <w:gridSpan w:val="19"/>
            <w:tcBorders>
              <w:top w:val="single" w:color="000000" w:sz="4" w:space="0"/>
              <w:left w:val="nil"/>
              <w:bottom w:val="nil"/>
              <w:right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注：1.填报数据中“种植面积／存栏数量”、“投保面积／投保数量”栏保留4位小数，其他栏保留2位小数。</w:t>
            </w:r>
            <w:r>
              <w:rPr>
                <w:rFonts w:hint="eastAsia" w:ascii="方正楷体_GBK" w:hAnsi="方正楷体_GBK" w:eastAsia="方正楷体_GBK" w:cs="方正楷体_GBK"/>
                <w:i w:val="0"/>
                <w:color w:val="000000"/>
                <w:kern w:val="0"/>
                <w:sz w:val="24"/>
                <w:szCs w:val="24"/>
                <w:u w:val="none"/>
                <w:lang w:val="en-US" w:eastAsia="zh-CN" w:bidi="ar"/>
              </w:rPr>
              <w:br w:type="textWrapping"/>
            </w:r>
            <w:r>
              <w:rPr>
                <w:rFonts w:hint="eastAsia" w:ascii="方正楷体_GBK" w:hAnsi="方正楷体_GBK" w:eastAsia="方正楷体_GBK" w:cs="方正楷体_GBK"/>
                <w:i w:val="0"/>
                <w:color w:val="000000"/>
                <w:kern w:val="0"/>
                <w:sz w:val="24"/>
                <w:szCs w:val="24"/>
                <w:u w:val="none"/>
                <w:lang w:val="en-US" w:eastAsia="zh-CN" w:bidi="ar"/>
              </w:rPr>
              <w:t xml:space="preserve">        2.填报表内信息时，对未开展的补贴险种留空即可，不可直接删除该栏已有内容。</w:t>
            </w:r>
          </w:p>
        </w:tc>
      </w:tr>
    </w:tbl>
    <w:p>
      <w:pPr>
        <w:bidi w:val="0"/>
        <w:jc w:val="left"/>
      </w:pPr>
    </w:p>
    <w:p>
      <w:pPr>
        <w:pStyle w:val="2"/>
      </w:pPr>
    </w:p>
    <w:p>
      <w:pPr>
        <w:pStyle w:val="2"/>
      </w:pPr>
    </w:p>
    <w:p>
      <w:pPr>
        <w:pStyle w:val="2"/>
      </w:pPr>
    </w:p>
    <w:p>
      <w:pPr>
        <w:pStyle w:val="2"/>
      </w:pPr>
    </w:p>
    <w:p>
      <w:pPr>
        <w:pStyle w:val="2"/>
      </w:pPr>
    </w:p>
    <w:p>
      <w:pPr>
        <w:pStyle w:val="2"/>
      </w:pPr>
    </w:p>
    <w:p>
      <w:pPr>
        <w:pStyle w:val="2"/>
      </w:pPr>
    </w:p>
    <w:p>
      <w:pPr>
        <w:pStyle w:val="2"/>
      </w:pPr>
    </w:p>
    <w:tbl>
      <w:tblPr>
        <w:tblStyle w:val="9"/>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7"/>
        <w:gridCol w:w="952"/>
        <w:gridCol w:w="928"/>
        <w:gridCol w:w="835"/>
        <w:gridCol w:w="3671"/>
        <w:gridCol w:w="835"/>
        <w:gridCol w:w="835"/>
        <w:gridCol w:w="736"/>
        <w:gridCol w:w="741"/>
        <w:gridCol w:w="1217"/>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2" w:type="pct"/>
            <w:tcBorders>
              <w:top w:val="nil"/>
              <w:left w:val="nil"/>
              <w:bottom w:val="nil"/>
              <w:right w:val="nil"/>
            </w:tcBorders>
            <w:noWrap/>
            <w:vAlign w:val="bottom"/>
          </w:tcPr>
          <w:p>
            <w:pPr>
              <w:keepNext w:val="0"/>
              <w:keepLines w:val="0"/>
              <w:widowControl/>
              <w:suppressLineNumbers w:val="0"/>
              <w:jc w:val="left"/>
              <w:textAlignment w:val="bottom"/>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附件2-2</w:t>
            </w:r>
          </w:p>
        </w:tc>
        <w:tc>
          <w:tcPr>
            <w:tcW w:w="359"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351"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316"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1387"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316"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316"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278"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279"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459"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451"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1"/>
            <w:tcBorders>
              <w:top w:val="nil"/>
              <w:left w:val="nil"/>
              <w:bottom w:val="nil"/>
              <w:right w:val="nil"/>
            </w:tcBorders>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区县优势特色农产品保险情况表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2" w:type="pct"/>
            <w:gridSpan w:val="2"/>
            <w:tcBorders>
              <w:top w:val="nil"/>
              <w:left w:val="nil"/>
              <w:bottom w:val="single" w:color="000000" w:sz="4" w:space="0"/>
              <w:right w:val="nil"/>
            </w:tcBorders>
            <w:noWrap/>
            <w:vAlign w:val="center"/>
          </w:tcPr>
          <w:p>
            <w:pPr>
              <w:keepNext w:val="0"/>
              <w:keepLines w:val="0"/>
              <w:widowControl/>
              <w:suppressLineNumbers w:val="0"/>
              <w:jc w:val="center"/>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填报单位（公章）：</w:t>
            </w:r>
          </w:p>
        </w:tc>
        <w:tc>
          <w:tcPr>
            <w:tcW w:w="351" w:type="pct"/>
            <w:tcBorders>
              <w:top w:val="nil"/>
              <w:left w:val="nil"/>
              <w:bottom w:val="nil"/>
              <w:right w:val="nil"/>
            </w:tcBorders>
            <w:noWrap/>
            <w:vAlign w:val="center"/>
          </w:tcPr>
          <w:p>
            <w:pPr>
              <w:jc w:val="left"/>
              <w:rPr>
                <w:rFonts w:hint="eastAsia" w:ascii="方正楷体_GBK" w:hAnsi="方正楷体_GBK" w:eastAsia="方正楷体_GBK" w:cs="方正楷体_GBK"/>
                <w:i w:val="0"/>
                <w:color w:val="000000"/>
                <w:sz w:val="20"/>
                <w:szCs w:val="20"/>
                <w:u w:val="none"/>
              </w:rPr>
            </w:pPr>
          </w:p>
        </w:tc>
        <w:tc>
          <w:tcPr>
            <w:tcW w:w="316" w:type="pct"/>
            <w:tcBorders>
              <w:top w:val="nil"/>
              <w:left w:val="nil"/>
              <w:bottom w:val="nil"/>
              <w:right w:val="nil"/>
            </w:tcBorders>
            <w:noWrap/>
            <w:vAlign w:val="center"/>
          </w:tcPr>
          <w:p>
            <w:pPr>
              <w:jc w:val="left"/>
              <w:rPr>
                <w:rFonts w:hint="eastAsia" w:ascii="方正楷体_GBK" w:hAnsi="方正楷体_GBK" w:eastAsia="方正楷体_GBK" w:cs="方正楷体_GBK"/>
                <w:i w:val="0"/>
                <w:color w:val="000000"/>
                <w:sz w:val="20"/>
                <w:szCs w:val="20"/>
                <w:u w:val="none"/>
              </w:rPr>
            </w:pPr>
          </w:p>
        </w:tc>
        <w:tc>
          <w:tcPr>
            <w:tcW w:w="1387" w:type="pct"/>
            <w:tcBorders>
              <w:top w:val="nil"/>
              <w:left w:val="nil"/>
              <w:bottom w:val="nil"/>
              <w:right w:val="nil"/>
            </w:tcBorders>
            <w:noWrap/>
            <w:vAlign w:val="center"/>
          </w:tcPr>
          <w:p>
            <w:pPr>
              <w:keepNext w:val="0"/>
              <w:keepLines w:val="0"/>
              <w:widowControl/>
              <w:suppressLineNumbers w:val="0"/>
              <w:jc w:val="left"/>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单位：元/亩（头），万亩，万头，万元</w:t>
            </w:r>
          </w:p>
        </w:tc>
        <w:tc>
          <w:tcPr>
            <w:tcW w:w="316" w:type="pct"/>
            <w:tcBorders>
              <w:top w:val="nil"/>
              <w:left w:val="nil"/>
              <w:bottom w:val="nil"/>
              <w:right w:val="nil"/>
            </w:tcBorders>
            <w:noWrap/>
            <w:vAlign w:val="center"/>
          </w:tcPr>
          <w:p>
            <w:pPr>
              <w:jc w:val="left"/>
              <w:rPr>
                <w:rFonts w:hint="eastAsia" w:ascii="方正楷体_GBK" w:hAnsi="方正楷体_GBK" w:eastAsia="方正楷体_GBK" w:cs="方正楷体_GBK"/>
                <w:i w:val="0"/>
                <w:color w:val="000000"/>
                <w:sz w:val="20"/>
                <w:szCs w:val="20"/>
                <w:u w:val="none"/>
              </w:rPr>
            </w:pPr>
          </w:p>
        </w:tc>
        <w:tc>
          <w:tcPr>
            <w:tcW w:w="316" w:type="pct"/>
            <w:tcBorders>
              <w:top w:val="nil"/>
              <w:left w:val="nil"/>
              <w:bottom w:val="nil"/>
              <w:right w:val="nil"/>
            </w:tcBorders>
            <w:noWrap/>
            <w:vAlign w:val="center"/>
          </w:tcPr>
          <w:p>
            <w:pPr>
              <w:jc w:val="left"/>
              <w:rPr>
                <w:rFonts w:hint="eastAsia" w:ascii="方正楷体_GBK" w:hAnsi="方正楷体_GBK" w:eastAsia="方正楷体_GBK" w:cs="方正楷体_GBK"/>
                <w:i w:val="0"/>
                <w:color w:val="000000"/>
                <w:sz w:val="20"/>
                <w:szCs w:val="20"/>
                <w:u w:val="none"/>
              </w:rPr>
            </w:pPr>
          </w:p>
        </w:tc>
        <w:tc>
          <w:tcPr>
            <w:tcW w:w="278" w:type="pct"/>
            <w:tcBorders>
              <w:top w:val="nil"/>
              <w:left w:val="nil"/>
              <w:bottom w:val="nil"/>
              <w:right w:val="nil"/>
            </w:tcBorders>
            <w:noWrap/>
            <w:vAlign w:val="center"/>
          </w:tcPr>
          <w:p>
            <w:pPr>
              <w:jc w:val="left"/>
              <w:rPr>
                <w:rFonts w:hint="eastAsia" w:ascii="方正楷体_GBK" w:hAnsi="方正楷体_GBK" w:eastAsia="方正楷体_GBK" w:cs="方正楷体_GBK"/>
                <w:i w:val="0"/>
                <w:color w:val="000000"/>
                <w:sz w:val="20"/>
                <w:szCs w:val="20"/>
                <w:u w:val="none"/>
              </w:rPr>
            </w:pPr>
          </w:p>
        </w:tc>
        <w:tc>
          <w:tcPr>
            <w:tcW w:w="279" w:type="pct"/>
            <w:tcBorders>
              <w:top w:val="nil"/>
              <w:left w:val="nil"/>
              <w:bottom w:val="nil"/>
              <w:right w:val="nil"/>
            </w:tcBorders>
            <w:noWrap/>
            <w:vAlign w:val="center"/>
          </w:tcPr>
          <w:p>
            <w:pPr>
              <w:jc w:val="left"/>
              <w:rPr>
                <w:rFonts w:hint="eastAsia" w:ascii="方正楷体_GBK" w:hAnsi="方正楷体_GBK" w:eastAsia="方正楷体_GBK" w:cs="方正楷体_GBK"/>
                <w:i w:val="0"/>
                <w:color w:val="000000"/>
                <w:sz w:val="20"/>
                <w:szCs w:val="20"/>
                <w:u w:val="none"/>
              </w:rPr>
            </w:pPr>
          </w:p>
        </w:tc>
        <w:tc>
          <w:tcPr>
            <w:tcW w:w="459" w:type="pct"/>
            <w:tcBorders>
              <w:top w:val="nil"/>
              <w:left w:val="nil"/>
              <w:bottom w:val="nil"/>
              <w:right w:val="nil"/>
            </w:tcBorders>
            <w:noWrap/>
            <w:vAlign w:val="center"/>
          </w:tcPr>
          <w:p>
            <w:pPr>
              <w:keepNext w:val="0"/>
              <w:keepLines w:val="0"/>
              <w:widowControl/>
              <w:suppressLineNumbers w:val="0"/>
              <w:jc w:val="left"/>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填报日期：</w:t>
            </w:r>
          </w:p>
        </w:tc>
        <w:tc>
          <w:tcPr>
            <w:tcW w:w="451" w:type="pct"/>
            <w:tcBorders>
              <w:top w:val="nil"/>
              <w:left w:val="nil"/>
              <w:bottom w:val="nil"/>
              <w:right w:val="nil"/>
            </w:tcBorders>
            <w:noWrap/>
            <w:vAlign w:val="center"/>
          </w:tcPr>
          <w:p>
            <w:pPr>
              <w:jc w:val="left"/>
              <w:rPr>
                <w:rFonts w:hint="eastAsia" w:ascii="方正楷体_GBK" w:hAnsi="方正楷体_GBK" w:eastAsia="方正楷体_GBK" w:cs="方正楷体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48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保险品种名称</w:t>
            </w:r>
          </w:p>
        </w:tc>
        <w:tc>
          <w:tcPr>
            <w:tcW w:w="35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种植面积</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／存栏数量</w:t>
            </w:r>
          </w:p>
        </w:tc>
        <w:tc>
          <w:tcPr>
            <w:tcW w:w="35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投保面积</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／投保数量</w:t>
            </w:r>
          </w:p>
        </w:tc>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保障水平</w:t>
            </w:r>
          </w:p>
        </w:tc>
        <w:tc>
          <w:tcPr>
            <w:tcW w:w="13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保险费率</w:t>
            </w:r>
          </w:p>
        </w:tc>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单位保费</w:t>
            </w:r>
          </w:p>
        </w:tc>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保费规模</w:t>
            </w:r>
          </w:p>
        </w:tc>
        <w:tc>
          <w:tcPr>
            <w:tcW w:w="5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财政补贴</w:t>
            </w:r>
          </w:p>
        </w:tc>
        <w:tc>
          <w:tcPr>
            <w:tcW w:w="45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其他资金来源</w:t>
            </w:r>
          </w:p>
        </w:tc>
        <w:tc>
          <w:tcPr>
            <w:tcW w:w="45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保险机制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1" w:hRule="atLeast"/>
        </w:trPr>
        <w:tc>
          <w:tcPr>
            <w:tcW w:w="4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8"/>
                <w:szCs w:val="28"/>
                <w:u w:val="none"/>
              </w:rPr>
            </w:pPr>
          </w:p>
        </w:tc>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8"/>
                <w:szCs w:val="28"/>
                <w:u w:val="none"/>
              </w:rPr>
            </w:pPr>
          </w:p>
        </w:tc>
        <w:tc>
          <w:tcPr>
            <w:tcW w:w="3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8"/>
                <w:szCs w:val="28"/>
                <w:u w:val="none"/>
              </w:rPr>
            </w:pPr>
          </w:p>
        </w:tc>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8"/>
                <w:szCs w:val="28"/>
                <w:u w:val="none"/>
              </w:rPr>
            </w:pPr>
          </w:p>
        </w:tc>
        <w:tc>
          <w:tcPr>
            <w:tcW w:w="13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8"/>
                <w:szCs w:val="28"/>
                <w:u w:val="none"/>
              </w:rPr>
            </w:pPr>
          </w:p>
        </w:tc>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8"/>
                <w:szCs w:val="28"/>
                <w:u w:val="none"/>
              </w:rPr>
            </w:pPr>
          </w:p>
        </w:tc>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8"/>
                <w:szCs w:val="28"/>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金额</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比例</w:t>
            </w:r>
          </w:p>
        </w:tc>
        <w:tc>
          <w:tcPr>
            <w:tcW w:w="45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8"/>
                <w:szCs w:val="28"/>
                <w:u w:val="none"/>
              </w:rPr>
            </w:pPr>
          </w:p>
        </w:tc>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合计金额</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3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000" w:type="pct"/>
            <w:gridSpan w:val="11"/>
            <w:tcBorders>
              <w:top w:val="nil"/>
              <w:left w:val="nil"/>
              <w:bottom w:val="nil"/>
              <w:right w:val="nil"/>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注：仅填报申请市级财政补贴资金，且符合单一保险产品等原则的区县优势特色农产品保险情况，不超过5个险种。其中保险机制为必填项，包括但不限于保险责任、赔付机制等情况。</w:t>
            </w:r>
          </w:p>
        </w:tc>
      </w:tr>
    </w:tbl>
    <w:p>
      <w:pPr>
        <w:bidi w:val="0"/>
        <w:jc w:val="left"/>
      </w:pP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99"/>
        <w:gridCol w:w="452"/>
        <w:gridCol w:w="452"/>
        <w:gridCol w:w="452"/>
        <w:gridCol w:w="452"/>
        <w:gridCol w:w="452"/>
        <w:gridCol w:w="452"/>
        <w:gridCol w:w="3613"/>
        <w:gridCol w:w="452"/>
        <w:gridCol w:w="452"/>
        <w:gridCol w:w="452"/>
        <w:gridCol w:w="452"/>
        <w:gridCol w:w="452"/>
        <w:gridCol w:w="452"/>
        <w:gridCol w:w="452"/>
        <w:gridCol w:w="1199"/>
        <w:gridCol w:w="452"/>
        <w:gridCol w:w="452"/>
        <w:gridCol w:w="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1" w:type="pct"/>
            <w:tcBorders>
              <w:top w:val="nil"/>
              <w:left w:val="nil"/>
              <w:bottom w:val="nil"/>
              <w:right w:val="nil"/>
            </w:tcBorders>
            <w:noWrap/>
            <w:vAlign w:val="bottom"/>
          </w:tcPr>
          <w:p>
            <w:pPr>
              <w:keepNext w:val="0"/>
              <w:keepLines w:val="0"/>
              <w:widowControl/>
              <w:suppressLineNumbers w:val="0"/>
              <w:jc w:val="left"/>
              <w:textAlignment w:val="bottom"/>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附件3</w:t>
            </w:r>
          </w:p>
        </w:tc>
        <w:tc>
          <w:tcPr>
            <w:tcW w:w="315"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315"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180"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216"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216"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216"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743"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216"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216"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216"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168"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168"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168"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168"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243"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168"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168"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168" w:type="pct"/>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000" w:type="pct"/>
            <w:gridSpan w:val="19"/>
            <w:tcBorders>
              <w:top w:val="nil"/>
              <w:left w:val="nil"/>
              <w:bottom w:val="nil"/>
              <w:right w:val="nil"/>
            </w:tcBorders>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农业保险保费补贴资金测算表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1" w:type="pct"/>
            <w:tcBorders>
              <w:top w:val="nil"/>
              <w:left w:val="nil"/>
              <w:bottom w:val="nil"/>
              <w:right w:val="nil"/>
            </w:tcBorders>
            <w:noWrap/>
            <w:vAlign w:val="center"/>
          </w:tcPr>
          <w:p>
            <w:pPr>
              <w:keepNext w:val="0"/>
              <w:keepLines w:val="0"/>
              <w:widowControl/>
              <w:suppressLineNumbers w:val="0"/>
              <w:jc w:val="lef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填报单位：</w:t>
            </w:r>
          </w:p>
        </w:tc>
        <w:tc>
          <w:tcPr>
            <w:tcW w:w="315"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315"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180"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216"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216"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216"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743" w:type="pct"/>
            <w:tcBorders>
              <w:top w:val="nil"/>
              <w:left w:val="nil"/>
              <w:bottom w:val="nil"/>
              <w:right w:val="nil"/>
            </w:tcBorders>
            <w:noWrap/>
            <w:vAlign w:val="center"/>
          </w:tcPr>
          <w:p>
            <w:pPr>
              <w:keepNext w:val="0"/>
              <w:keepLines w:val="0"/>
              <w:widowControl/>
              <w:suppressLineNumbers w:val="0"/>
              <w:jc w:val="left"/>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单位：元/亩（头），万亩，万头，万元</w:t>
            </w:r>
          </w:p>
        </w:tc>
        <w:tc>
          <w:tcPr>
            <w:tcW w:w="216"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216"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216"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168"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168"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168"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168"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243" w:type="pct"/>
            <w:tcBorders>
              <w:top w:val="nil"/>
              <w:left w:val="nil"/>
              <w:bottom w:val="nil"/>
              <w:right w:val="nil"/>
            </w:tcBorders>
            <w:noWrap/>
            <w:vAlign w:val="center"/>
          </w:tcPr>
          <w:p>
            <w:pPr>
              <w:keepNext w:val="0"/>
              <w:keepLines w:val="0"/>
              <w:widowControl/>
              <w:suppressLineNumbers w:val="0"/>
              <w:jc w:val="left"/>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填报日期：</w:t>
            </w:r>
          </w:p>
        </w:tc>
        <w:tc>
          <w:tcPr>
            <w:tcW w:w="168"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168"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c>
          <w:tcPr>
            <w:tcW w:w="168" w:type="pct"/>
            <w:tcBorders>
              <w:top w:val="nil"/>
              <w:left w:val="nil"/>
              <w:bottom w:val="nil"/>
              <w:right w:val="nil"/>
            </w:tcBorders>
            <w:noWrap/>
            <w:vAlign w:val="bottom"/>
          </w:tcPr>
          <w:p>
            <w:pPr>
              <w:rPr>
                <w:rFonts w:hint="eastAsia" w:ascii="方正楷体_GBK" w:hAnsi="方正楷体_GBK" w:eastAsia="方正楷体_GBK" w:cs="方正楷体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品种</w:t>
            </w:r>
          </w:p>
        </w:tc>
        <w:tc>
          <w:tcPr>
            <w:tcW w:w="3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种植面积／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存栏数量</w:t>
            </w:r>
          </w:p>
        </w:tc>
        <w:tc>
          <w:tcPr>
            <w:tcW w:w="3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投保面积／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投保数量</w:t>
            </w:r>
          </w:p>
        </w:tc>
        <w:tc>
          <w:tcPr>
            <w:tcW w:w="18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参保率</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单位保额</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直接物化成本</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土地成本</w:t>
            </w:r>
          </w:p>
        </w:tc>
        <w:tc>
          <w:tcPr>
            <w:tcW w:w="7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人工成本</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保险费率</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单位保费</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保费规模</w:t>
            </w:r>
          </w:p>
        </w:tc>
        <w:tc>
          <w:tcPr>
            <w:tcW w:w="33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中央财政补贴</w:t>
            </w:r>
          </w:p>
        </w:tc>
        <w:tc>
          <w:tcPr>
            <w:tcW w:w="33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市级财政补贴</w:t>
            </w:r>
          </w:p>
        </w:tc>
        <w:tc>
          <w:tcPr>
            <w:tcW w:w="4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区县财政补贴</w:t>
            </w:r>
          </w:p>
        </w:tc>
        <w:tc>
          <w:tcPr>
            <w:tcW w:w="33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农户自缴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比例</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比例</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比例</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一、中央补贴险种合计</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（一）种植业合计</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1.稻谷</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2.小麦</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3.玉米</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4.油菜</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5.大豆</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6.马铃薯</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7.稻谷制种</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8.玉米制种</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（二）养殖业合计</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9.能繁母猪</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10.育肥猪</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11.奶牛</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（三）林业合计</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12.公益林</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13.商品林</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二、市级补贴险种合计</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14.柑橘成本保险</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15.生猪收益保险</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16.稻谷完全成本补充保险</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17.玉米完全成本补充保险</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18.马铃薯完全成本补充保险</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19.区县优势特色农产品保险1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20.区县优势特色农产品保险2</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21.区县优势特色农产品保险3</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22.区县优势特色农产品保险4</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23.区县优势特色农产品保险5</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合计金额</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9"/>
            <w:tcBorders>
              <w:top w:val="single" w:color="000000" w:sz="4" w:space="0"/>
              <w:left w:val="nil"/>
              <w:bottom w:val="nil"/>
              <w:right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注：1.填报数据中“种植面积／存栏数量”、“投保面积／投保数量”栏保留4位小数，其他栏保留2位小数。</w:t>
            </w:r>
            <w:r>
              <w:rPr>
                <w:rFonts w:hint="eastAsia" w:ascii="方正楷体_GBK" w:hAnsi="方正楷体_GBK" w:eastAsia="方正楷体_GBK" w:cs="方正楷体_GBK"/>
                <w:i w:val="0"/>
                <w:color w:val="000000"/>
                <w:kern w:val="0"/>
                <w:sz w:val="24"/>
                <w:szCs w:val="24"/>
                <w:u w:val="none"/>
                <w:lang w:val="en-US" w:eastAsia="zh-CN" w:bidi="ar"/>
              </w:rPr>
              <w:br w:type="textWrapping"/>
            </w:r>
            <w:r>
              <w:rPr>
                <w:rFonts w:hint="eastAsia" w:ascii="方正楷体_GBK" w:hAnsi="方正楷体_GBK" w:eastAsia="方正楷体_GBK" w:cs="方正楷体_GBK"/>
                <w:i w:val="0"/>
                <w:color w:val="000000"/>
                <w:kern w:val="0"/>
                <w:sz w:val="24"/>
                <w:szCs w:val="24"/>
                <w:u w:val="none"/>
                <w:lang w:val="en-US" w:eastAsia="zh-CN" w:bidi="ar"/>
              </w:rPr>
              <w:t xml:space="preserve">        2.填报表内信息时，对未开展的补贴险种留空即可，不可直接删除该栏已有内容。</w:t>
            </w:r>
          </w:p>
        </w:tc>
      </w:tr>
    </w:tbl>
    <w:p>
      <w:pPr>
        <w:bidi w:val="0"/>
        <w:jc w:val="left"/>
      </w:pPr>
    </w:p>
    <w:p>
      <w:pPr>
        <w:pStyle w:val="2"/>
      </w:pPr>
    </w:p>
    <w:p>
      <w:pPr>
        <w:pStyle w:val="2"/>
      </w:pPr>
    </w:p>
    <w:p>
      <w:pPr>
        <w:pStyle w:val="2"/>
      </w:pPr>
    </w:p>
    <w:p>
      <w:pPr>
        <w:pStyle w:val="2"/>
      </w:pPr>
    </w:p>
    <w:p>
      <w:pPr>
        <w:pStyle w:val="2"/>
      </w:pPr>
    </w:p>
    <w:tbl>
      <w:tblPr>
        <w:tblStyle w:val="9"/>
        <w:tblW w:w="538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4"/>
        <w:gridCol w:w="2655"/>
        <w:gridCol w:w="1889"/>
        <w:gridCol w:w="804"/>
        <w:gridCol w:w="1749"/>
        <w:gridCol w:w="4062"/>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2" w:type="pct"/>
            <w:tcBorders>
              <w:top w:val="nil"/>
              <w:left w:val="nil"/>
              <w:bottom w:val="nil"/>
              <w:right w:val="nil"/>
            </w:tcBorders>
            <w:noWrap/>
            <w:vAlign w:val="bottom"/>
          </w:tcPr>
          <w:p>
            <w:pPr>
              <w:keepNext w:val="0"/>
              <w:keepLines w:val="0"/>
              <w:widowControl/>
              <w:suppressLineNumbers w:val="0"/>
              <w:jc w:val="left"/>
              <w:textAlignment w:val="bottom"/>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32"/>
                <w:szCs w:val="32"/>
                <w:u w:val="none"/>
                <w:lang w:val="en-US" w:eastAsia="zh-CN" w:bidi="ar"/>
              </w:rPr>
              <w:t>附件4</w:t>
            </w:r>
          </w:p>
        </w:tc>
        <w:tc>
          <w:tcPr>
            <w:tcW w:w="931" w:type="pct"/>
            <w:tcBorders>
              <w:top w:val="nil"/>
              <w:left w:val="nil"/>
              <w:bottom w:val="nil"/>
              <w:right w:val="nil"/>
            </w:tcBorders>
            <w:noWrap/>
            <w:vAlign w:val="bottom"/>
          </w:tcPr>
          <w:p>
            <w:pPr>
              <w:rPr>
                <w:rFonts w:hint="eastAsia" w:ascii="方正仿宋_GBK" w:hAnsi="方正仿宋_GBK" w:eastAsia="方正仿宋_GBK" w:cs="方正仿宋_GBK"/>
                <w:i w:val="0"/>
                <w:color w:val="000000"/>
                <w:sz w:val="22"/>
                <w:szCs w:val="22"/>
                <w:u w:val="none"/>
              </w:rPr>
            </w:pPr>
          </w:p>
        </w:tc>
        <w:tc>
          <w:tcPr>
            <w:tcW w:w="662" w:type="pct"/>
            <w:tcBorders>
              <w:top w:val="nil"/>
              <w:left w:val="nil"/>
              <w:bottom w:val="nil"/>
              <w:right w:val="nil"/>
            </w:tcBorders>
            <w:noWrap/>
            <w:vAlign w:val="bottom"/>
          </w:tcPr>
          <w:p>
            <w:pPr>
              <w:rPr>
                <w:rFonts w:hint="eastAsia" w:ascii="方正仿宋_GBK" w:hAnsi="方正仿宋_GBK" w:eastAsia="方正仿宋_GBK" w:cs="方正仿宋_GBK"/>
                <w:i w:val="0"/>
                <w:color w:val="000000"/>
                <w:sz w:val="22"/>
                <w:szCs w:val="22"/>
                <w:u w:val="none"/>
              </w:rPr>
            </w:pPr>
          </w:p>
        </w:tc>
        <w:tc>
          <w:tcPr>
            <w:tcW w:w="282" w:type="pct"/>
            <w:tcBorders>
              <w:top w:val="nil"/>
              <w:left w:val="nil"/>
              <w:bottom w:val="nil"/>
              <w:right w:val="nil"/>
            </w:tcBorders>
            <w:noWrap/>
            <w:vAlign w:val="bottom"/>
          </w:tcPr>
          <w:p>
            <w:pPr>
              <w:jc w:val="center"/>
              <w:rPr>
                <w:rFonts w:hint="eastAsia" w:ascii="方正仿宋_GBK" w:hAnsi="方正仿宋_GBK" w:eastAsia="方正仿宋_GBK" w:cs="方正仿宋_GBK"/>
                <w:i w:val="0"/>
                <w:color w:val="000000"/>
                <w:sz w:val="22"/>
                <w:szCs w:val="22"/>
                <w:u w:val="none"/>
              </w:rPr>
            </w:pPr>
          </w:p>
        </w:tc>
        <w:tc>
          <w:tcPr>
            <w:tcW w:w="613" w:type="pct"/>
            <w:tcBorders>
              <w:top w:val="nil"/>
              <w:left w:val="nil"/>
              <w:bottom w:val="nil"/>
              <w:right w:val="nil"/>
            </w:tcBorders>
            <w:noWrap/>
            <w:vAlign w:val="bottom"/>
          </w:tcPr>
          <w:p>
            <w:pPr>
              <w:rPr>
                <w:rFonts w:hint="eastAsia" w:ascii="方正仿宋_GBK" w:hAnsi="方正仿宋_GBK" w:eastAsia="方正仿宋_GBK" w:cs="方正仿宋_GBK"/>
                <w:i w:val="0"/>
                <w:color w:val="000000"/>
                <w:sz w:val="22"/>
                <w:szCs w:val="22"/>
                <w:u w:val="none"/>
              </w:rPr>
            </w:pPr>
          </w:p>
        </w:tc>
        <w:tc>
          <w:tcPr>
            <w:tcW w:w="1425" w:type="pct"/>
            <w:tcBorders>
              <w:top w:val="nil"/>
              <w:left w:val="nil"/>
              <w:bottom w:val="nil"/>
              <w:right w:val="nil"/>
            </w:tcBorders>
            <w:noWrap/>
            <w:vAlign w:val="bottom"/>
          </w:tcPr>
          <w:p>
            <w:pPr>
              <w:rPr>
                <w:rFonts w:hint="eastAsia" w:ascii="方正仿宋_GBK" w:hAnsi="方正仿宋_GBK" w:eastAsia="方正仿宋_GBK" w:cs="方正仿宋_GBK"/>
                <w:i w:val="0"/>
                <w:color w:val="000000"/>
                <w:sz w:val="22"/>
                <w:szCs w:val="22"/>
                <w:u w:val="none"/>
              </w:rPr>
            </w:pPr>
          </w:p>
        </w:tc>
        <w:tc>
          <w:tcPr>
            <w:tcW w:w="252" w:type="pct"/>
            <w:tcBorders>
              <w:top w:val="nil"/>
              <w:left w:val="nil"/>
              <w:bottom w:val="nil"/>
              <w:right w:val="nil"/>
            </w:tcBorders>
            <w:noWrap/>
            <w:vAlign w:val="bottom"/>
          </w:tcPr>
          <w:p>
            <w:pP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7"/>
            <w:tcBorders>
              <w:top w:val="nil"/>
              <w:left w:val="nil"/>
              <w:bottom w:val="single" w:color="000000" w:sz="4" w:space="0"/>
              <w:right w:val="nil"/>
            </w:tcBorders>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kern w:val="0"/>
                <w:sz w:val="32"/>
                <w:szCs w:val="32"/>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农业保险保费补贴综合绩效评价指标表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方正黑体简体" w:hAnsi="方正黑体简体" w:eastAsia="方正黑体简体" w:cs="方正黑体简体"/>
                <w:i w:val="0"/>
                <w:color w:val="000000"/>
                <w:sz w:val="24"/>
                <w:szCs w:val="24"/>
                <w:u w:val="none"/>
              </w:rPr>
            </w:pPr>
            <w:r>
              <w:rPr>
                <w:rFonts w:hint="default" w:ascii="方正黑体简体" w:hAnsi="方正黑体简体" w:eastAsia="方正黑体简体" w:cs="方正黑体简体"/>
                <w:i w:val="0"/>
                <w:color w:val="000000"/>
                <w:kern w:val="0"/>
                <w:sz w:val="24"/>
                <w:szCs w:val="24"/>
                <w:u w:val="none"/>
                <w:lang w:val="en-US" w:eastAsia="zh-CN" w:bidi="ar"/>
              </w:rPr>
              <w:t>一级指标</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24"/>
                <w:szCs w:val="24"/>
                <w:u w:val="none"/>
              </w:rPr>
            </w:pPr>
            <w:r>
              <w:rPr>
                <w:rFonts w:hint="default" w:ascii="方正黑体简体" w:hAnsi="方正黑体简体" w:eastAsia="方正黑体简体" w:cs="方正黑体简体"/>
                <w:i w:val="0"/>
                <w:color w:val="000000"/>
                <w:kern w:val="0"/>
                <w:sz w:val="24"/>
                <w:szCs w:val="24"/>
                <w:u w:val="none"/>
                <w:lang w:val="en-US" w:eastAsia="zh-CN" w:bidi="ar"/>
              </w:rPr>
              <w:t>二级指标</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24"/>
                <w:szCs w:val="24"/>
                <w:u w:val="none"/>
              </w:rPr>
            </w:pPr>
            <w:r>
              <w:rPr>
                <w:rFonts w:hint="default" w:ascii="方正黑体简体" w:hAnsi="方正黑体简体" w:eastAsia="方正黑体简体" w:cs="方正黑体简体"/>
                <w:i w:val="0"/>
                <w:color w:val="000000"/>
                <w:kern w:val="0"/>
                <w:sz w:val="24"/>
                <w:szCs w:val="24"/>
                <w:u w:val="none"/>
                <w:lang w:val="en-US" w:eastAsia="zh-CN" w:bidi="ar"/>
              </w:rPr>
              <w:t>三级指标</w:t>
            </w:r>
          </w:p>
        </w:tc>
        <w:tc>
          <w:tcPr>
            <w:tcW w:w="2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24"/>
                <w:szCs w:val="24"/>
                <w:u w:val="none"/>
              </w:rPr>
            </w:pPr>
            <w:r>
              <w:rPr>
                <w:rFonts w:hint="default" w:ascii="方正黑体简体" w:hAnsi="方正黑体简体" w:eastAsia="方正黑体简体" w:cs="方正黑体简体"/>
                <w:i w:val="0"/>
                <w:color w:val="000000"/>
                <w:kern w:val="0"/>
                <w:sz w:val="24"/>
                <w:szCs w:val="24"/>
                <w:u w:val="none"/>
                <w:lang w:val="en-US" w:eastAsia="zh-CN" w:bidi="ar"/>
              </w:rPr>
              <w:t>分值</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24"/>
                <w:szCs w:val="24"/>
                <w:u w:val="none"/>
              </w:rPr>
            </w:pPr>
            <w:r>
              <w:rPr>
                <w:rFonts w:hint="default" w:ascii="方正黑体简体" w:hAnsi="方正黑体简体" w:eastAsia="方正黑体简体" w:cs="方正黑体简体"/>
                <w:i w:val="0"/>
                <w:color w:val="000000"/>
                <w:kern w:val="0"/>
                <w:sz w:val="24"/>
                <w:szCs w:val="24"/>
                <w:u w:val="none"/>
                <w:lang w:val="en-US" w:eastAsia="zh-CN" w:bidi="ar"/>
              </w:rPr>
              <w:t>指标释义</w:t>
            </w:r>
          </w:p>
        </w:tc>
        <w:tc>
          <w:tcPr>
            <w:tcW w:w="1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24"/>
                <w:szCs w:val="24"/>
                <w:u w:val="none"/>
              </w:rPr>
            </w:pPr>
            <w:r>
              <w:rPr>
                <w:rFonts w:hint="default" w:ascii="方正黑体简体" w:hAnsi="方正黑体简体" w:eastAsia="方正黑体简体" w:cs="方正黑体简体"/>
                <w:i w:val="0"/>
                <w:color w:val="000000"/>
                <w:kern w:val="0"/>
                <w:sz w:val="24"/>
                <w:szCs w:val="24"/>
                <w:u w:val="none"/>
                <w:lang w:val="en-US" w:eastAsia="zh-CN" w:bidi="ar"/>
              </w:rPr>
              <w:t>评价标准</w:t>
            </w:r>
          </w:p>
        </w:tc>
        <w:tc>
          <w:tcPr>
            <w:tcW w:w="2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24"/>
                <w:szCs w:val="24"/>
                <w:u w:val="none"/>
              </w:rPr>
            </w:pPr>
            <w:r>
              <w:rPr>
                <w:rFonts w:hint="default" w:ascii="方正黑体简体" w:hAnsi="方正黑体简体" w:eastAsia="方正黑体简体" w:cs="方正黑体简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区县政府职能部门履职尽责</w:t>
            </w:r>
            <w:r>
              <w:rPr>
                <w:rStyle w:val="15"/>
                <w:rFonts w:eastAsia="等线"/>
                <w:lang w:val="en-US" w:eastAsia="zh-CN" w:bidi="ar"/>
              </w:rPr>
              <w:t>30</w:t>
            </w:r>
          </w:p>
        </w:tc>
        <w:tc>
          <w:tcPr>
            <w:tcW w:w="93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统筹管理</w:t>
            </w:r>
          </w:p>
        </w:tc>
        <w:tc>
          <w:tcPr>
            <w:tcW w:w="6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决策部署落实</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是否落实《重庆市农业保险保费补贴管理办法》中的各项原则。</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是否对小农户设置参保限制性条款。</w:t>
            </w:r>
          </w:p>
        </w:tc>
        <w:tc>
          <w:tcPr>
            <w:tcW w:w="1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能够贯彻落实《重庆市农业保险保费补贴管理办法》，制定本区县实施细则（</w:t>
            </w:r>
            <w:r>
              <w:rPr>
                <w:rStyle w:val="15"/>
                <w:rFonts w:eastAsia="等线"/>
                <w:lang w:val="en-US" w:eastAsia="zh-CN" w:bidi="ar"/>
              </w:rPr>
              <w:t>1</w:t>
            </w:r>
            <w:r>
              <w:rPr>
                <w:rStyle w:val="14"/>
                <w:lang w:val="en-US" w:eastAsia="zh-CN" w:bidi="ar"/>
              </w:rPr>
              <w:t>分），未制定（</w:t>
            </w:r>
            <w:r>
              <w:rPr>
                <w:rStyle w:val="15"/>
                <w:rFonts w:eastAsia="等线"/>
                <w:lang w:val="en-US" w:eastAsia="zh-CN" w:bidi="ar"/>
              </w:rPr>
              <w:t>0</w:t>
            </w:r>
            <w:r>
              <w:rPr>
                <w:rStyle w:val="14"/>
                <w:lang w:val="en-US" w:eastAsia="zh-CN" w:bidi="ar"/>
              </w:rPr>
              <w:t>分）；</w:t>
            </w:r>
            <w:r>
              <w:rPr>
                <w:rStyle w:val="14"/>
                <w:lang w:val="en-US" w:eastAsia="zh-CN" w:bidi="ar"/>
              </w:rPr>
              <w:br w:type="textWrapping"/>
            </w:r>
            <w:r>
              <w:rPr>
                <w:rStyle w:val="14"/>
                <w:lang w:val="en-US" w:eastAsia="zh-CN" w:bidi="ar"/>
              </w:rPr>
              <w:t>对小农户未设置参保限制性条款（</w:t>
            </w:r>
            <w:r>
              <w:rPr>
                <w:rStyle w:val="15"/>
                <w:rFonts w:eastAsia="等线"/>
                <w:lang w:val="en-US" w:eastAsia="zh-CN" w:bidi="ar"/>
              </w:rPr>
              <w:t>1</w:t>
            </w:r>
            <w:r>
              <w:rPr>
                <w:rStyle w:val="14"/>
                <w:lang w:val="en-US" w:eastAsia="zh-CN" w:bidi="ar"/>
              </w:rPr>
              <w:t>分），设置参保限制性条款（</w:t>
            </w:r>
            <w:r>
              <w:rPr>
                <w:rStyle w:val="15"/>
                <w:rFonts w:eastAsia="等线"/>
                <w:lang w:val="en-US" w:eastAsia="zh-CN" w:bidi="ar"/>
              </w:rPr>
              <w:t>0</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等线" w:cs="Times New Roman"/>
                <w:i w:val="0"/>
                <w:color w:val="000000"/>
                <w:sz w:val="24"/>
                <w:szCs w:val="24"/>
                <w:u w:val="none"/>
              </w:rPr>
            </w:pP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部门协同</w:t>
            </w:r>
          </w:p>
        </w:tc>
        <w:tc>
          <w:tcPr>
            <w:tcW w:w="2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各部门是否能够做到工作协同。</w:t>
            </w:r>
          </w:p>
        </w:tc>
        <w:tc>
          <w:tcPr>
            <w:tcW w:w="1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发文明确相关部门、单位和承保机构在农业保险数据真实性和承保标的的核验、理赔结果确认、保费补贴资金申请审核等环节的职责（</w:t>
            </w:r>
            <w:r>
              <w:rPr>
                <w:rStyle w:val="15"/>
                <w:rFonts w:eastAsia="等线"/>
                <w:lang w:val="en-US" w:eastAsia="zh-CN" w:bidi="ar"/>
              </w:rPr>
              <w:t>1</w:t>
            </w:r>
            <w:r>
              <w:rPr>
                <w:rStyle w:val="14"/>
                <w:lang w:val="en-US" w:eastAsia="zh-CN" w:bidi="ar"/>
              </w:rPr>
              <w:t>分）；建立农业保险相关工作小组或联席会议制度（</w:t>
            </w:r>
            <w:r>
              <w:rPr>
                <w:rStyle w:val="15"/>
                <w:rFonts w:eastAsia="等线"/>
                <w:lang w:val="en-US" w:eastAsia="zh-CN" w:bidi="ar"/>
              </w:rPr>
              <w:t>1</w:t>
            </w:r>
            <w:r>
              <w:rPr>
                <w:rStyle w:val="14"/>
                <w:lang w:val="en-US" w:eastAsia="zh-CN" w:bidi="ar"/>
              </w:rPr>
              <w:t>分）；执行中能够有序衔接形成合力（</w:t>
            </w:r>
            <w:r>
              <w:rPr>
                <w:rStyle w:val="15"/>
                <w:rFonts w:eastAsia="等线"/>
                <w:lang w:val="en-US" w:eastAsia="zh-CN" w:bidi="ar"/>
              </w:rPr>
              <w:t>1</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项目管理</w:t>
            </w:r>
          </w:p>
        </w:tc>
        <w:tc>
          <w:tcPr>
            <w:tcW w:w="6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目标明确度及合理性</w:t>
            </w:r>
          </w:p>
        </w:tc>
        <w:tc>
          <w:tcPr>
            <w:tcW w:w="2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是否制定工作目标；目标是否足够明确、细化、量化。</w:t>
            </w:r>
          </w:p>
        </w:tc>
        <w:tc>
          <w:tcPr>
            <w:tcW w:w="1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制定的工作目标明确（</w:t>
            </w:r>
            <w:r>
              <w:rPr>
                <w:rStyle w:val="15"/>
                <w:rFonts w:eastAsia="等线"/>
                <w:lang w:val="en-US" w:eastAsia="zh-CN" w:bidi="ar"/>
              </w:rPr>
              <w:t>1</w:t>
            </w:r>
            <w:r>
              <w:rPr>
                <w:rStyle w:val="14"/>
                <w:lang w:val="en-US" w:eastAsia="zh-CN" w:bidi="ar"/>
              </w:rPr>
              <w:t>分），并将目标细化、量化（</w:t>
            </w:r>
            <w:r>
              <w:rPr>
                <w:rStyle w:val="15"/>
                <w:rFonts w:eastAsia="等线"/>
                <w:lang w:val="en-US" w:eastAsia="zh-CN" w:bidi="ar"/>
              </w:rPr>
              <w:t>1</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等线" w:cs="Times New Roman"/>
                <w:i w:val="0"/>
                <w:color w:val="000000"/>
                <w:sz w:val="24"/>
                <w:szCs w:val="24"/>
                <w:u w:val="none"/>
              </w:rPr>
            </w:pP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计划程序</w:t>
            </w:r>
          </w:p>
        </w:tc>
        <w:tc>
          <w:tcPr>
            <w:tcW w:w="2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是否</w:t>
            </w:r>
            <w:r>
              <w:rPr>
                <w:rStyle w:val="15"/>
                <w:rFonts w:eastAsia="等线"/>
                <w:lang w:val="en-US" w:eastAsia="zh-CN" w:bidi="ar"/>
              </w:rPr>
              <w:t>“</w:t>
            </w:r>
            <w:r>
              <w:rPr>
                <w:rStyle w:val="14"/>
                <w:lang w:val="en-US" w:eastAsia="zh-CN" w:bidi="ar"/>
              </w:rPr>
              <w:t>自下而上</w:t>
            </w:r>
            <w:r>
              <w:rPr>
                <w:rStyle w:val="15"/>
                <w:rFonts w:eastAsia="等线"/>
                <w:lang w:val="en-US" w:eastAsia="zh-CN" w:bidi="ar"/>
              </w:rPr>
              <w:t>”</w:t>
            </w:r>
            <w:r>
              <w:rPr>
                <w:rStyle w:val="14"/>
                <w:lang w:val="en-US" w:eastAsia="zh-CN" w:bidi="ar"/>
              </w:rPr>
              <w:t>编制承保计划，申报是否及时、方案是否科学、措施是否可行。</w:t>
            </w:r>
          </w:p>
        </w:tc>
        <w:tc>
          <w:tcPr>
            <w:tcW w:w="1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5"/>
                <w:rFonts w:eastAsia="等线"/>
                <w:lang w:val="en-US" w:eastAsia="zh-CN" w:bidi="ar"/>
              </w:rPr>
              <w:t>“</w:t>
            </w:r>
            <w:r>
              <w:rPr>
                <w:rStyle w:val="14"/>
                <w:lang w:val="en-US" w:eastAsia="zh-CN" w:bidi="ar"/>
              </w:rPr>
              <w:t>自下而上</w:t>
            </w:r>
            <w:r>
              <w:rPr>
                <w:rStyle w:val="15"/>
                <w:rFonts w:eastAsia="等线"/>
                <w:lang w:val="en-US" w:eastAsia="zh-CN" w:bidi="ar"/>
              </w:rPr>
              <w:t>”</w:t>
            </w:r>
            <w:r>
              <w:rPr>
                <w:rStyle w:val="14"/>
                <w:lang w:val="en-US" w:eastAsia="zh-CN" w:bidi="ar"/>
              </w:rPr>
              <w:t>编制承保计划（</w:t>
            </w:r>
            <w:r>
              <w:rPr>
                <w:rStyle w:val="15"/>
                <w:rFonts w:eastAsia="等线"/>
                <w:lang w:val="en-US" w:eastAsia="zh-CN" w:bidi="ar"/>
              </w:rPr>
              <w:t>2</w:t>
            </w:r>
            <w:r>
              <w:rPr>
                <w:rStyle w:val="14"/>
                <w:lang w:val="en-US" w:eastAsia="zh-CN" w:bidi="ar"/>
              </w:rPr>
              <w:t>分），申报及时（</w:t>
            </w:r>
            <w:r>
              <w:rPr>
                <w:rStyle w:val="15"/>
                <w:rFonts w:eastAsia="等线"/>
                <w:lang w:val="en-US" w:eastAsia="zh-CN" w:bidi="ar"/>
              </w:rPr>
              <w:t>1</w:t>
            </w:r>
            <w:r>
              <w:rPr>
                <w:rStyle w:val="14"/>
                <w:lang w:val="en-US" w:eastAsia="zh-CN" w:bidi="ar"/>
              </w:rPr>
              <w:t>分），方案科学、措施可行（</w:t>
            </w:r>
            <w:r>
              <w:rPr>
                <w:rStyle w:val="15"/>
                <w:rFonts w:eastAsia="等线"/>
                <w:lang w:val="en-US" w:eastAsia="zh-CN" w:bidi="ar"/>
              </w:rPr>
              <w:t>1</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资金管理</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预算安排</w:t>
            </w:r>
          </w:p>
        </w:tc>
        <w:tc>
          <w:tcPr>
            <w:tcW w:w="2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保费补贴资金是否按照上级财政部门相关规定，足额安排。保费补贴资金预算安排率</w:t>
            </w:r>
            <w:r>
              <w:rPr>
                <w:rStyle w:val="15"/>
                <w:rFonts w:eastAsia="等线"/>
                <w:lang w:val="en-US" w:eastAsia="zh-CN" w:bidi="ar"/>
              </w:rPr>
              <w:t>=</w:t>
            </w:r>
            <w:r>
              <w:rPr>
                <w:rStyle w:val="14"/>
                <w:lang w:val="en-US" w:eastAsia="zh-CN" w:bidi="ar"/>
              </w:rPr>
              <w:t>农业保险保费补贴预算（含年初预算和执行中追加）</w:t>
            </w:r>
            <w:r>
              <w:rPr>
                <w:rStyle w:val="15"/>
                <w:rFonts w:eastAsia="等线"/>
                <w:lang w:val="en-US" w:eastAsia="zh-CN" w:bidi="ar"/>
              </w:rPr>
              <w:t>/</w:t>
            </w:r>
            <w:r>
              <w:rPr>
                <w:rStyle w:val="14"/>
                <w:lang w:val="en-US" w:eastAsia="zh-CN" w:bidi="ar"/>
              </w:rPr>
              <w:t>全年实际需要的农业保险保费补贴金额</w:t>
            </w:r>
            <w:r>
              <w:rPr>
                <w:rStyle w:val="15"/>
                <w:rFonts w:eastAsia="等线"/>
                <w:lang w:val="en-US" w:eastAsia="zh-CN" w:bidi="ar"/>
              </w:rPr>
              <w:t>*100%</w:t>
            </w:r>
            <w:r>
              <w:rPr>
                <w:rStyle w:val="14"/>
                <w:lang w:val="en-US" w:eastAsia="zh-CN" w:bidi="ar"/>
              </w:rPr>
              <w:t>。</w:t>
            </w:r>
          </w:p>
        </w:tc>
        <w:tc>
          <w:tcPr>
            <w:tcW w:w="1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预算安排率</w:t>
            </w:r>
            <w:r>
              <w:rPr>
                <w:rStyle w:val="15"/>
                <w:rFonts w:eastAsia="等线"/>
                <w:lang w:val="en-US" w:eastAsia="zh-CN" w:bidi="ar"/>
              </w:rPr>
              <w:t>100%</w:t>
            </w:r>
            <w:r>
              <w:rPr>
                <w:rStyle w:val="14"/>
                <w:lang w:val="en-US" w:eastAsia="zh-CN" w:bidi="ar"/>
              </w:rPr>
              <w:t>及以上（</w:t>
            </w:r>
            <w:r>
              <w:rPr>
                <w:rStyle w:val="15"/>
                <w:rFonts w:eastAsia="等线"/>
                <w:lang w:val="en-US" w:eastAsia="zh-CN" w:bidi="ar"/>
              </w:rPr>
              <w:t>5</w:t>
            </w:r>
            <w:r>
              <w:rPr>
                <w:rStyle w:val="14"/>
                <w:lang w:val="en-US" w:eastAsia="zh-CN" w:bidi="ar"/>
              </w:rPr>
              <w:t>分）、</w:t>
            </w:r>
            <w:r>
              <w:rPr>
                <w:rStyle w:val="15"/>
                <w:rFonts w:eastAsia="等线"/>
                <w:lang w:val="en-US" w:eastAsia="zh-CN" w:bidi="ar"/>
              </w:rPr>
              <w:t>80%</w:t>
            </w:r>
            <w:r>
              <w:rPr>
                <w:rStyle w:val="14"/>
                <w:lang w:val="en-US" w:eastAsia="zh-CN" w:bidi="ar"/>
              </w:rPr>
              <w:t>（含）</w:t>
            </w:r>
            <w:r>
              <w:rPr>
                <w:rStyle w:val="15"/>
                <w:rFonts w:eastAsia="等线"/>
                <w:lang w:val="en-US" w:eastAsia="zh-CN" w:bidi="ar"/>
              </w:rPr>
              <w:t>-100%</w:t>
            </w:r>
            <w:r>
              <w:rPr>
                <w:rStyle w:val="14"/>
                <w:lang w:val="en-US" w:eastAsia="zh-CN" w:bidi="ar"/>
              </w:rPr>
              <w:t>（</w:t>
            </w:r>
            <w:r>
              <w:rPr>
                <w:rStyle w:val="15"/>
                <w:rFonts w:eastAsia="等线"/>
                <w:lang w:val="en-US" w:eastAsia="zh-CN" w:bidi="ar"/>
              </w:rPr>
              <w:t>3</w:t>
            </w:r>
            <w:r>
              <w:rPr>
                <w:rStyle w:val="14"/>
                <w:lang w:val="en-US" w:eastAsia="zh-CN" w:bidi="ar"/>
              </w:rPr>
              <w:t>分）、</w:t>
            </w:r>
            <w:r>
              <w:rPr>
                <w:rStyle w:val="15"/>
                <w:rFonts w:eastAsia="等线"/>
                <w:lang w:val="en-US" w:eastAsia="zh-CN" w:bidi="ar"/>
              </w:rPr>
              <w:t>60%</w:t>
            </w:r>
            <w:r>
              <w:rPr>
                <w:rStyle w:val="14"/>
                <w:lang w:val="en-US" w:eastAsia="zh-CN" w:bidi="ar"/>
              </w:rPr>
              <w:t>（含）</w:t>
            </w:r>
            <w:r>
              <w:rPr>
                <w:rStyle w:val="15"/>
                <w:rFonts w:eastAsia="等线"/>
                <w:lang w:val="en-US" w:eastAsia="zh-CN" w:bidi="ar"/>
              </w:rPr>
              <w:t>-80%</w:t>
            </w:r>
            <w:r>
              <w:rPr>
                <w:rStyle w:val="14"/>
                <w:lang w:val="en-US" w:eastAsia="zh-CN" w:bidi="ar"/>
              </w:rPr>
              <w:t>（</w:t>
            </w:r>
            <w:r>
              <w:rPr>
                <w:rStyle w:val="15"/>
                <w:rFonts w:eastAsia="等线"/>
                <w:lang w:val="en-US" w:eastAsia="zh-CN" w:bidi="ar"/>
              </w:rPr>
              <w:t>1</w:t>
            </w:r>
            <w:r>
              <w:rPr>
                <w:rStyle w:val="14"/>
                <w:lang w:val="en-US" w:eastAsia="zh-CN" w:bidi="ar"/>
              </w:rPr>
              <w:t>分）、</w:t>
            </w:r>
            <w:r>
              <w:rPr>
                <w:rStyle w:val="15"/>
                <w:rFonts w:eastAsia="等线"/>
                <w:lang w:val="en-US" w:eastAsia="zh-CN" w:bidi="ar"/>
              </w:rPr>
              <w:t>60%</w:t>
            </w:r>
            <w:r>
              <w:rPr>
                <w:rStyle w:val="14"/>
                <w:lang w:val="en-US" w:eastAsia="zh-CN" w:bidi="ar"/>
              </w:rPr>
              <w:t>以下（</w:t>
            </w:r>
            <w:r>
              <w:rPr>
                <w:rStyle w:val="15"/>
                <w:rFonts w:eastAsia="等线"/>
                <w:lang w:val="en-US" w:eastAsia="zh-CN" w:bidi="ar"/>
              </w:rPr>
              <w:t>0</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等线" w:cs="Times New Roman"/>
                <w:i w:val="0"/>
                <w:color w:val="000000"/>
                <w:sz w:val="24"/>
                <w:szCs w:val="24"/>
                <w:u w:val="none"/>
              </w:rPr>
            </w:pP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资金到位率</w:t>
            </w:r>
          </w:p>
        </w:tc>
        <w:tc>
          <w:tcPr>
            <w:tcW w:w="2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是否按照保费补贴资金管理规定，及时审核拨付保费补贴资金。匹配资金到位率</w:t>
            </w:r>
            <w:r>
              <w:rPr>
                <w:rStyle w:val="15"/>
                <w:rFonts w:eastAsia="等线"/>
                <w:lang w:val="en-US" w:eastAsia="zh-CN" w:bidi="ar"/>
              </w:rPr>
              <w:t>=</w:t>
            </w:r>
            <w:r>
              <w:rPr>
                <w:rStyle w:val="14"/>
                <w:lang w:val="en-US" w:eastAsia="zh-CN" w:bidi="ar"/>
              </w:rPr>
              <w:t>已匹配保费补贴到位资金</w:t>
            </w:r>
            <w:r>
              <w:rPr>
                <w:rStyle w:val="15"/>
                <w:rFonts w:eastAsia="等线"/>
                <w:lang w:val="en-US" w:eastAsia="zh-CN" w:bidi="ar"/>
              </w:rPr>
              <w:t>/</w:t>
            </w:r>
            <w:r>
              <w:rPr>
                <w:rStyle w:val="14"/>
                <w:lang w:val="en-US" w:eastAsia="zh-CN" w:bidi="ar"/>
              </w:rPr>
              <w:t>应匹配保费补贴到位资金</w:t>
            </w:r>
            <w:r>
              <w:rPr>
                <w:rStyle w:val="15"/>
                <w:rFonts w:eastAsia="等线"/>
                <w:lang w:val="en-US" w:eastAsia="zh-CN" w:bidi="ar"/>
              </w:rPr>
              <w:t>*100%</w:t>
            </w:r>
            <w:r>
              <w:rPr>
                <w:rStyle w:val="14"/>
                <w:lang w:val="en-US" w:eastAsia="zh-CN" w:bidi="ar"/>
              </w:rPr>
              <w:t>。应匹配保费补贴指保险公司申请超过</w:t>
            </w:r>
            <w:r>
              <w:rPr>
                <w:rStyle w:val="15"/>
                <w:rFonts w:eastAsia="等线"/>
                <w:lang w:val="en-US" w:eastAsia="zh-CN" w:bidi="ar"/>
              </w:rPr>
              <w:t>1</w:t>
            </w:r>
            <w:r>
              <w:rPr>
                <w:rStyle w:val="14"/>
                <w:lang w:val="en-US" w:eastAsia="zh-CN" w:bidi="ar"/>
              </w:rPr>
              <w:t>个季度以上的保费补贴资金。</w:t>
            </w:r>
          </w:p>
        </w:tc>
        <w:tc>
          <w:tcPr>
            <w:tcW w:w="1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匹配资金到位率</w:t>
            </w:r>
            <w:r>
              <w:rPr>
                <w:rStyle w:val="15"/>
                <w:rFonts w:eastAsia="等线"/>
                <w:lang w:val="en-US" w:eastAsia="zh-CN" w:bidi="ar"/>
              </w:rPr>
              <w:t>100%</w:t>
            </w:r>
            <w:r>
              <w:rPr>
                <w:rStyle w:val="14"/>
                <w:lang w:val="en-US" w:eastAsia="zh-CN" w:bidi="ar"/>
              </w:rPr>
              <w:t>及以上（</w:t>
            </w:r>
            <w:r>
              <w:rPr>
                <w:rStyle w:val="15"/>
                <w:rFonts w:eastAsia="等线"/>
                <w:lang w:val="en-US" w:eastAsia="zh-CN" w:bidi="ar"/>
              </w:rPr>
              <w:t>5</w:t>
            </w:r>
            <w:r>
              <w:rPr>
                <w:rStyle w:val="14"/>
                <w:lang w:val="en-US" w:eastAsia="zh-CN" w:bidi="ar"/>
              </w:rPr>
              <w:t>分）、</w:t>
            </w:r>
            <w:r>
              <w:rPr>
                <w:rStyle w:val="15"/>
                <w:rFonts w:eastAsia="等线"/>
                <w:lang w:val="en-US" w:eastAsia="zh-CN" w:bidi="ar"/>
              </w:rPr>
              <w:t>80%</w:t>
            </w:r>
            <w:r>
              <w:rPr>
                <w:rStyle w:val="14"/>
                <w:lang w:val="en-US" w:eastAsia="zh-CN" w:bidi="ar"/>
              </w:rPr>
              <w:t>（含）</w:t>
            </w:r>
            <w:r>
              <w:rPr>
                <w:rStyle w:val="15"/>
                <w:rFonts w:eastAsia="等线"/>
                <w:lang w:val="en-US" w:eastAsia="zh-CN" w:bidi="ar"/>
              </w:rPr>
              <w:t>-100%</w:t>
            </w:r>
            <w:r>
              <w:rPr>
                <w:rStyle w:val="14"/>
                <w:lang w:val="en-US" w:eastAsia="zh-CN" w:bidi="ar"/>
              </w:rPr>
              <w:t>（</w:t>
            </w:r>
            <w:r>
              <w:rPr>
                <w:rStyle w:val="15"/>
                <w:rFonts w:eastAsia="等线"/>
                <w:lang w:val="en-US" w:eastAsia="zh-CN" w:bidi="ar"/>
              </w:rPr>
              <w:t>3</w:t>
            </w:r>
            <w:r>
              <w:rPr>
                <w:rStyle w:val="14"/>
                <w:lang w:val="en-US" w:eastAsia="zh-CN" w:bidi="ar"/>
              </w:rPr>
              <w:t>分）、</w:t>
            </w:r>
            <w:r>
              <w:rPr>
                <w:rStyle w:val="15"/>
                <w:rFonts w:eastAsia="等线"/>
                <w:lang w:val="en-US" w:eastAsia="zh-CN" w:bidi="ar"/>
              </w:rPr>
              <w:t>60%</w:t>
            </w:r>
            <w:r>
              <w:rPr>
                <w:rStyle w:val="14"/>
                <w:lang w:val="en-US" w:eastAsia="zh-CN" w:bidi="ar"/>
              </w:rPr>
              <w:t>（含）</w:t>
            </w:r>
            <w:r>
              <w:rPr>
                <w:rStyle w:val="15"/>
                <w:rFonts w:eastAsia="等线"/>
                <w:lang w:val="en-US" w:eastAsia="zh-CN" w:bidi="ar"/>
              </w:rPr>
              <w:t>-80%</w:t>
            </w:r>
            <w:r>
              <w:rPr>
                <w:rStyle w:val="14"/>
                <w:lang w:val="en-US" w:eastAsia="zh-CN" w:bidi="ar"/>
              </w:rPr>
              <w:t>（</w:t>
            </w:r>
            <w:r>
              <w:rPr>
                <w:rStyle w:val="15"/>
                <w:rFonts w:eastAsia="等线"/>
                <w:lang w:val="en-US" w:eastAsia="zh-CN" w:bidi="ar"/>
              </w:rPr>
              <w:t>1</w:t>
            </w:r>
            <w:r>
              <w:rPr>
                <w:rStyle w:val="14"/>
                <w:lang w:val="en-US" w:eastAsia="zh-CN" w:bidi="ar"/>
              </w:rPr>
              <w:t>分）、</w:t>
            </w:r>
            <w:r>
              <w:rPr>
                <w:rStyle w:val="15"/>
                <w:rFonts w:eastAsia="等线"/>
                <w:lang w:val="en-US" w:eastAsia="zh-CN" w:bidi="ar"/>
              </w:rPr>
              <w:t>60%</w:t>
            </w:r>
            <w:r>
              <w:rPr>
                <w:rStyle w:val="14"/>
                <w:lang w:val="en-US" w:eastAsia="zh-CN" w:bidi="ar"/>
              </w:rPr>
              <w:t>以下（</w:t>
            </w:r>
            <w:r>
              <w:rPr>
                <w:rStyle w:val="15"/>
                <w:rFonts w:eastAsia="等线"/>
                <w:lang w:val="en-US" w:eastAsia="zh-CN" w:bidi="ar"/>
              </w:rPr>
              <w:t>0</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等线" w:cs="Times New Roman"/>
                <w:i w:val="0"/>
                <w:color w:val="000000"/>
                <w:sz w:val="24"/>
                <w:szCs w:val="24"/>
                <w:u w:val="none"/>
              </w:rPr>
            </w:pPr>
          </w:p>
        </w:tc>
        <w:tc>
          <w:tcPr>
            <w:tcW w:w="6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资金申请受理</w:t>
            </w:r>
          </w:p>
        </w:tc>
        <w:tc>
          <w:tcPr>
            <w:tcW w:w="2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区县是否及时受理承保机构的保费补贴资金申请。</w:t>
            </w:r>
          </w:p>
        </w:tc>
        <w:tc>
          <w:tcPr>
            <w:tcW w:w="1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是（</w:t>
            </w:r>
            <w:r>
              <w:rPr>
                <w:rStyle w:val="15"/>
                <w:rFonts w:eastAsia="等线"/>
                <w:lang w:val="en-US" w:eastAsia="zh-CN" w:bidi="ar"/>
              </w:rPr>
              <w:t>4</w:t>
            </w:r>
            <w:r>
              <w:rPr>
                <w:rStyle w:val="14"/>
                <w:lang w:val="en-US" w:eastAsia="zh-CN" w:bidi="ar"/>
              </w:rPr>
              <w:t>分），否（</w:t>
            </w:r>
            <w:r>
              <w:rPr>
                <w:rStyle w:val="15"/>
                <w:rFonts w:eastAsia="等线"/>
                <w:lang w:val="en-US" w:eastAsia="zh-CN" w:bidi="ar"/>
              </w:rPr>
              <w:t>0</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等线" w:cs="Times New Roman"/>
                <w:i w:val="0"/>
                <w:color w:val="000000"/>
                <w:sz w:val="24"/>
                <w:szCs w:val="24"/>
                <w:u w:val="none"/>
              </w:rPr>
            </w:pPr>
          </w:p>
        </w:tc>
        <w:tc>
          <w:tcPr>
            <w:tcW w:w="6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保费补贴管理</w:t>
            </w:r>
          </w:p>
        </w:tc>
        <w:tc>
          <w:tcPr>
            <w:tcW w:w="2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区县是否制定保费补贴实施细则或资金管理办法。</w:t>
            </w:r>
          </w:p>
        </w:tc>
        <w:tc>
          <w:tcPr>
            <w:tcW w:w="1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是（</w:t>
            </w:r>
            <w:r>
              <w:rPr>
                <w:rStyle w:val="15"/>
                <w:rFonts w:eastAsia="等线"/>
                <w:lang w:val="en-US" w:eastAsia="zh-CN" w:bidi="ar"/>
              </w:rPr>
              <w:t>2</w:t>
            </w:r>
            <w:r>
              <w:rPr>
                <w:rStyle w:val="14"/>
                <w:lang w:val="en-US" w:eastAsia="zh-CN" w:bidi="ar"/>
              </w:rPr>
              <w:t>分），否（</w:t>
            </w:r>
            <w:r>
              <w:rPr>
                <w:rStyle w:val="15"/>
                <w:rFonts w:eastAsia="等线"/>
                <w:lang w:val="en-US" w:eastAsia="zh-CN" w:bidi="ar"/>
              </w:rPr>
              <w:t>0</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color w:val="000000"/>
                <w:sz w:val="24"/>
                <w:szCs w:val="24"/>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保费补贴资金管理</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区县是否制定保费补贴备查账，及时反映补贴资金收支余情况；是否存在截留、挤占、挪用保费补贴的现象。</w:t>
            </w:r>
          </w:p>
        </w:tc>
        <w:tc>
          <w:tcPr>
            <w:tcW w:w="14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区县建立保费补贴备查账，及时反映补贴资金收支余情况（</w:t>
            </w:r>
            <w:r>
              <w:rPr>
                <w:rStyle w:val="15"/>
                <w:rFonts w:eastAsia="等线"/>
                <w:lang w:val="en-US" w:eastAsia="zh-CN" w:bidi="ar"/>
              </w:rPr>
              <w:t>2</w:t>
            </w:r>
            <w:r>
              <w:rPr>
                <w:rStyle w:val="14"/>
                <w:lang w:val="en-US" w:eastAsia="zh-CN" w:bidi="ar"/>
              </w:rPr>
              <w:t>分）；未发现截留、挤占、挪用保费补贴的现象（</w:t>
            </w:r>
            <w:r>
              <w:rPr>
                <w:rStyle w:val="15"/>
                <w:rFonts w:eastAsia="等线"/>
                <w:lang w:val="en-US" w:eastAsia="zh-CN" w:bidi="ar"/>
              </w:rPr>
              <w:t>1</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承保机构管理</w:t>
            </w:r>
            <w:r>
              <w:rPr>
                <w:rStyle w:val="15"/>
                <w:rFonts w:eastAsia="等线"/>
                <w:lang w:val="en-US" w:eastAsia="zh-CN" w:bidi="ar"/>
              </w:rPr>
              <w:t>30</w:t>
            </w: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风险和成本控制</w:t>
            </w: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保险机构会计核算</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区县承保机构财务制度是否健全，保险收支是否规范；会计核算是否做到单独建账、分险种核算。</w:t>
            </w:r>
          </w:p>
        </w:tc>
        <w:tc>
          <w:tcPr>
            <w:tcW w:w="14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区县承保机构财务制度健全，保险收支规范（</w:t>
            </w:r>
            <w:r>
              <w:rPr>
                <w:rStyle w:val="15"/>
                <w:rFonts w:eastAsia="等线"/>
                <w:lang w:val="en-US" w:eastAsia="zh-CN" w:bidi="ar"/>
              </w:rPr>
              <w:t>1</w:t>
            </w:r>
            <w:r>
              <w:rPr>
                <w:rStyle w:val="14"/>
                <w:lang w:val="en-US" w:eastAsia="zh-CN" w:bidi="ar"/>
              </w:rPr>
              <w:t>分）；对目标保险标的的保费资金单独建账、分险种核算（</w:t>
            </w:r>
            <w:r>
              <w:rPr>
                <w:rStyle w:val="15"/>
                <w:rFonts w:eastAsia="等线"/>
                <w:lang w:val="en-US" w:eastAsia="zh-CN" w:bidi="ar"/>
              </w:rPr>
              <w:t>1</w:t>
            </w:r>
            <w:r>
              <w:rPr>
                <w:rStyle w:val="14"/>
                <w:lang w:val="en-US" w:eastAsia="zh-CN" w:bidi="ar"/>
              </w:rPr>
              <w:t>分）；约定分保结付能够在合同约定时间内完成（</w:t>
            </w:r>
            <w:r>
              <w:rPr>
                <w:rStyle w:val="15"/>
                <w:rFonts w:eastAsia="等线"/>
                <w:lang w:val="en-US" w:eastAsia="zh-CN" w:bidi="ar"/>
              </w:rPr>
              <w:t>3</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大灾风险管理</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区县承保机构是否科学管理大灾风险，是否按照相关要求进行大灾风险转移。</w:t>
            </w:r>
          </w:p>
        </w:tc>
        <w:tc>
          <w:tcPr>
            <w:tcW w:w="14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区县承保机构定期购买再保险（</w:t>
            </w:r>
            <w:r>
              <w:rPr>
                <w:rStyle w:val="15"/>
                <w:rFonts w:eastAsia="等线"/>
                <w:lang w:val="en-US" w:eastAsia="zh-CN" w:bidi="ar"/>
              </w:rPr>
              <w:t>1</w:t>
            </w:r>
            <w:r>
              <w:rPr>
                <w:rStyle w:val="14"/>
                <w:lang w:val="en-US" w:eastAsia="zh-CN" w:bidi="ar"/>
              </w:rPr>
              <w:t>分），按规定提取和使用农业保险大灾准备金（</w:t>
            </w:r>
            <w:r>
              <w:rPr>
                <w:rStyle w:val="15"/>
                <w:rFonts w:eastAsia="等线"/>
                <w:lang w:val="en-US" w:eastAsia="zh-CN" w:bidi="ar"/>
              </w:rPr>
              <w:t>2</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综合费用率</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区县承保机构是否科学合理控制成本，切实保障农险工作开展。承保机构政策性农业保险综合费用率</w:t>
            </w:r>
            <w:r>
              <w:rPr>
                <w:rStyle w:val="15"/>
                <w:rFonts w:eastAsia="等线"/>
                <w:lang w:val="en-US" w:eastAsia="zh-CN" w:bidi="ar"/>
              </w:rPr>
              <w:t>=</w:t>
            </w:r>
            <w:r>
              <w:rPr>
                <w:rStyle w:val="14"/>
                <w:lang w:val="en-US" w:eastAsia="zh-CN" w:bidi="ar"/>
              </w:rPr>
              <w:t>（业务及管理费</w:t>
            </w:r>
            <w:r>
              <w:rPr>
                <w:rStyle w:val="15"/>
                <w:rFonts w:eastAsia="等线"/>
                <w:lang w:val="en-US" w:eastAsia="zh-CN" w:bidi="ar"/>
              </w:rPr>
              <w:t>+</w:t>
            </w:r>
            <w:r>
              <w:rPr>
                <w:rStyle w:val="14"/>
                <w:lang w:val="en-US" w:eastAsia="zh-CN" w:bidi="ar"/>
              </w:rPr>
              <w:t>分保费用</w:t>
            </w:r>
            <w:r>
              <w:rPr>
                <w:rStyle w:val="15"/>
                <w:rFonts w:eastAsia="等线"/>
                <w:lang w:val="en-US" w:eastAsia="zh-CN" w:bidi="ar"/>
              </w:rPr>
              <w:t>+</w:t>
            </w:r>
            <w:r>
              <w:rPr>
                <w:rStyle w:val="14"/>
                <w:lang w:val="en-US" w:eastAsia="zh-CN" w:bidi="ar"/>
              </w:rPr>
              <w:t>归属于政策性农业保险业务的税金及附加</w:t>
            </w:r>
            <w:r>
              <w:rPr>
                <w:rStyle w:val="15"/>
                <w:rFonts w:eastAsia="等线"/>
                <w:lang w:val="en-US" w:eastAsia="zh-CN" w:bidi="ar"/>
              </w:rPr>
              <w:t>-</w:t>
            </w:r>
            <w:r>
              <w:rPr>
                <w:rStyle w:val="14"/>
                <w:lang w:val="en-US" w:eastAsia="zh-CN" w:bidi="ar"/>
              </w:rPr>
              <w:t>摊回分保费用）÷（自留保费</w:t>
            </w:r>
            <w:r>
              <w:rPr>
                <w:rStyle w:val="15"/>
                <w:rFonts w:eastAsia="等线"/>
                <w:lang w:val="en-US" w:eastAsia="zh-CN" w:bidi="ar"/>
              </w:rPr>
              <w:t>-</w:t>
            </w:r>
            <w:r>
              <w:rPr>
                <w:rStyle w:val="14"/>
                <w:lang w:val="en-US" w:eastAsia="zh-CN" w:bidi="ar"/>
              </w:rPr>
              <w:t>提取未到期责任准备金）×</w:t>
            </w:r>
            <w:r>
              <w:rPr>
                <w:rStyle w:val="15"/>
                <w:rFonts w:eastAsia="等线"/>
                <w:lang w:val="en-US" w:eastAsia="zh-CN" w:bidi="ar"/>
              </w:rPr>
              <w:t>100%</w:t>
            </w:r>
            <w:r>
              <w:rPr>
                <w:rStyle w:val="14"/>
                <w:lang w:val="en-US" w:eastAsia="zh-CN" w:bidi="ar"/>
              </w:rPr>
              <w:t>。其中，自留保费</w:t>
            </w:r>
            <w:r>
              <w:rPr>
                <w:rStyle w:val="15"/>
                <w:rFonts w:eastAsia="等线"/>
                <w:lang w:val="en-US" w:eastAsia="zh-CN" w:bidi="ar"/>
              </w:rPr>
              <w:t>=</w:t>
            </w:r>
            <w:r>
              <w:rPr>
                <w:rStyle w:val="14"/>
                <w:lang w:val="en-US" w:eastAsia="zh-CN" w:bidi="ar"/>
              </w:rPr>
              <w:t>原保费收入</w:t>
            </w:r>
            <w:r>
              <w:rPr>
                <w:rStyle w:val="15"/>
                <w:rFonts w:eastAsia="等线"/>
                <w:lang w:val="en-US" w:eastAsia="zh-CN" w:bidi="ar"/>
              </w:rPr>
              <w:t>+</w:t>
            </w:r>
            <w:r>
              <w:rPr>
                <w:rStyle w:val="14"/>
                <w:lang w:val="en-US" w:eastAsia="zh-CN" w:bidi="ar"/>
              </w:rPr>
              <w:t>分保费收入</w:t>
            </w:r>
            <w:r>
              <w:rPr>
                <w:rStyle w:val="15"/>
                <w:rFonts w:eastAsia="等线"/>
                <w:lang w:val="en-US" w:eastAsia="zh-CN" w:bidi="ar"/>
              </w:rPr>
              <w:t>-</w:t>
            </w:r>
            <w:r>
              <w:rPr>
                <w:rStyle w:val="14"/>
                <w:lang w:val="en-US" w:eastAsia="zh-CN" w:bidi="ar"/>
              </w:rPr>
              <w:t>分出保费；提取未到期责任准备金</w:t>
            </w:r>
            <w:r>
              <w:rPr>
                <w:rStyle w:val="15"/>
                <w:rFonts w:eastAsia="等线"/>
                <w:lang w:val="en-US" w:eastAsia="zh-CN" w:bidi="ar"/>
              </w:rPr>
              <w:t>=</w:t>
            </w:r>
            <w:r>
              <w:rPr>
                <w:rStyle w:val="14"/>
                <w:lang w:val="en-US" w:eastAsia="zh-CN" w:bidi="ar"/>
              </w:rPr>
              <w:t>（未到期责任准备金期末余额</w:t>
            </w:r>
            <w:r>
              <w:rPr>
                <w:rStyle w:val="15"/>
                <w:rFonts w:eastAsia="等线"/>
                <w:lang w:val="en-US" w:eastAsia="zh-CN" w:bidi="ar"/>
              </w:rPr>
              <w:t>-</w:t>
            </w:r>
            <w:r>
              <w:rPr>
                <w:rStyle w:val="14"/>
                <w:lang w:val="en-US" w:eastAsia="zh-CN" w:bidi="ar"/>
              </w:rPr>
              <w:t>应收分保未到期责任准备金期末余额）</w:t>
            </w:r>
            <w:r>
              <w:rPr>
                <w:rStyle w:val="15"/>
                <w:rFonts w:eastAsia="等线"/>
                <w:lang w:val="en-US" w:eastAsia="zh-CN" w:bidi="ar"/>
              </w:rPr>
              <w:t>-</w:t>
            </w:r>
            <w:r>
              <w:rPr>
                <w:rStyle w:val="14"/>
                <w:lang w:val="en-US" w:eastAsia="zh-CN" w:bidi="ar"/>
              </w:rPr>
              <w:t>（未到期责任准备金期初余额</w:t>
            </w:r>
            <w:r>
              <w:rPr>
                <w:rStyle w:val="15"/>
                <w:rFonts w:eastAsia="等线"/>
                <w:lang w:val="en-US" w:eastAsia="zh-CN" w:bidi="ar"/>
              </w:rPr>
              <w:t>-</w:t>
            </w:r>
            <w:r>
              <w:rPr>
                <w:rStyle w:val="14"/>
                <w:lang w:val="en-US" w:eastAsia="zh-CN" w:bidi="ar"/>
              </w:rPr>
              <w:t>应收分保未到期责任准备金期初余额）。</w:t>
            </w:r>
          </w:p>
        </w:tc>
        <w:tc>
          <w:tcPr>
            <w:tcW w:w="14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综合费用率＞</w:t>
            </w:r>
            <w:r>
              <w:rPr>
                <w:rStyle w:val="15"/>
                <w:rFonts w:eastAsia="等线"/>
                <w:lang w:val="en-US" w:eastAsia="zh-CN" w:bidi="ar"/>
              </w:rPr>
              <w:t>20%</w:t>
            </w:r>
            <w:r>
              <w:rPr>
                <w:rStyle w:val="14"/>
                <w:lang w:val="en-US" w:eastAsia="zh-CN" w:bidi="ar"/>
              </w:rPr>
              <w:t>，或综合费用率＜</w:t>
            </w:r>
            <w:r>
              <w:rPr>
                <w:rStyle w:val="15"/>
                <w:rFonts w:eastAsia="等线"/>
                <w:lang w:val="en-US" w:eastAsia="zh-CN" w:bidi="ar"/>
              </w:rPr>
              <w:t>5%</w:t>
            </w:r>
            <w:r>
              <w:rPr>
                <w:rStyle w:val="14"/>
                <w:lang w:val="en-US" w:eastAsia="zh-CN" w:bidi="ar"/>
              </w:rPr>
              <w:t>的（</w:t>
            </w:r>
            <w:r>
              <w:rPr>
                <w:rStyle w:val="15"/>
                <w:rFonts w:eastAsia="等线"/>
                <w:lang w:val="en-US" w:eastAsia="zh-CN" w:bidi="ar"/>
              </w:rPr>
              <w:t>0</w:t>
            </w:r>
            <w:r>
              <w:rPr>
                <w:rStyle w:val="14"/>
                <w:lang w:val="en-US" w:eastAsia="zh-CN" w:bidi="ar"/>
              </w:rPr>
              <w:t>分）；</w:t>
            </w:r>
            <w:r>
              <w:rPr>
                <w:rStyle w:val="15"/>
                <w:rFonts w:eastAsia="等线"/>
                <w:lang w:val="en-US" w:eastAsia="zh-CN" w:bidi="ar"/>
              </w:rPr>
              <w:t>5%</w:t>
            </w:r>
            <w:r>
              <w:rPr>
                <w:rStyle w:val="14"/>
                <w:lang w:val="en-US" w:eastAsia="zh-CN" w:bidi="ar"/>
              </w:rPr>
              <w:t>≤综合费用率≤</w:t>
            </w:r>
            <w:r>
              <w:rPr>
                <w:rStyle w:val="15"/>
                <w:rFonts w:eastAsia="等线"/>
                <w:lang w:val="en-US" w:eastAsia="zh-CN" w:bidi="ar"/>
              </w:rPr>
              <w:t>20%</w:t>
            </w:r>
            <w:r>
              <w:rPr>
                <w:rStyle w:val="14"/>
                <w:lang w:val="en-US" w:eastAsia="zh-CN" w:bidi="ar"/>
              </w:rPr>
              <w:t>的（</w:t>
            </w:r>
            <w:r>
              <w:rPr>
                <w:rStyle w:val="15"/>
                <w:rFonts w:eastAsia="等线"/>
                <w:lang w:val="en-US" w:eastAsia="zh-CN" w:bidi="ar"/>
              </w:rPr>
              <w:t>3</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服务体系</w:t>
            </w: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基层服务</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区县承保机构是否在经办区县建立基层服务体系。在开展业务的县级行政区域是否设立分支机构，乡镇是否设置服务站点，是否能够深入农村林区基层提供保险服务。</w:t>
            </w:r>
          </w:p>
        </w:tc>
        <w:tc>
          <w:tcPr>
            <w:tcW w:w="14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区县承保机构在经办区县实现乡镇、行政村保费服务站点全覆盖（</w:t>
            </w:r>
            <w:r>
              <w:rPr>
                <w:rStyle w:val="15"/>
                <w:rFonts w:eastAsia="等线"/>
                <w:lang w:val="en-US" w:eastAsia="zh-CN" w:bidi="ar"/>
              </w:rPr>
              <w:t>3</w:t>
            </w:r>
            <w:r>
              <w:rPr>
                <w:rStyle w:val="14"/>
                <w:lang w:val="en-US" w:eastAsia="zh-CN" w:bidi="ar"/>
              </w:rPr>
              <w:t>分），</w:t>
            </w:r>
            <w:r>
              <w:rPr>
                <w:rStyle w:val="15"/>
                <w:rFonts w:eastAsia="等线"/>
                <w:lang w:val="en-US" w:eastAsia="zh-CN" w:bidi="ar"/>
              </w:rPr>
              <w:t>80%</w:t>
            </w:r>
            <w:r>
              <w:rPr>
                <w:rStyle w:val="14"/>
                <w:lang w:val="en-US" w:eastAsia="zh-CN" w:bidi="ar"/>
              </w:rPr>
              <w:t>（含）至</w:t>
            </w:r>
            <w:r>
              <w:rPr>
                <w:rStyle w:val="15"/>
                <w:rFonts w:eastAsia="等线"/>
                <w:lang w:val="en-US" w:eastAsia="zh-CN" w:bidi="ar"/>
              </w:rPr>
              <w:t>100%</w:t>
            </w:r>
            <w:r>
              <w:rPr>
                <w:rStyle w:val="14"/>
                <w:lang w:val="en-US" w:eastAsia="zh-CN" w:bidi="ar"/>
              </w:rPr>
              <w:t>（</w:t>
            </w:r>
            <w:r>
              <w:rPr>
                <w:rStyle w:val="15"/>
                <w:rFonts w:eastAsia="等线"/>
                <w:lang w:val="en-US" w:eastAsia="zh-CN" w:bidi="ar"/>
              </w:rPr>
              <w:t>2.5</w:t>
            </w:r>
            <w:r>
              <w:rPr>
                <w:rStyle w:val="14"/>
                <w:lang w:val="en-US" w:eastAsia="zh-CN" w:bidi="ar"/>
              </w:rPr>
              <w:t>分）、</w:t>
            </w:r>
            <w:r>
              <w:rPr>
                <w:rStyle w:val="15"/>
                <w:rFonts w:eastAsia="等线"/>
                <w:lang w:val="en-US" w:eastAsia="zh-CN" w:bidi="ar"/>
              </w:rPr>
              <w:t>60%</w:t>
            </w:r>
            <w:r>
              <w:rPr>
                <w:rStyle w:val="14"/>
                <w:lang w:val="en-US" w:eastAsia="zh-CN" w:bidi="ar"/>
              </w:rPr>
              <w:t>（含）至</w:t>
            </w:r>
            <w:r>
              <w:rPr>
                <w:rStyle w:val="15"/>
                <w:rFonts w:eastAsia="等线"/>
                <w:lang w:val="en-US" w:eastAsia="zh-CN" w:bidi="ar"/>
              </w:rPr>
              <w:t>80%</w:t>
            </w:r>
            <w:r>
              <w:rPr>
                <w:rStyle w:val="14"/>
                <w:lang w:val="en-US" w:eastAsia="zh-CN" w:bidi="ar"/>
              </w:rPr>
              <w:t>（</w:t>
            </w:r>
            <w:r>
              <w:rPr>
                <w:rStyle w:val="15"/>
                <w:rFonts w:eastAsia="等线"/>
                <w:lang w:val="en-US" w:eastAsia="zh-CN" w:bidi="ar"/>
              </w:rPr>
              <w:t>2</w:t>
            </w:r>
            <w:r>
              <w:rPr>
                <w:rStyle w:val="14"/>
                <w:lang w:val="en-US" w:eastAsia="zh-CN" w:bidi="ar"/>
              </w:rPr>
              <w:t>分）、</w:t>
            </w:r>
            <w:r>
              <w:rPr>
                <w:rStyle w:val="15"/>
                <w:rFonts w:eastAsia="等线"/>
                <w:lang w:val="en-US" w:eastAsia="zh-CN" w:bidi="ar"/>
              </w:rPr>
              <w:t>40%</w:t>
            </w:r>
            <w:r>
              <w:rPr>
                <w:rStyle w:val="14"/>
                <w:lang w:val="en-US" w:eastAsia="zh-CN" w:bidi="ar"/>
              </w:rPr>
              <w:t>（含）至</w:t>
            </w:r>
            <w:r>
              <w:rPr>
                <w:rStyle w:val="15"/>
                <w:rFonts w:eastAsia="等线"/>
                <w:lang w:val="en-US" w:eastAsia="zh-CN" w:bidi="ar"/>
              </w:rPr>
              <w:t>60%</w:t>
            </w:r>
            <w:r>
              <w:rPr>
                <w:rStyle w:val="14"/>
                <w:lang w:val="en-US" w:eastAsia="zh-CN" w:bidi="ar"/>
              </w:rPr>
              <w:t>（</w:t>
            </w:r>
            <w:r>
              <w:rPr>
                <w:rStyle w:val="15"/>
                <w:rFonts w:eastAsia="等线"/>
                <w:lang w:val="en-US" w:eastAsia="zh-CN" w:bidi="ar"/>
              </w:rPr>
              <w:t>1.5</w:t>
            </w:r>
            <w:r>
              <w:rPr>
                <w:rStyle w:val="14"/>
                <w:lang w:val="en-US" w:eastAsia="zh-CN" w:bidi="ar"/>
              </w:rPr>
              <w:t>分）、</w:t>
            </w:r>
            <w:r>
              <w:rPr>
                <w:rStyle w:val="15"/>
                <w:rFonts w:eastAsia="等线"/>
                <w:lang w:val="en-US" w:eastAsia="zh-CN" w:bidi="ar"/>
              </w:rPr>
              <w:t>20%</w:t>
            </w:r>
            <w:r>
              <w:rPr>
                <w:rStyle w:val="14"/>
                <w:lang w:val="en-US" w:eastAsia="zh-CN" w:bidi="ar"/>
              </w:rPr>
              <w:t>（含）至</w:t>
            </w:r>
            <w:r>
              <w:rPr>
                <w:rStyle w:val="15"/>
                <w:rFonts w:eastAsia="等线"/>
                <w:lang w:val="en-US" w:eastAsia="zh-CN" w:bidi="ar"/>
              </w:rPr>
              <w:t>40%</w:t>
            </w:r>
            <w:r>
              <w:rPr>
                <w:rStyle w:val="14"/>
                <w:lang w:val="en-US" w:eastAsia="zh-CN" w:bidi="ar"/>
              </w:rPr>
              <w:t>（</w:t>
            </w:r>
            <w:r>
              <w:rPr>
                <w:rStyle w:val="15"/>
                <w:rFonts w:eastAsia="等线"/>
                <w:lang w:val="en-US" w:eastAsia="zh-CN" w:bidi="ar"/>
              </w:rPr>
              <w:t>1</w:t>
            </w:r>
            <w:r>
              <w:rPr>
                <w:rStyle w:val="14"/>
                <w:lang w:val="en-US" w:eastAsia="zh-CN" w:bidi="ar"/>
              </w:rPr>
              <w:t>分）、</w:t>
            </w:r>
            <w:r>
              <w:rPr>
                <w:rStyle w:val="15"/>
                <w:rFonts w:eastAsia="等线"/>
                <w:lang w:val="en-US" w:eastAsia="zh-CN" w:bidi="ar"/>
              </w:rPr>
              <w:t>20%</w:t>
            </w:r>
            <w:r>
              <w:rPr>
                <w:rStyle w:val="14"/>
                <w:lang w:val="en-US" w:eastAsia="zh-CN" w:bidi="ar"/>
              </w:rPr>
              <w:t>以下（</w:t>
            </w:r>
            <w:r>
              <w:rPr>
                <w:rStyle w:val="15"/>
                <w:rFonts w:eastAsia="等线"/>
                <w:lang w:val="en-US" w:eastAsia="zh-CN" w:bidi="ar"/>
              </w:rPr>
              <w:t>0</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color w:val="000000"/>
                <w:sz w:val="24"/>
                <w:szCs w:val="24"/>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机构人员配置</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区县承保机构是否配置专门的农业保险管理机构和人员。</w:t>
            </w:r>
          </w:p>
        </w:tc>
        <w:tc>
          <w:tcPr>
            <w:tcW w:w="14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区县承保机构设置了专门的农险科室或管理分支（</w:t>
            </w:r>
            <w:r>
              <w:rPr>
                <w:rStyle w:val="15"/>
                <w:rFonts w:eastAsia="等线"/>
                <w:lang w:val="en-US" w:eastAsia="zh-CN" w:bidi="ar"/>
              </w:rPr>
              <w:t>1</w:t>
            </w:r>
            <w:r>
              <w:rPr>
                <w:rStyle w:val="14"/>
                <w:lang w:val="en-US" w:eastAsia="zh-CN" w:bidi="ar"/>
              </w:rPr>
              <w:t>分），有至少</w:t>
            </w:r>
            <w:r>
              <w:rPr>
                <w:rStyle w:val="15"/>
                <w:rFonts w:eastAsia="等线"/>
                <w:lang w:val="en-US" w:eastAsia="zh-CN" w:bidi="ar"/>
              </w:rPr>
              <w:t>1</w:t>
            </w:r>
            <w:r>
              <w:rPr>
                <w:rStyle w:val="14"/>
                <w:lang w:val="en-US" w:eastAsia="zh-CN" w:bidi="ar"/>
              </w:rPr>
              <w:t>名专职人员（</w:t>
            </w:r>
            <w:r>
              <w:rPr>
                <w:rStyle w:val="15"/>
                <w:rFonts w:eastAsia="等线"/>
                <w:lang w:val="en-US" w:eastAsia="zh-CN" w:bidi="ar"/>
              </w:rPr>
              <w:t>1</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等线" w:cs="Times New Roman"/>
                <w:i w:val="0"/>
                <w:color w:val="000000"/>
                <w:sz w:val="24"/>
                <w:szCs w:val="24"/>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档案管理</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区县承保档案管理是否完整、合规、真实。</w:t>
            </w:r>
          </w:p>
        </w:tc>
        <w:tc>
          <w:tcPr>
            <w:tcW w:w="14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区县承保档案按照档案管理要求及时归档，且相关材料齐全、合规、真实（</w:t>
            </w:r>
            <w:r>
              <w:rPr>
                <w:rStyle w:val="15"/>
                <w:rFonts w:eastAsia="等线"/>
                <w:lang w:val="en-US" w:eastAsia="zh-CN" w:bidi="ar"/>
              </w:rPr>
              <w:t>2</w:t>
            </w:r>
            <w:r>
              <w:rPr>
                <w:rStyle w:val="14"/>
                <w:lang w:val="en-US" w:eastAsia="zh-CN" w:bidi="ar"/>
              </w:rPr>
              <w:t>分），项目相关资料部分齐全（</w:t>
            </w:r>
            <w:r>
              <w:rPr>
                <w:rStyle w:val="15"/>
                <w:rFonts w:eastAsia="等线"/>
                <w:lang w:val="en-US" w:eastAsia="zh-CN" w:bidi="ar"/>
              </w:rPr>
              <w:t>1</w:t>
            </w:r>
            <w:r>
              <w:rPr>
                <w:rStyle w:val="14"/>
                <w:lang w:val="en-US" w:eastAsia="zh-CN" w:bidi="ar"/>
              </w:rPr>
              <w:t>分），未按相关要求建立档案（</w:t>
            </w:r>
            <w:r>
              <w:rPr>
                <w:rStyle w:val="15"/>
                <w:rFonts w:eastAsia="等线"/>
                <w:lang w:val="en-US" w:eastAsia="zh-CN" w:bidi="ar"/>
              </w:rPr>
              <w:t>0</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业务规范</w:t>
            </w: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规范展业承保</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区县承保机构是否执行</w:t>
            </w:r>
            <w:r>
              <w:rPr>
                <w:rStyle w:val="15"/>
                <w:rFonts w:eastAsia="等线"/>
                <w:lang w:val="en-US" w:eastAsia="zh-CN" w:bidi="ar"/>
              </w:rPr>
              <w:t>“</w:t>
            </w:r>
            <w:r>
              <w:rPr>
                <w:rStyle w:val="14"/>
                <w:lang w:val="en-US" w:eastAsia="zh-CN" w:bidi="ar"/>
              </w:rPr>
              <w:t>见费出单</w:t>
            </w:r>
            <w:r>
              <w:rPr>
                <w:rStyle w:val="15"/>
                <w:rFonts w:eastAsia="等线"/>
                <w:lang w:val="en-US" w:eastAsia="zh-CN" w:bidi="ar"/>
              </w:rPr>
              <w:t>”</w:t>
            </w:r>
            <w:r>
              <w:rPr>
                <w:rStyle w:val="14"/>
                <w:lang w:val="en-US" w:eastAsia="zh-CN" w:bidi="ar"/>
              </w:rPr>
              <w:t>制度，是否做到先收费、后出单。</w:t>
            </w:r>
          </w:p>
        </w:tc>
        <w:tc>
          <w:tcPr>
            <w:tcW w:w="14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执行</w:t>
            </w:r>
            <w:r>
              <w:rPr>
                <w:rStyle w:val="15"/>
                <w:rFonts w:eastAsia="等线"/>
                <w:lang w:val="en-US" w:eastAsia="zh-CN" w:bidi="ar"/>
              </w:rPr>
              <w:t>“</w:t>
            </w:r>
            <w:r>
              <w:rPr>
                <w:rStyle w:val="14"/>
                <w:lang w:val="en-US" w:eastAsia="zh-CN" w:bidi="ar"/>
              </w:rPr>
              <w:t>见费出单</w:t>
            </w:r>
            <w:r>
              <w:rPr>
                <w:rStyle w:val="15"/>
                <w:rFonts w:eastAsia="等线"/>
                <w:lang w:val="en-US" w:eastAsia="zh-CN" w:bidi="ar"/>
              </w:rPr>
              <w:t>”</w:t>
            </w:r>
            <w:r>
              <w:rPr>
                <w:rStyle w:val="14"/>
                <w:lang w:val="en-US" w:eastAsia="zh-CN" w:bidi="ar"/>
              </w:rPr>
              <w:t>制度（</w:t>
            </w:r>
            <w:r>
              <w:rPr>
                <w:rStyle w:val="15"/>
                <w:rFonts w:eastAsia="等线"/>
                <w:lang w:val="en-US" w:eastAsia="zh-CN" w:bidi="ar"/>
              </w:rPr>
              <w:t>1</w:t>
            </w:r>
            <w:r>
              <w:rPr>
                <w:rStyle w:val="14"/>
                <w:lang w:val="en-US" w:eastAsia="zh-CN" w:bidi="ar"/>
              </w:rPr>
              <w:t>分），以行政村为单位集中投保的，有项目齐全的承保清单（</w:t>
            </w:r>
            <w:r>
              <w:rPr>
                <w:rStyle w:val="15"/>
                <w:rFonts w:eastAsia="等线"/>
                <w:lang w:val="en-US" w:eastAsia="zh-CN" w:bidi="ar"/>
              </w:rPr>
              <w:t>2</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投保公示</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承保情况与理赔结果公示。</w:t>
            </w:r>
          </w:p>
        </w:tc>
        <w:tc>
          <w:tcPr>
            <w:tcW w:w="14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承保公示（</w:t>
            </w:r>
            <w:r>
              <w:rPr>
                <w:rStyle w:val="15"/>
                <w:rFonts w:eastAsia="等线"/>
                <w:lang w:val="en-US" w:eastAsia="zh-CN" w:bidi="ar"/>
              </w:rPr>
              <w:t>2</w:t>
            </w:r>
            <w:r>
              <w:rPr>
                <w:rStyle w:val="14"/>
                <w:lang w:val="en-US" w:eastAsia="zh-CN" w:bidi="ar"/>
              </w:rPr>
              <w:t>分），理赔公示（</w:t>
            </w:r>
            <w:r>
              <w:rPr>
                <w:rStyle w:val="15"/>
                <w:rFonts w:eastAsia="等线"/>
                <w:lang w:val="en-US" w:eastAsia="zh-CN" w:bidi="ar"/>
              </w:rPr>
              <w:t>1</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规范查勘理赔</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区县承保机构是否按照农业保险补贴政策和保险条款开展定损、查勘理赔。</w:t>
            </w:r>
          </w:p>
        </w:tc>
        <w:tc>
          <w:tcPr>
            <w:tcW w:w="14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保险结案周期天数同比持平或降低（</w:t>
            </w:r>
            <w:r>
              <w:rPr>
                <w:rStyle w:val="15"/>
                <w:rFonts w:eastAsia="等线"/>
                <w:lang w:val="en-US" w:eastAsia="zh-CN" w:bidi="ar"/>
              </w:rPr>
              <w:t>1</w:t>
            </w:r>
            <w:r>
              <w:rPr>
                <w:rStyle w:val="14"/>
                <w:lang w:val="en-US" w:eastAsia="zh-CN" w:bidi="ar"/>
              </w:rPr>
              <w:t>分），赔偿协议达成</w:t>
            </w:r>
            <w:r>
              <w:rPr>
                <w:rStyle w:val="15"/>
                <w:rFonts w:eastAsia="等线"/>
                <w:lang w:val="en-US" w:eastAsia="zh-CN" w:bidi="ar"/>
              </w:rPr>
              <w:t>10</w:t>
            </w:r>
            <w:r>
              <w:rPr>
                <w:rStyle w:val="14"/>
                <w:lang w:val="en-US" w:eastAsia="zh-CN" w:bidi="ar"/>
              </w:rPr>
              <w:t>日内，将应赔偿的保险金支付给被保险人（</w:t>
            </w:r>
            <w:r>
              <w:rPr>
                <w:rStyle w:val="15"/>
                <w:rFonts w:eastAsia="等线"/>
                <w:lang w:val="en-US" w:eastAsia="zh-CN" w:bidi="ar"/>
              </w:rPr>
              <w:t>2</w:t>
            </w:r>
            <w:r>
              <w:rPr>
                <w:rStyle w:val="14"/>
                <w:lang w:val="en-US" w:eastAsia="zh-CN" w:bidi="ar"/>
              </w:rPr>
              <w:t>分），严格按照保险条款规定定损理赔（</w:t>
            </w:r>
            <w:r>
              <w:rPr>
                <w:rStyle w:val="15"/>
                <w:rFonts w:eastAsia="等线"/>
                <w:lang w:val="en-US" w:eastAsia="zh-CN" w:bidi="ar"/>
              </w:rPr>
              <w:t>1</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日常监督与整改落实</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区县有关部门是否按照要求对农业保险业务开展日常监督，承保机构对监督发现的问题是否及时进行整改落实。</w:t>
            </w:r>
          </w:p>
        </w:tc>
        <w:tc>
          <w:tcPr>
            <w:tcW w:w="14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能够按要求开展日常监督（</w:t>
            </w:r>
            <w:r>
              <w:rPr>
                <w:rStyle w:val="15"/>
                <w:rFonts w:eastAsia="等线"/>
                <w:lang w:val="en-US" w:eastAsia="zh-CN" w:bidi="ar"/>
              </w:rPr>
              <w:t>1</w:t>
            </w:r>
            <w:r>
              <w:rPr>
                <w:rStyle w:val="14"/>
                <w:lang w:val="en-US" w:eastAsia="zh-CN" w:bidi="ar"/>
              </w:rPr>
              <w:t>分）；对监督发现的问题及时整改落实（</w:t>
            </w:r>
            <w:r>
              <w:rPr>
                <w:rStyle w:val="15"/>
                <w:rFonts w:eastAsia="等线"/>
                <w:lang w:val="en-US" w:eastAsia="zh-CN" w:bidi="ar"/>
              </w:rPr>
              <w:t>1</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工作绩效</w:t>
            </w:r>
            <w:r>
              <w:rPr>
                <w:rStyle w:val="15"/>
                <w:rFonts w:eastAsia="等线"/>
                <w:lang w:val="en-US" w:eastAsia="zh-CN" w:bidi="ar"/>
              </w:rPr>
              <w:t>40</w:t>
            </w: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项目产出</w:t>
            </w: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理赔兑现率</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区县承保机构是否及时足额理赔。理赔兑现率</w:t>
            </w:r>
            <w:r>
              <w:rPr>
                <w:rStyle w:val="15"/>
                <w:rFonts w:eastAsia="等线"/>
                <w:lang w:val="en-US" w:eastAsia="zh-CN" w:bidi="ar"/>
              </w:rPr>
              <w:t>=</w:t>
            </w:r>
            <w:r>
              <w:rPr>
                <w:rStyle w:val="14"/>
                <w:lang w:val="en-US" w:eastAsia="zh-CN" w:bidi="ar"/>
              </w:rPr>
              <w:t>已结案件数量</w:t>
            </w:r>
            <w:r>
              <w:rPr>
                <w:rStyle w:val="15"/>
                <w:rFonts w:eastAsia="等线"/>
                <w:lang w:val="en-US" w:eastAsia="zh-CN" w:bidi="ar"/>
              </w:rPr>
              <w:t>/</w:t>
            </w:r>
            <w:r>
              <w:rPr>
                <w:rStyle w:val="14"/>
                <w:lang w:val="en-US" w:eastAsia="zh-CN" w:bidi="ar"/>
              </w:rPr>
              <w:t>已报案件数量</w:t>
            </w:r>
            <w:r>
              <w:rPr>
                <w:rStyle w:val="15"/>
                <w:rFonts w:eastAsia="等线"/>
                <w:lang w:val="en-US" w:eastAsia="zh-CN" w:bidi="ar"/>
              </w:rPr>
              <w:t>*0.5+</w:t>
            </w:r>
            <w:r>
              <w:rPr>
                <w:rStyle w:val="14"/>
                <w:lang w:val="en-US" w:eastAsia="zh-CN" w:bidi="ar"/>
              </w:rPr>
              <w:t>已结案件金额</w:t>
            </w:r>
            <w:r>
              <w:rPr>
                <w:rStyle w:val="15"/>
                <w:rFonts w:eastAsia="等线"/>
                <w:lang w:val="en-US" w:eastAsia="zh-CN" w:bidi="ar"/>
              </w:rPr>
              <w:t>/</w:t>
            </w:r>
            <w:r>
              <w:rPr>
                <w:rStyle w:val="14"/>
                <w:lang w:val="en-US" w:eastAsia="zh-CN" w:bidi="ar"/>
              </w:rPr>
              <w:t>已报案件金额</w:t>
            </w:r>
            <w:r>
              <w:rPr>
                <w:rStyle w:val="15"/>
                <w:rFonts w:eastAsia="等线"/>
                <w:lang w:val="en-US" w:eastAsia="zh-CN" w:bidi="ar"/>
              </w:rPr>
              <w:t>*0.5</w:t>
            </w:r>
            <w:r>
              <w:rPr>
                <w:rStyle w:val="14"/>
                <w:lang w:val="en-US" w:eastAsia="zh-CN" w:bidi="ar"/>
              </w:rPr>
              <w:t>。</w:t>
            </w:r>
          </w:p>
        </w:tc>
        <w:tc>
          <w:tcPr>
            <w:tcW w:w="14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区县承保机构在规定时点理赔结案率</w:t>
            </w:r>
            <w:r>
              <w:rPr>
                <w:rStyle w:val="15"/>
                <w:rFonts w:eastAsia="等线"/>
                <w:lang w:val="en-US" w:eastAsia="zh-CN" w:bidi="ar"/>
              </w:rPr>
              <w:t>100%</w:t>
            </w:r>
            <w:r>
              <w:rPr>
                <w:rStyle w:val="14"/>
                <w:lang w:val="en-US" w:eastAsia="zh-CN" w:bidi="ar"/>
              </w:rPr>
              <w:t>（</w:t>
            </w:r>
            <w:r>
              <w:rPr>
                <w:rStyle w:val="15"/>
                <w:rFonts w:eastAsia="等线"/>
                <w:lang w:val="en-US" w:eastAsia="zh-CN" w:bidi="ar"/>
              </w:rPr>
              <w:t>5</w:t>
            </w:r>
            <w:r>
              <w:rPr>
                <w:rStyle w:val="14"/>
                <w:lang w:val="en-US" w:eastAsia="zh-CN" w:bidi="ar"/>
              </w:rPr>
              <w:t>分）、</w:t>
            </w:r>
            <w:r>
              <w:rPr>
                <w:rStyle w:val="15"/>
                <w:rFonts w:eastAsia="等线"/>
                <w:lang w:val="en-US" w:eastAsia="zh-CN" w:bidi="ar"/>
              </w:rPr>
              <w:t>90%</w:t>
            </w:r>
            <w:r>
              <w:rPr>
                <w:rStyle w:val="14"/>
                <w:lang w:val="en-US" w:eastAsia="zh-CN" w:bidi="ar"/>
              </w:rPr>
              <w:t>（含）至</w:t>
            </w:r>
            <w:r>
              <w:rPr>
                <w:rStyle w:val="15"/>
                <w:rFonts w:eastAsia="等线"/>
                <w:lang w:val="en-US" w:eastAsia="zh-CN" w:bidi="ar"/>
              </w:rPr>
              <w:t>100%</w:t>
            </w:r>
            <w:r>
              <w:rPr>
                <w:rStyle w:val="14"/>
                <w:lang w:val="en-US" w:eastAsia="zh-CN" w:bidi="ar"/>
              </w:rPr>
              <w:t>（</w:t>
            </w:r>
            <w:r>
              <w:rPr>
                <w:rStyle w:val="15"/>
                <w:rFonts w:eastAsia="等线"/>
                <w:lang w:val="en-US" w:eastAsia="zh-CN" w:bidi="ar"/>
              </w:rPr>
              <w:t>4</w:t>
            </w:r>
            <w:r>
              <w:rPr>
                <w:rStyle w:val="14"/>
                <w:lang w:val="en-US" w:eastAsia="zh-CN" w:bidi="ar"/>
              </w:rPr>
              <w:t>分）、</w:t>
            </w:r>
            <w:r>
              <w:rPr>
                <w:rStyle w:val="15"/>
                <w:rFonts w:eastAsia="等线"/>
                <w:lang w:val="en-US" w:eastAsia="zh-CN" w:bidi="ar"/>
              </w:rPr>
              <w:t>80%</w:t>
            </w:r>
            <w:r>
              <w:rPr>
                <w:rStyle w:val="14"/>
                <w:lang w:val="en-US" w:eastAsia="zh-CN" w:bidi="ar"/>
              </w:rPr>
              <w:t>（含）至</w:t>
            </w:r>
            <w:r>
              <w:rPr>
                <w:rStyle w:val="15"/>
                <w:rFonts w:eastAsia="等线"/>
                <w:lang w:val="en-US" w:eastAsia="zh-CN" w:bidi="ar"/>
              </w:rPr>
              <w:t>90%</w:t>
            </w:r>
            <w:r>
              <w:rPr>
                <w:rStyle w:val="14"/>
                <w:lang w:val="en-US" w:eastAsia="zh-CN" w:bidi="ar"/>
              </w:rPr>
              <w:t>（</w:t>
            </w:r>
            <w:r>
              <w:rPr>
                <w:rStyle w:val="15"/>
                <w:rFonts w:eastAsia="等线"/>
                <w:lang w:val="en-US" w:eastAsia="zh-CN" w:bidi="ar"/>
              </w:rPr>
              <w:t>3</w:t>
            </w:r>
            <w:r>
              <w:rPr>
                <w:rStyle w:val="14"/>
                <w:lang w:val="en-US" w:eastAsia="zh-CN" w:bidi="ar"/>
              </w:rPr>
              <w:t>分）、</w:t>
            </w:r>
            <w:r>
              <w:rPr>
                <w:rStyle w:val="15"/>
                <w:rFonts w:eastAsia="等线"/>
                <w:lang w:val="en-US" w:eastAsia="zh-CN" w:bidi="ar"/>
              </w:rPr>
              <w:t>70%</w:t>
            </w:r>
            <w:r>
              <w:rPr>
                <w:rStyle w:val="14"/>
                <w:lang w:val="en-US" w:eastAsia="zh-CN" w:bidi="ar"/>
              </w:rPr>
              <w:t>（含）至</w:t>
            </w:r>
            <w:r>
              <w:rPr>
                <w:rStyle w:val="15"/>
                <w:rFonts w:eastAsia="等线"/>
                <w:lang w:val="en-US" w:eastAsia="zh-CN" w:bidi="ar"/>
              </w:rPr>
              <w:t>80%</w:t>
            </w:r>
            <w:r>
              <w:rPr>
                <w:rStyle w:val="14"/>
                <w:lang w:val="en-US" w:eastAsia="zh-CN" w:bidi="ar"/>
              </w:rPr>
              <w:t>（</w:t>
            </w:r>
            <w:r>
              <w:rPr>
                <w:rStyle w:val="15"/>
                <w:rFonts w:eastAsia="等线"/>
                <w:lang w:val="en-US" w:eastAsia="zh-CN" w:bidi="ar"/>
              </w:rPr>
              <w:t>2</w:t>
            </w:r>
            <w:r>
              <w:rPr>
                <w:rStyle w:val="14"/>
                <w:lang w:val="en-US" w:eastAsia="zh-CN" w:bidi="ar"/>
              </w:rPr>
              <w:t>分）、</w:t>
            </w:r>
            <w:r>
              <w:rPr>
                <w:rStyle w:val="15"/>
                <w:rFonts w:eastAsia="等线"/>
                <w:lang w:val="en-US" w:eastAsia="zh-CN" w:bidi="ar"/>
              </w:rPr>
              <w:t>60%</w:t>
            </w:r>
            <w:r>
              <w:rPr>
                <w:rStyle w:val="14"/>
                <w:lang w:val="en-US" w:eastAsia="zh-CN" w:bidi="ar"/>
              </w:rPr>
              <w:t>（含）至</w:t>
            </w:r>
            <w:r>
              <w:rPr>
                <w:rStyle w:val="15"/>
                <w:rFonts w:eastAsia="等线"/>
                <w:lang w:val="en-US" w:eastAsia="zh-CN" w:bidi="ar"/>
              </w:rPr>
              <w:t>70%</w:t>
            </w:r>
            <w:r>
              <w:rPr>
                <w:rStyle w:val="14"/>
                <w:lang w:val="en-US" w:eastAsia="zh-CN" w:bidi="ar"/>
              </w:rPr>
              <w:t>（</w:t>
            </w:r>
            <w:r>
              <w:rPr>
                <w:rStyle w:val="15"/>
                <w:rFonts w:eastAsia="等线"/>
                <w:lang w:val="en-US" w:eastAsia="zh-CN" w:bidi="ar"/>
              </w:rPr>
              <w:t>1</w:t>
            </w:r>
            <w:r>
              <w:rPr>
                <w:rStyle w:val="14"/>
                <w:lang w:val="en-US" w:eastAsia="zh-CN" w:bidi="ar"/>
              </w:rPr>
              <w:t>分）、</w:t>
            </w:r>
            <w:r>
              <w:rPr>
                <w:rStyle w:val="15"/>
                <w:rFonts w:eastAsia="等线"/>
                <w:lang w:val="en-US" w:eastAsia="zh-CN" w:bidi="ar"/>
              </w:rPr>
              <w:t>60%</w:t>
            </w:r>
            <w:r>
              <w:rPr>
                <w:rStyle w:val="14"/>
                <w:lang w:val="en-US" w:eastAsia="zh-CN" w:bidi="ar"/>
              </w:rPr>
              <w:t>以下（</w:t>
            </w:r>
            <w:r>
              <w:rPr>
                <w:rStyle w:val="15"/>
                <w:rFonts w:eastAsia="等线"/>
                <w:lang w:val="en-US" w:eastAsia="zh-CN" w:bidi="ar"/>
              </w:rPr>
              <w:t>0</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保险深度</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保险深度是否达到目标要求。保险深度</w:t>
            </w:r>
            <w:r>
              <w:rPr>
                <w:rStyle w:val="15"/>
                <w:rFonts w:eastAsia="等线"/>
                <w:lang w:val="en-US" w:eastAsia="zh-CN" w:bidi="ar"/>
              </w:rPr>
              <w:t>=</w:t>
            </w:r>
            <w:r>
              <w:rPr>
                <w:rStyle w:val="14"/>
                <w:lang w:val="en-US" w:eastAsia="zh-CN" w:bidi="ar"/>
              </w:rPr>
              <w:t>保费规模</w:t>
            </w:r>
            <w:r>
              <w:rPr>
                <w:rStyle w:val="15"/>
                <w:rFonts w:eastAsia="等线"/>
                <w:lang w:val="en-US" w:eastAsia="zh-CN" w:bidi="ar"/>
              </w:rPr>
              <w:t>/</w:t>
            </w:r>
            <w:r>
              <w:rPr>
                <w:rStyle w:val="14"/>
                <w:lang w:val="en-US" w:eastAsia="zh-CN" w:bidi="ar"/>
              </w:rPr>
              <w:t>第一产业增加值。</w:t>
            </w:r>
          </w:p>
        </w:tc>
        <w:tc>
          <w:tcPr>
            <w:tcW w:w="14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保险深度≥</w:t>
            </w:r>
            <w:r>
              <w:rPr>
                <w:rStyle w:val="15"/>
                <w:rFonts w:eastAsia="等线"/>
                <w:lang w:val="en-US" w:eastAsia="zh-CN" w:bidi="ar"/>
              </w:rPr>
              <w:t>1%</w:t>
            </w:r>
            <w:r>
              <w:rPr>
                <w:rStyle w:val="14"/>
                <w:lang w:val="en-US" w:eastAsia="zh-CN" w:bidi="ar"/>
              </w:rPr>
              <w:t>的，得</w:t>
            </w:r>
            <w:r>
              <w:rPr>
                <w:rStyle w:val="15"/>
                <w:rFonts w:eastAsia="等线"/>
                <w:lang w:val="en-US" w:eastAsia="zh-CN" w:bidi="ar"/>
              </w:rPr>
              <w:t>5</w:t>
            </w:r>
            <w:r>
              <w:rPr>
                <w:rStyle w:val="14"/>
                <w:lang w:val="en-US" w:eastAsia="zh-CN" w:bidi="ar"/>
              </w:rPr>
              <w:t>分；</w:t>
            </w:r>
            <w:r>
              <w:rPr>
                <w:rStyle w:val="15"/>
                <w:rFonts w:eastAsia="等线"/>
                <w:lang w:val="en-US" w:eastAsia="zh-CN" w:bidi="ar"/>
              </w:rPr>
              <w:t>0.8%</w:t>
            </w:r>
            <w:r>
              <w:rPr>
                <w:rStyle w:val="14"/>
                <w:lang w:val="en-US" w:eastAsia="zh-CN" w:bidi="ar"/>
              </w:rPr>
              <w:t>≤保险深度＜</w:t>
            </w:r>
            <w:r>
              <w:rPr>
                <w:rStyle w:val="15"/>
                <w:rFonts w:eastAsia="等线"/>
                <w:lang w:val="en-US" w:eastAsia="zh-CN" w:bidi="ar"/>
              </w:rPr>
              <w:t>1%</w:t>
            </w:r>
            <w:r>
              <w:rPr>
                <w:rStyle w:val="14"/>
                <w:lang w:val="en-US" w:eastAsia="zh-CN" w:bidi="ar"/>
              </w:rPr>
              <w:t>的，得</w:t>
            </w:r>
            <w:r>
              <w:rPr>
                <w:rStyle w:val="15"/>
                <w:rFonts w:eastAsia="等线"/>
                <w:lang w:val="en-US" w:eastAsia="zh-CN" w:bidi="ar"/>
              </w:rPr>
              <w:t>4</w:t>
            </w:r>
            <w:r>
              <w:rPr>
                <w:rStyle w:val="14"/>
                <w:lang w:val="en-US" w:eastAsia="zh-CN" w:bidi="ar"/>
              </w:rPr>
              <w:t>分；</w:t>
            </w:r>
            <w:r>
              <w:rPr>
                <w:rStyle w:val="15"/>
                <w:rFonts w:eastAsia="等线"/>
                <w:lang w:val="en-US" w:eastAsia="zh-CN" w:bidi="ar"/>
              </w:rPr>
              <w:t>0.6%</w:t>
            </w:r>
            <w:r>
              <w:rPr>
                <w:rStyle w:val="14"/>
                <w:lang w:val="en-US" w:eastAsia="zh-CN" w:bidi="ar"/>
              </w:rPr>
              <w:t>≤保险深度＜</w:t>
            </w:r>
            <w:r>
              <w:rPr>
                <w:rStyle w:val="15"/>
                <w:rFonts w:eastAsia="等线"/>
                <w:lang w:val="en-US" w:eastAsia="zh-CN" w:bidi="ar"/>
              </w:rPr>
              <w:t>0.8%</w:t>
            </w:r>
            <w:r>
              <w:rPr>
                <w:rStyle w:val="14"/>
                <w:lang w:val="en-US" w:eastAsia="zh-CN" w:bidi="ar"/>
              </w:rPr>
              <w:t>的，得</w:t>
            </w:r>
            <w:r>
              <w:rPr>
                <w:rStyle w:val="15"/>
                <w:rFonts w:eastAsia="等线"/>
                <w:lang w:val="en-US" w:eastAsia="zh-CN" w:bidi="ar"/>
              </w:rPr>
              <w:t>3</w:t>
            </w:r>
            <w:r>
              <w:rPr>
                <w:rStyle w:val="14"/>
                <w:lang w:val="en-US" w:eastAsia="zh-CN" w:bidi="ar"/>
              </w:rPr>
              <w:t>分；</w:t>
            </w:r>
            <w:r>
              <w:rPr>
                <w:rStyle w:val="15"/>
                <w:rFonts w:eastAsia="等线"/>
                <w:lang w:val="en-US" w:eastAsia="zh-CN" w:bidi="ar"/>
              </w:rPr>
              <w:t>0.4%</w:t>
            </w:r>
            <w:r>
              <w:rPr>
                <w:rStyle w:val="14"/>
                <w:lang w:val="en-US" w:eastAsia="zh-CN" w:bidi="ar"/>
              </w:rPr>
              <w:t>≤保险深度＜</w:t>
            </w:r>
            <w:r>
              <w:rPr>
                <w:rStyle w:val="15"/>
                <w:rFonts w:eastAsia="等线"/>
                <w:lang w:val="en-US" w:eastAsia="zh-CN" w:bidi="ar"/>
              </w:rPr>
              <w:t>0.6%</w:t>
            </w:r>
            <w:r>
              <w:rPr>
                <w:rStyle w:val="14"/>
                <w:lang w:val="en-US" w:eastAsia="zh-CN" w:bidi="ar"/>
              </w:rPr>
              <w:t>的，得</w:t>
            </w:r>
            <w:r>
              <w:rPr>
                <w:rStyle w:val="15"/>
                <w:rFonts w:eastAsia="等线"/>
                <w:lang w:val="en-US" w:eastAsia="zh-CN" w:bidi="ar"/>
              </w:rPr>
              <w:t>2</w:t>
            </w:r>
            <w:r>
              <w:rPr>
                <w:rStyle w:val="14"/>
                <w:lang w:val="en-US" w:eastAsia="zh-CN" w:bidi="ar"/>
              </w:rPr>
              <w:t>分；</w:t>
            </w:r>
            <w:r>
              <w:rPr>
                <w:rStyle w:val="15"/>
                <w:rFonts w:eastAsia="等线"/>
                <w:lang w:val="en-US" w:eastAsia="zh-CN" w:bidi="ar"/>
              </w:rPr>
              <w:t>0.2%</w:t>
            </w:r>
            <w:r>
              <w:rPr>
                <w:rStyle w:val="14"/>
                <w:lang w:val="en-US" w:eastAsia="zh-CN" w:bidi="ar"/>
              </w:rPr>
              <w:t>≤保险深度＜</w:t>
            </w:r>
            <w:r>
              <w:rPr>
                <w:rStyle w:val="15"/>
                <w:rFonts w:eastAsia="等线"/>
                <w:lang w:val="en-US" w:eastAsia="zh-CN" w:bidi="ar"/>
              </w:rPr>
              <w:t>0.4%</w:t>
            </w:r>
            <w:r>
              <w:rPr>
                <w:rStyle w:val="14"/>
                <w:lang w:val="en-US" w:eastAsia="zh-CN" w:bidi="ar"/>
              </w:rPr>
              <w:t>的，得</w:t>
            </w:r>
            <w:r>
              <w:rPr>
                <w:rStyle w:val="15"/>
                <w:rFonts w:eastAsia="等线"/>
                <w:lang w:val="en-US" w:eastAsia="zh-CN" w:bidi="ar"/>
              </w:rPr>
              <w:t>1</w:t>
            </w:r>
            <w:r>
              <w:rPr>
                <w:rStyle w:val="14"/>
                <w:lang w:val="en-US" w:eastAsia="zh-CN" w:bidi="ar"/>
              </w:rPr>
              <w:t>分；保险深度＜</w:t>
            </w:r>
            <w:r>
              <w:rPr>
                <w:rStyle w:val="15"/>
                <w:rFonts w:eastAsia="等线"/>
                <w:lang w:val="en-US" w:eastAsia="zh-CN" w:bidi="ar"/>
              </w:rPr>
              <w:t>0.2%</w:t>
            </w:r>
            <w:r>
              <w:rPr>
                <w:rStyle w:val="14"/>
                <w:lang w:val="en-US" w:eastAsia="zh-CN" w:bidi="ar"/>
              </w:rPr>
              <w:t>的，得</w:t>
            </w:r>
            <w:r>
              <w:rPr>
                <w:rStyle w:val="15"/>
                <w:rFonts w:eastAsia="等线"/>
                <w:lang w:val="en-US" w:eastAsia="zh-CN" w:bidi="ar"/>
              </w:rPr>
              <w:t>0</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保险密度</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保险密度是否达到目标要求。保险密度</w:t>
            </w:r>
            <w:r>
              <w:rPr>
                <w:rStyle w:val="15"/>
                <w:rFonts w:eastAsia="等线"/>
                <w:lang w:val="en-US" w:eastAsia="zh-CN" w:bidi="ar"/>
              </w:rPr>
              <w:t>=</w:t>
            </w:r>
            <w:r>
              <w:rPr>
                <w:rStyle w:val="14"/>
                <w:lang w:val="en-US" w:eastAsia="zh-CN" w:bidi="ar"/>
              </w:rPr>
              <w:t>保费规模</w:t>
            </w:r>
            <w:r>
              <w:rPr>
                <w:rStyle w:val="15"/>
                <w:rFonts w:eastAsia="等线"/>
                <w:lang w:val="en-US" w:eastAsia="zh-CN" w:bidi="ar"/>
              </w:rPr>
              <w:t>/</w:t>
            </w:r>
            <w:r>
              <w:rPr>
                <w:rStyle w:val="14"/>
                <w:lang w:val="en-US" w:eastAsia="zh-CN" w:bidi="ar"/>
              </w:rPr>
              <w:t>农业从业人口。</w:t>
            </w:r>
          </w:p>
        </w:tc>
        <w:tc>
          <w:tcPr>
            <w:tcW w:w="14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保险密度≥</w:t>
            </w:r>
            <w:r>
              <w:rPr>
                <w:rStyle w:val="15"/>
                <w:rFonts w:eastAsia="等线"/>
                <w:lang w:val="en-US" w:eastAsia="zh-CN" w:bidi="ar"/>
              </w:rPr>
              <w:t>500</w:t>
            </w:r>
            <w:r>
              <w:rPr>
                <w:rStyle w:val="14"/>
                <w:lang w:val="en-US" w:eastAsia="zh-CN" w:bidi="ar"/>
              </w:rPr>
              <w:t>元</w:t>
            </w:r>
            <w:r>
              <w:rPr>
                <w:rStyle w:val="15"/>
                <w:rFonts w:eastAsia="等线"/>
                <w:lang w:val="en-US" w:eastAsia="zh-CN" w:bidi="ar"/>
              </w:rPr>
              <w:t>/</w:t>
            </w:r>
            <w:r>
              <w:rPr>
                <w:rStyle w:val="14"/>
                <w:lang w:val="en-US" w:eastAsia="zh-CN" w:bidi="ar"/>
              </w:rPr>
              <w:t>人的，得</w:t>
            </w:r>
            <w:r>
              <w:rPr>
                <w:rStyle w:val="15"/>
                <w:rFonts w:eastAsia="等线"/>
                <w:lang w:val="en-US" w:eastAsia="zh-CN" w:bidi="ar"/>
              </w:rPr>
              <w:t>5</w:t>
            </w:r>
            <w:r>
              <w:rPr>
                <w:rStyle w:val="14"/>
                <w:lang w:val="en-US" w:eastAsia="zh-CN" w:bidi="ar"/>
              </w:rPr>
              <w:t>分；</w:t>
            </w:r>
            <w:r>
              <w:rPr>
                <w:rStyle w:val="15"/>
                <w:rFonts w:eastAsia="等线"/>
                <w:lang w:val="en-US" w:eastAsia="zh-CN" w:bidi="ar"/>
              </w:rPr>
              <w:t>450</w:t>
            </w:r>
            <w:r>
              <w:rPr>
                <w:rStyle w:val="14"/>
                <w:lang w:val="en-US" w:eastAsia="zh-CN" w:bidi="ar"/>
              </w:rPr>
              <w:t>元</w:t>
            </w:r>
            <w:r>
              <w:rPr>
                <w:rStyle w:val="15"/>
                <w:rFonts w:eastAsia="等线"/>
                <w:lang w:val="en-US" w:eastAsia="zh-CN" w:bidi="ar"/>
              </w:rPr>
              <w:t>/</w:t>
            </w:r>
            <w:r>
              <w:rPr>
                <w:rStyle w:val="14"/>
                <w:lang w:val="en-US" w:eastAsia="zh-CN" w:bidi="ar"/>
              </w:rPr>
              <w:t>人≤保险密度＜</w:t>
            </w:r>
            <w:r>
              <w:rPr>
                <w:rStyle w:val="15"/>
                <w:rFonts w:eastAsia="等线"/>
                <w:lang w:val="en-US" w:eastAsia="zh-CN" w:bidi="ar"/>
              </w:rPr>
              <w:t>500</w:t>
            </w:r>
            <w:r>
              <w:rPr>
                <w:rStyle w:val="14"/>
                <w:lang w:val="en-US" w:eastAsia="zh-CN" w:bidi="ar"/>
              </w:rPr>
              <w:t>元</w:t>
            </w:r>
            <w:r>
              <w:rPr>
                <w:rStyle w:val="15"/>
                <w:rFonts w:eastAsia="等线"/>
                <w:lang w:val="en-US" w:eastAsia="zh-CN" w:bidi="ar"/>
              </w:rPr>
              <w:t>/</w:t>
            </w:r>
            <w:r>
              <w:rPr>
                <w:rStyle w:val="14"/>
                <w:lang w:val="en-US" w:eastAsia="zh-CN" w:bidi="ar"/>
              </w:rPr>
              <w:t>人的，得</w:t>
            </w:r>
            <w:r>
              <w:rPr>
                <w:rStyle w:val="15"/>
                <w:rFonts w:eastAsia="等线"/>
                <w:lang w:val="en-US" w:eastAsia="zh-CN" w:bidi="ar"/>
              </w:rPr>
              <w:t>4</w:t>
            </w:r>
            <w:r>
              <w:rPr>
                <w:rStyle w:val="14"/>
                <w:lang w:val="en-US" w:eastAsia="zh-CN" w:bidi="ar"/>
              </w:rPr>
              <w:t>分；</w:t>
            </w:r>
            <w:r>
              <w:rPr>
                <w:rStyle w:val="15"/>
                <w:rFonts w:eastAsia="等线"/>
                <w:lang w:val="en-US" w:eastAsia="zh-CN" w:bidi="ar"/>
              </w:rPr>
              <w:t>400</w:t>
            </w:r>
            <w:r>
              <w:rPr>
                <w:rStyle w:val="14"/>
                <w:lang w:val="en-US" w:eastAsia="zh-CN" w:bidi="ar"/>
              </w:rPr>
              <w:t>元</w:t>
            </w:r>
            <w:r>
              <w:rPr>
                <w:rStyle w:val="15"/>
                <w:rFonts w:eastAsia="等线"/>
                <w:lang w:val="en-US" w:eastAsia="zh-CN" w:bidi="ar"/>
              </w:rPr>
              <w:t>/</w:t>
            </w:r>
            <w:r>
              <w:rPr>
                <w:rStyle w:val="14"/>
                <w:lang w:val="en-US" w:eastAsia="zh-CN" w:bidi="ar"/>
              </w:rPr>
              <w:t>人≤保险密度＜</w:t>
            </w:r>
            <w:r>
              <w:rPr>
                <w:rStyle w:val="15"/>
                <w:rFonts w:eastAsia="等线"/>
                <w:lang w:val="en-US" w:eastAsia="zh-CN" w:bidi="ar"/>
              </w:rPr>
              <w:t>450</w:t>
            </w:r>
            <w:r>
              <w:rPr>
                <w:rStyle w:val="14"/>
                <w:lang w:val="en-US" w:eastAsia="zh-CN" w:bidi="ar"/>
              </w:rPr>
              <w:t>元</w:t>
            </w:r>
            <w:r>
              <w:rPr>
                <w:rStyle w:val="15"/>
                <w:rFonts w:eastAsia="等线"/>
                <w:lang w:val="en-US" w:eastAsia="zh-CN" w:bidi="ar"/>
              </w:rPr>
              <w:t>/</w:t>
            </w:r>
            <w:r>
              <w:rPr>
                <w:rStyle w:val="14"/>
                <w:lang w:val="en-US" w:eastAsia="zh-CN" w:bidi="ar"/>
              </w:rPr>
              <w:t>人的，得</w:t>
            </w:r>
            <w:r>
              <w:rPr>
                <w:rStyle w:val="15"/>
                <w:rFonts w:eastAsia="等线"/>
                <w:lang w:val="en-US" w:eastAsia="zh-CN" w:bidi="ar"/>
              </w:rPr>
              <w:t>3</w:t>
            </w:r>
            <w:r>
              <w:rPr>
                <w:rStyle w:val="14"/>
                <w:lang w:val="en-US" w:eastAsia="zh-CN" w:bidi="ar"/>
              </w:rPr>
              <w:t>分；</w:t>
            </w:r>
            <w:r>
              <w:rPr>
                <w:rStyle w:val="15"/>
                <w:rFonts w:eastAsia="等线"/>
                <w:lang w:val="en-US" w:eastAsia="zh-CN" w:bidi="ar"/>
              </w:rPr>
              <w:t>350</w:t>
            </w:r>
            <w:r>
              <w:rPr>
                <w:rStyle w:val="14"/>
                <w:lang w:val="en-US" w:eastAsia="zh-CN" w:bidi="ar"/>
              </w:rPr>
              <w:t>元</w:t>
            </w:r>
            <w:r>
              <w:rPr>
                <w:rStyle w:val="15"/>
                <w:rFonts w:eastAsia="等线"/>
                <w:lang w:val="en-US" w:eastAsia="zh-CN" w:bidi="ar"/>
              </w:rPr>
              <w:t>/</w:t>
            </w:r>
            <w:r>
              <w:rPr>
                <w:rStyle w:val="14"/>
                <w:lang w:val="en-US" w:eastAsia="zh-CN" w:bidi="ar"/>
              </w:rPr>
              <w:t>人≤保险密度＜</w:t>
            </w:r>
            <w:r>
              <w:rPr>
                <w:rStyle w:val="15"/>
                <w:rFonts w:eastAsia="等线"/>
                <w:lang w:val="en-US" w:eastAsia="zh-CN" w:bidi="ar"/>
              </w:rPr>
              <w:t>400</w:t>
            </w:r>
            <w:r>
              <w:rPr>
                <w:rStyle w:val="14"/>
                <w:lang w:val="en-US" w:eastAsia="zh-CN" w:bidi="ar"/>
              </w:rPr>
              <w:t>元</w:t>
            </w:r>
            <w:r>
              <w:rPr>
                <w:rStyle w:val="15"/>
                <w:rFonts w:eastAsia="等线"/>
                <w:lang w:val="en-US" w:eastAsia="zh-CN" w:bidi="ar"/>
              </w:rPr>
              <w:t>/</w:t>
            </w:r>
            <w:r>
              <w:rPr>
                <w:rStyle w:val="14"/>
                <w:lang w:val="en-US" w:eastAsia="zh-CN" w:bidi="ar"/>
              </w:rPr>
              <w:t>人的，得</w:t>
            </w:r>
            <w:r>
              <w:rPr>
                <w:rStyle w:val="15"/>
                <w:rFonts w:eastAsia="等线"/>
                <w:lang w:val="en-US" w:eastAsia="zh-CN" w:bidi="ar"/>
              </w:rPr>
              <w:t>2</w:t>
            </w:r>
            <w:r>
              <w:rPr>
                <w:rStyle w:val="14"/>
                <w:lang w:val="en-US" w:eastAsia="zh-CN" w:bidi="ar"/>
              </w:rPr>
              <w:t>分；</w:t>
            </w:r>
            <w:r>
              <w:rPr>
                <w:rStyle w:val="15"/>
                <w:rFonts w:eastAsia="等线"/>
                <w:lang w:val="en-US" w:eastAsia="zh-CN" w:bidi="ar"/>
              </w:rPr>
              <w:t>300</w:t>
            </w:r>
            <w:r>
              <w:rPr>
                <w:rStyle w:val="14"/>
                <w:lang w:val="en-US" w:eastAsia="zh-CN" w:bidi="ar"/>
              </w:rPr>
              <w:t>元</w:t>
            </w:r>
            <w:r>
              <w:rPr>
                <w:rStyle w:val="15"/>
                <w:rFonts w:eastAsia="等线"/>
                <w:lang w:val="en-US" w:eastAsia="zh-CN" w:bidi="ar"/>
              </w:rPr>
              <w:t>/</w:t>
            </w:r>
            <w:r>
              <w:rPr>
                <w:rStyle w:val="14"/>
                <w:lang w:val="en-US" w:eastAsia="zh-CN" w:bidi="ar"/>
              </w:rPr>
              <w:t>人≤保险密度＜</w:t>
            </w:r>
            <w:r>
              <w:rPr>
                <w:rStyle w:val="15"/>
                <w:rFonts w:eastAsia="等线"/>
                <w:lang w:val="en-US" w:eastAsia="zh-CN" w:bidi="ar"/>
              </w:rPr>
              <w:t>350</w:t>
            </w:r>
            <w:r>
              <w:rPr>
                <w:rStyle w:val="14"/>
                <w:lang w:val="en-US" w:eastAsia="zh-CN" w:bidi="ar"/>
              </w:rPr>
              <w:t>元</w:t>
            </w:r>
            <w:r>
              <w:rPr>
                <w:rStyle w:val="15"/>
                <w:rFonts w:eastAsia="等线"/>
                <w:lang w:val="en-US" w:eastAsia="zh-CN" w:bidi="ar"/>
              </w:rPr>
              <w:t>/</w:t>
            </w:r>
            <w:r>
              <w:rPr>
                <w:rStyle w:val="14"/>
                <w:lang w:val="en-US" w:eastAsia="zh-CN" w:bidi="ar"/>
              </w:rPr>
              <w:t>人的，得</w:t>
            </w:r>
            <w:r>
              <w:rPr>
                <w:rStyle w:val="15"/>
                <w:rFonts w:eastAsia="等线"/>
                <w:lang w:val="en-US" w:eastAsia="zh-CN" w:bidi="ar"/>
              </w:rPr>
              <w:t>1</w:t>
            </w:r>
            <w:r>
              <w:rPr>
                <w:rStyle w:val="14"/>
                <w:lang w:val="en-US" w:eastAsia="zh-CN" w:bidi="ar"/>
              </w:rPr>
              <w:t>分；保险密度＜</w:t>
            </w:r>
            <w:r>
              <w:rPr>
                <w:rStyle w:val="15"/>
                <w:rFonts w:eastAsia="等线"/>
                <w:lang w:val="en-US" w:eastAsia="zh-CN" w:bidi="ar"/>
              </w:rPr>
              <w:t>300</w:t>
            </w:r>
            <w:r>
              <w:rPr>
                <w:rStyle w:val="14"/>
                <w:lang w:val="en-US" w:eastAsia="zh-CN" w:bidi="ar"/>
              </w:rPr>
              <w:t>元</w:t>
            </w:r>
            <w:r>
              <w:rPr>
                <w:rStyle w:val="15"/>
                <w:rFonts w:eastAsia="等线"/>
                <w:lang w:val="en-US" w:eastAsia="zh-CN" w:bidi="ar"/>
              </w:rPr>
              <w:t>/</w:t>
            </w:r>
            <w:r>
              <w:rPr>
                <w:rStyle w:val="14"/>
                <w:lang w:val="en-US" w:eastAsia="zh-CN" w:bidi="ar"/>
              </w:rPr>
              <w:t>人的，得</w:t>
            </w:r>
            <w:r>
              <w:rPr>
                <w:rStyle w:val="15"/>
                <w:rFonts w:eastAsia="等线"/>
                <w:lang w:val="en-US" w:eastAsia="zh-CN" w:bidi="ar"/>
              </w:rPr>
              <w:t>0</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保险覆盖率</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稻谷、玉米、能繁母猪、育肥猪保险品种覆盖率。覆盖率</w:t>
            </w:r>
            <w:r>
              <w:rPr>
                <w:rStyle w:val="15"/>
                <w:rFonts w:eastAsia="等线"/>
                <w:lang w:val="en-US" w:eastAsia="zh-CN" w:bidi="ar"/>
              </w:rPr>
              <w:t>=</w:t>
            </w:r>
            <w:r>
              <w:rPr>
                <w:rStyle w:val="14"/>
                <w:lang w:val="en-US" w:eastAsia="zh-CN" w:bidi="ar"/>
              </w:rPr>
              <w:t>承保面积（数量）</w:t>
            </w:r>
            <w:r>
              <w:rPr>
                <w:rStyle w:val="15"/>
                <w:rFonts w:eastAsia="等线"/>
                <w:lang w:val="en-US" w:eastAsia="zh-CN" w:bidi="ar"/>
              </w:rPr>
              <w:t>/</w:t>
            </w:r>
            <w:r>
              <w:rPr>
                <w:rStyle w:val="14"/>
                <w:lang w:val="en-US" w:eastAsia="zh-CN" w:bidi="ar"/>
              </w:rPr>
              <w:t>种植面积（数量）。</w:t>
            </w:r>
          </w:p>
        </w:tc>
        <w:tc>
          <w:tcPr>
            <w:tcW w:w="14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每个保险品种覆盖率≥</w:t>
            </w:r>
            <w:r>
              <w:rPr>
                <w:rStyle w:val="15"/>
                <w:rFonts w:eastAsia="等线"/>
                <w:lang w:val="en-US" w:eastAsia="zh-CN" w:bidi="ar"/>
              </w:rPr>
              <w:t>70%</w:t>
            </w:r>
            <w:r>
              <w:rPr>
                <w:rStyle w:val="14"/>
                <w:lang w:val="en-US" w:eastAsia="zh-CN" w:bidi="ar"/>
              </w:rPr>
              <w:t>的，得</w:t>
            </w:r>
            <w:r>
              <w:rPr>
                <w:rStyle w:val="15"/>
                <w:rFonts w:eastAsia="等线"/>
                <w:lang w:val="en-US" w:eastAsia="zh-CN" w:bidi="ar"/>
              </w:rPr>
              <w:t>1.25</w:t>
            </w:r>
            <w:r>
              <w:rPr>
                <w:rStyle w:val="14"/>
                <w:lang w:val="en-US" w:eastAsia="zh-CN" w:bidi="ar"/>
              </w:rPr>
              <w:t>分；</w:t>
            </w:r>
            <w:r>
              <w:rPr>
                <w:rStyle w:val="15"/>
                <w:rFonts w:eastAsia="等线"/>
                <w:lang w:val="en-US" w:eastAsia="zh-CN" w:bidi="ar"/>
              </w:rPr>
              <w:t>60%</w:t>
            </w:r>
            <w:r>
              <w:rPr>
                <w:rStyle w:val="14"/>
                <w:lang w:val="en-US" w:eastAsia="zh-CN" w:bidi="ar"/>
              </w:rPr>
              <w:t>≤覆盖率＜</w:t>
            </w:r>
            <w:r>
              <w:rPr>
                <w:rStyle w:val="15"/>
                <w:rFonts w:eastAsia="等线"/>
                <w:lang w:val="en-US" w:eastAsia="zh-CN" w:bidi="ar"/>
              </w:rPr>
              <w:t>70%</w:t>
            </w:r>
            <w:r>
              <w:rPr>
                <w:rStyle w:val="14"/>
                <w:lang w:val="en-US" w:eastAsia="zh-CN" w:bidi="ar"/>
              </w:rPr>
              <w:t>的，得</w:t>
            </w:r>
            <w:r>
              <w:rPr>
                <w:rStyle w:val="15"/>
                <w:rFonts w:eastAsia="等线"/>
                <w:lang w:val="en-US" w:eastAsia="zh-CN" w:bidi="ar"/>
              </w:rPr>
              <w:t>1</w:t>
            </w:r>
            <w:r>
              <w:rPr>
                <w:rStyle w:val="14"/>
                <w:lang w:val="en-US" w:eastAsia="zh-CN" w:bidi="ar"/>
              </w:rPr>
              <w:t>分；</w:t>
            </w:r>
            <w:r>
              <w:rPr>
                <w:rStyle w:val="15"/>
                <w:rFonts w:eastAsia="等线"/>
                <w:lang w:val="en-US" w:eastAsia="zh-CN" w:bidi="ar"/>
              </w:rPr>
              <w:t>50%</w:t>
            </w:r>
            <w:r>
              <w:rPr>
                <w:rStyle w:val="14"/>
                <w:lang w:val="en-US" w:eastAsia="zh-CN" w:bidi="ar"/>
              </w:rPr>
              <w:t>≤覆盖率＜</w:t>
            </w:r>
            <w:r>
              <w:rPr>
                <w:rStyle w:val="15"/>
                <w:rFonts w:eastAsia="等线"/>
                <w:lang w:val="en-US" w:eastAsia="zh-CN" w:bidi="ar"/>
              </w:rPr>
              <w:t>60%</w:t>
            </w:r>
            <w:r>
              <w:rPr>
                <w:rStyle w:val="14"/>
                <w:lang w:val="en-US" w:eastAsia="zh-CN" w:bidi="ar"/>
              </w:rPr>
              <w:t>的，得</w:t>
            </w:r>
            <w:r>
              <w:rPr>
                <w:rStyle w:val="15"/>
                <w:rFonts w:eastAsia="等线"/>
                <w:lang w:val="en-US" w:eastAsia="zh-CN" w:bidi="ar"/>
              </w:rPr>
              <w:t>0.75</w:t>
            </w:r>
            <w:r>
              <w:rPr>
                <w:rStyle w:val="14"/>
                <w:lang w:val="en-US" w:eastAsia="zh-CN" w:bidi="ar"/>
              </w:rPr>
              <w:t>分；</w:t>
            </w:r>
            <w:r>
              <w:rPr>
                <w:rStyle w:val="15"/>
                <w:rFonts w:eastAsia="等线"/>
                <w:lang w:val="en-US" w:eastAsia="zh-CN" w:bidi="ar"/>
              </w:rPr>
              <w:t>40%</w:t>
            </w:r>
            <w:r>
              <w:rPr>
                <w:rStyle w:val="14"/>
                <w:lang w:val="en-US" w:eastAsia="zh-CN" w:bidi="ar"/>
              </w:rPr>
              <w:t>≤覆盖率＜</w:t>
            </w:r>
            <w:r>
              <w:rPr>
                <w:rStyle w:val="15"/>
                <w:rFonts w:eastAsia="等线"/>
                <w:lang w:val="en-US" w:eastAsia="zh-CN" w:bidi="ar"/>
              </w:rPr>
              <w:t>50%</w:t>
            </w:r>
            <w:r>
              <w:rPr>
                <w:rStyle w:val="14"/>
                <w:lang w:val="en-US" w:eastAsia="zh-CN" w:bidi="ar"/>
              </w:rPr>
              <w:t>的，得</w:t>
            </w:r>
            <w:r>
              <w:rPr>
                <w:rStyle w:val="15"/>
                <w:rFonts w:eastAsia="等线"/>
                <w:lang w:val="en-US" w:eastAsia="zh-CN" w:bidi="ar"/>
              </w:rPr>
              <w:t>0.5</w:t>
            </w:r>
            <w:r>
              <w:rPr>
                <w:rStyle w:val="14"/>
                <w:lang w:val="en-US" w:eastAsia="zh-CN" w:bidi="ar"/>
              </w:rPr>
              <w:t>分；</w:t>
            </w:r>
            <w:r>
              <w:rPr>
                <w:rStyle w:val="15"/>
                <w:rFonts w:eastAsia="等线"/>
                <w:lang w:val="en-US" w:eastAsia="zh-CN" w:bidi="ar"/>
              </w:rPr>
              <w:t>30%</w:t>
            </w:r>
            <w:r>
              <w:rPr>
                <w:rStyle w:val="14"/>
                <w:lang w:val="en-US" w:eastAsia="zh-CN" w:bidi="ar"/>
              </w:rPr>
              <w:t>≤覆盖率＜</w:t>
            </w:r>
            <w:r>
              <w:rPr>
                <w:rStyle w:val="15"/>
                <w:rFonts w:eastAsia="等线"/>
                <w:lang w:val="en-US" w:eastAsia="zh-CN" w:bidi="ar"/>
              </w:rPr>
              <w:t>40%</w:t>
            </w:r>
            <w:r>
              <w:rPr>
                <w:rStyle w:val="14"/>
                <w:lang w:val="en-US" w:eastAsia="zh-CN" w:bidi="ar"/>
              </w:rPr>
              <w:t>的，得</w:t>
            </w:r>
            <w:r>
              <w:rPr>
                <w:rStyle w:val="15"/>
                <w:rFonts w:eastAsia="等线"/>
                <w:lang w:val="en-US" w:eastAsia="zh-CN" w:bidi="ar"/>
              </w:rPr>
              <w:t>0.25</w:t>
            </w:r>
            <w:r>
              <w:rPr>
                <w:rStyle w:val="14"/>
                <w:lang w:val="en-US" w:eastAsia="zh-CN" w:bidi="ar"/>
              </w:rPr>
              <w:t>分；覆盖率＜</w:t>
            </w:r>
            <w:r>
              <w:rPr>
                <w:rStyle w:val="15"/>
                <w:rFonts w:eastAsia="等线"/>
                <w:lang w:val="en-US" w:eastAsia="zh-CN" w:bidi="ar"/>
              </w:rPr>
              <w:t>30%</w:t>
            </w:r>
            <w:r>
              <w:rPr>
                <w:rStyle w:val="14"/>
                <w:lang w:val="en-US" w:eastAsia="zh-CN" w:bidi="ar"/>
              </w:rPr>
              <w:t>的，得</w:t>
            </w:r>
            <w:r>
              <w:rPr>
                <w:rStyle w:val="15"/>
                <w:rFonts w:eastAsia="等线"/>
                <w:lang w:val="en-US" w:eastAsia="zh-CN" w:bidi="ar"/>
              </w:rPr>
              <w:t>0</w:t>
            </w:r>
            <w:r>
              <w:rPr>
                <w:rStyle w:val="14"/>
                <w:lang w:val="en-US" w:eastAsia="zh-CN" w:bidi="ar"/>
              </w:rPr>
              <w:t>分。</w:t>
            </w:r>
            <w:r>
              <w:rPr>
                <w:rStyle w:val="14"/>
                <w:lang w:val="en-US" w:eastAsia="zh-CN" w:bidi="ar"/>
              </w:rPr>
              <w:br w:type="textWrapping"/>
            </w:r>
            <w:r>
              <w:rPr>
                <w:rStyle w:val="14"/>
                <w:lang w:val="en-US" w:eastAsia="zh-CN" w:bidi="ar"/>
              </w:rPr>
              <w:t>该项得分为每个保险品种得分总和，最高不超过</w:t>
            </w:r>
            <w:r>
              <w:rPr>
                <w:rStyle w:val="15"/>
                <w:rFonts w:eastAsia="等线"/>
                <w:lang w:val="en-US" w:eastAsia="zh-CN" w:bidi="ar"/>
              </w:rPr>
              <w:t>5</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保险保障水平</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农业保险保额增幅超过第一产业增加值增幅的程度。</w:t>
            </w:r>
          </w:p>
        </w:tc>
        <w:tc>
          <w:tcPr>
            <w:tcW w:w="14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超过</w:t>
            </w:r>
            <w:r>
              <w:rPr>
                <w:rStyle w:val="15"/>
                <w:rFonts w:eastAsia="等线"/>
                <w:lang w:val="en-US" w:eastAsia="zh-CN" w:bidi="ar"/>
              </w:rPr>
              <w:t>10%</w:t>
            </w:r>
            <w:r>
              <w:rPr>
                <w:rStyle w:val="14"/>
                <w:lang w:val="en-US" w:eastAsia="zh-CN" w:bidi="ar"/>
              </w:rPr>
              <w:t>（</w:t>
            </w:r>
            <w:r>
              <w:rPr>
                <w:rStyle w:val="15"/>
                <w:rFonts w:eastAsia="等线"/>
                <w:lang w:val="en-US" w:eastAsia="zh-CN" w:bidi="ar"/>
              </w:rPr>
              <w:t>3</w:t>
            </w:r>
            <w:r>
              <w:rPr>
                <w:rStyle w:val="14"/>
                <w:lang w:val="en-US" w:eastAsia="zh-CN" w:bidi="ar"/>
              </w:rPr>
              <w:t>分）、</w:t>
            </w:r>
            <w:r>
              <w:rPr>
                <w:rStyle w:val="15"/>
                <w:rFonts w:eastAsia="等线"/>
                <w:lang w:val="en-US" w:eastAsia="zh-CN" w:bidi="ar"/>
              </w:rPr>
              <w:t>8%</w:t>
            </w:r>
            <w:r>
              <w:rPr>
                <w:rStyle w:val="14"/>
                <w:lang w:val="en-US" w:eastAsia="zh-CN" w:bidi="ar"/>
              </w:rPr>
              <w:t>（含）至</w:t>
            </w:r>
            <w:r>
              <w:rPr>
                <w:rStyle w:val="15"/>
                <w:rFonts w:eastAsia="等线"/>
                <w:lang w:val="en-US" w:eastAsia="zh-CN" w:bidi="ar"/>
              </w:rPr>
              <w:t>10%</w:t>
            </w:r>
            <w:r>
              <w:rPr>
                <w:rStyle w:val="14"/>
                <w:lang w:val="en-US" w:eastAsia="zh-CN" w:bidi="ar"/>
              </w:rPr>
              <w:t>（</w:t>
            </w:r>
            <w:r>
              <w:rPr>
                <w:rStyle w:val="15"/>
                <w:rFonts w:eastAsia="等线"/>
                <w:lang w:val="en-US" w:eastAsia="zh-CN" w:bidi="ar"/>
              </w:rPr>
              <w:t>2.5</w:t>
            </w:r>
            <w:r>
              <w:rPr>
                <w:rStyle w:val="14"/>
                <w:lang w:val="en-US" w:eastAsia="zh-CN" w:bidi="ar"/>
              </w:rPr>
              <w:t>分）、</w:t>
            </w:r>
            <w:r>
              <w:rPr>
                <w:rStyle w:val="15"/>
                <w:rFonts w:eastAsia="等线"/>
                <w:lang w:val="en-US" w:eastAsia="zh-CN" w:bidi="ar"/>
              </w:rPr>
              <w:t>6%</w:t>
            </w:r>
            <w:r>
              <w:rPr>
                <w:rStyle w:val="14"/>
                <w:lang w:val="en-US" w:eastAsia="zh-CN" w:bidi="ar"/>
              </w:rPr>
              <w:t>（含）至</w:t>
            </w:r>
            <w:r>
              <w:rPr>
                <w:rStyle w:val="15"/>
                <w:rFonts w:eastAsia="等线"/>
                <w:lang w:val="en-US" w:eastAsia="zh-CN" w:bidi="ar"/>
              </w:rPr>
              <w:t>8%</w:t>
            </w:r>
            <w:r>
              <w:rPr>
                <w:rStyle w:val="14"/>
                <w:lang w:val="en-US" w:eastAsia="zh-CN" w:bidi="ar"/>
              </w:rPr>
              <w:t>（</w:t>
            </w:r>
            <w:r>
              <w:rPr>
                <w:rStyle w:val="15"/>
                <w:rFonts w:eastAsia="等线"/>
                <w:lang w:val="en-US" w:eastAsia="zh-CN" w:bidi="ar"/>
              </w:rPr>
              <w:t>2</w:t>
            </w:r>
            <w:r>
              <w:rPr>
                <w:rStyle w:val="14"/>
                <w:lang w:val="en-US" w:eastAsia="zh-CN" w:bidi="ar"/>
              </w:rPr>
              <w:t>分）、</w:t>
            </w:r>
            <w:r>
              <w:rPr>
                <w:rStyle w:val="15"/>
                <w:rFonts w:eastAsia="等线"/>
                <w:lang w:val="en-US" w:eastAsia="zh-CN" w:bidi="ar"/>
              </w:rPr>
              <w:t>4%</w:t>
            </w:r>
            <w:r>
              <w:rPr>
                <w:rStyle w:val="14"/>
                <w:lang w:val="en-US" w:eastAsia="zh-CN" w:bidi="ar"/>
              </w:rPr>
              <w:t>（含）至</w:t>
            </w:r>
            <w:r>
              <w:rPr>
                <w:rStyle w:val="15"/>
                <w:rFonts w:eastAsia="等线"/>
                <w:lang w:val="en-US" w:eastAsia="zh-CN" w:bidi="ar"/>
              </w:rPr>
              <w:t>6%</w:t>
            </w:r>
            <w:r>
              <w:rPr>
                <w:rStyle w:val="14"/>
                <w:lang w:val="en-US" w:eastAsia="zh-CN" w:bidi="ar"/>
              </w:rPr>
              <w:t>（</w:t>
            </w:r>
            <w:r>
              <w:rPr>
                <w:rStyle w:val="15"/>
                <w:rFonts w:eastAsia="等线"/>
                <w:lang w:val="en-US" w:eastAsia="zh-CN" w:bidi="ar"/>
              </w:rPr>
              <w:t>1.5</w:t>
            </w:r>
            <w:r>
              <w:rPr>
                <w:rStyle w:val="14"/>
                <w:lang w:val="en-US" w:eastAsia="zh-CN" w:bidi="ar"/>
              </w:rPr>
              <w:t>分）、</w:t>
            </w:r>
            <w:r>
              <w:rPr>
                <w:rStyle w:val="15"/>
                <w:rFonts w:eastAsia="等线"/>
                <w:lang w:val="en-US" w:eastAsia="zh-CN" w:bidi="ar"/>
              </w:rPr>
              <w:t>2%</w:t>
            </w:r>
            <w:r>
              <w:rPr>
                <w:rStyle w:val="14"/>
                <w:lang w:val="en-US" w:eastAsia="zh-CN" w:bidi="ar"/>
              </w:rPr>
              <w:t>（含）至</w:t>
            </w:r>
            <w:r>
              <w:rPr>
                <w:rStyle w:val="15"/>
                <w:rFonts w:eastAsia="等线"/>
                <w:lang w:val="en-US" w:eastAsia="zh-CN" w:bidi="ar"/>
              </w:rPr>
              <w:t>4%</w:t>
            </w:r>
            <w:r>
              <w:rPr>
                <w:rStyle w:val="14"/>
                <w:lang w:val="en-US" w:eastAsia="zh-CN" w:bidi="ar"/>
              </w:rPr>
              <w:t>（</w:t>
            </w:r>
            <w:r>
              <w:rPr>
                <w:rStyle w:val="15"/>
                <w:rFonts w:eastAsia="等线"/>
                <w:lang w:val="en-US" w:eastAsia="zh-CN" w:bidi="ar"/>
              </w:rPr>
              <w:t>1</w:t>
            </w:r>
            <w:r>
              <w:rPr>
                <w:rStyle w:val="14"/>
                <w:lang w:val="en-US" w:eastAsia="zh-CN" w:bidi="ar"/>
              </w:rPr>
              <w:t>分）、</w:t>
            </w:r>
            <w:r>
              <w:rPr>
                <w:rStyle w:val="15"/>
                <w:rFonts w:eastAsia="等线"/>
                <w:lang w:val="en-US" w:eastAsia="zh-CN" w:bidi="ar"/>
              </w:rPr>
              <w:t>2%</w:t>
            </w:r>
            <w:r>
              <w:rPr>
                <w:rStyle w:val="14"/>
                <w:lang w:val="en-US" w:eastAsia="zh-CN" w:bidi="ar"/>
              </w:rPr>
              <w:t>以下（</w:t>
            </w:r>
            <w:r>
              <w:rPr>
                <w:rStyle w:val="15"/>
                <w:rFonts w:eastAsia="等线"/>
                <w:lang w:val="en-US" w:eastAsia="zh-CN" w:bidi="ar"/>
              </w:rPr>
              <w:t>0</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项目效益</w:t>
            </w:r>
          </w:p>
        </w:tc>
        <w:tc>
          <w:tcPr>
            <w:tcW w:w="6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农户受益度</w:t>
            </w:r>
          </w:p>
        </w:tc>
        <w:tc>
          <w:tcPr>
            <w:tcW w:w="2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区县农业保险保费补贴使农户受益的程度。</w:t>
            </w:r>
          </w:p>
        </w:tc>
        <w:tc>
          <w:tcPr>
            <w:tcW w:w="14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出险后，农户获得的赔款总金额为受灾农户自缴保费金额的</w:t>
            </w:r>
            <w:r>
              <w:rPr>
                <w:rStyle w:val="15"/>
                <w:rFonts w:eastAsia="等线"/>
                <w:lang w:val="en-US" w:eastAsia="zh-CN" w:bidi="ar"/>
              </w:rPr>
              <w:t>8</w:t>
            </w:r>
            <w:r>
              <w:rPr>
                <w:rStyle w:val="14"/>
                <w:lang w:val="en-US" w:eastAsia="zh-CN" w:bidi="ar"/>
              </w:rPr>
              <w:t>倍（含）以上（</w:t>
            </w:r>
            <w:r>
              <w:rPr>
                <w:rStyle w:val="15"/>
                <w:rFonts w:eastAsia="等线"/>
                <w:lang w:val="en-US" w:eastAsia="zh-CN" w:bidi="ar"/>
              </w:rPr>
              <w:t>3</w:t>
            </w:r>
            <w:r>
              <w:rPr>
                <w:rStyle w:val="14"/>
                <w:lang w:val="en-US" w:eastAsia="zh-CN" w:bidi="ar"/>
              </w:rPr>
              <w:t>分）、</w:t>
            </w:r>
            <w:r>
              <w:rPr>
                <w:rStyle w:val="15"/>
                <w:rFonts w:eastAsia="等线"/>
                <w:lang w:val="en-US" w:eastAsia="zh-CN" w:bidi="ar"/>
              </w:rPr>
              <w:t>6</w:t>
            </w:r>
            <w:r>
              <w:rPr>
                <w:rStyle w:val="14"/>
                <w:lang w:val="en-US" w:eastAsia="zh-CN" w:bidi="ar"/>
              </w:rPr>
              <w:t>倍（含）至</w:t>
            </w:r>
            <w:r>
              <w:rPr>
                <w:rStyle w:val="15"/>
                <w:rFonts w:eastAsia="等线"/>
                <w:lang w:val="en-US" w:eastAsia="zh-CN" w:bidi="ar"/>
              </w:rPr>
              <w:t>8</w:t>
            </w:r>
            <w:r>
              <w:rPr>
                <w:rStyle w:val="14"/>
                <w:lang w:val="en-US" w:eastAsia="zh-CN" w:bidi="ar"/>
              </w:rPr>
              <w:t>倍（</w:t>
            </w:r>
            <w:r>
              <w:rPr>
                <w:rStyle w:val="15"/>
                <w:rFonts w:eastAsia="等线"/>
                <w:lang w:val="en-US" w:eastAsia="zh-CN" w:bidi="ar"/>
              </w:rPr>
              <w:t>2.5</w:t>
            </w:r>
            <w:r>
              <w:rPr>
                <w:rStyle w:val="14"/>
                <w:lang w:val="en-US" w:eastAsia="zh-CN" w:bidi="ar"/>
              </w:rPr>
              <w:t>分）、</w:t>
            </w:r>
            <w:r>
              <w:rPr>
                <w:rStyle w:val="15"/>
                <w:rFonts w:eastAsia="等线"/>
                <w:lang w:val="en-US" w:eastAsia="zh-CN" w:bidi="ar"/>
              </w:rPr>
              <w:t>4</w:t>
            </w:r>
            <w:r>
              <w:rPr>
                <w:rStyle w:val="14"/>
                <w:lang w:val="en-US" w:eastAsia="zh-CN" w:bidi="ar"/>
              </w:rPr>
              <w:t>倍（含）至</w:t>
            </w:r>
            <w:r>
              <w:rPr>
                <w:rStyle w:val="15"/>
                <w:rFonts w:eastAsia="等线"/>
                <w:lang w:val="en-US" w:eastAsia="zh-CN" w:bidi="ar"/>
              </w:rPr>
              <w:t>6</w:t>
            </w:r>
            <w:r>
              <w:rPr>
                <w:rStyle w:val="14"/>
                <w:lang w:val="en-US" w:eastAsia="zh-CN" w:bidi="ar"/>
              </w:rPr>
              <w:t>倍（</w:t>
            </w:r>
            <w:r>
              <w:rPr>
                <w:rStyle w:val="15"/>
                <w:rFonts w:eastAsia="等线"/>
                <w:lang w:val="en-US" w:eastAsia="zh-CN" w:bidi="ar"/>
              </w:rPr>
              <w:t>2</w:t>
            </w:r>
            <w:r>
              <w:rPr>
                <w:rStyle w:val="14"/>
                <w:lang w:val="en-US" w:eastAsia="zh-CN" w:bidi="ar"/>
              </w:rPr>
              <w:t>分）、</w:t>
            </w:r>
            <w:r>
              <w:rPr>
                <w:rStyle w:val="15"/>
                <w:rFonts w:eastAsia="等线"/>
                <w:lang w:val="en-US" w:eastAsia="zh-CN" w:bidi="ar"/>
              </w:rPr>
              <w:t>2</w:t>
            </w:r>
            <w:r>
              <w:rPr>
                <w:rStyle w:val="14"/>
                <w:lang w:val="en-US" w:eastAsia="zh-CN" w:bidi="ar"/>
              </w:rPr>
              <w:t>倍（含）至</w:t>
            </w:r>
            <w:r>
              <w:rPr>
                <w:rStyle w:val="15"/>
                <w:rFonts w:eastAsia="等线"/>
                <w:lang w:val="en-US" w:eastAsia="zh-CN" w:bidi="ar"/>
              </w:rPr>
              <w:t>4</w:t>
            </w:r>
            <w:r>
              <w:rPr>
                <w:rStyle w:val="14"/>
                <w:lang w:val="en-US" w:eastAsia="zh-CN" w:bidi="ar"/>
              </w:rPr>
              <w:t>倍（</w:t>
            </w:r>
            <w:r>
              <w:rPr>
                <w:rStyle w:val="15"/>
                <w:rFonts w:eastAsia="等线"/>
                <w:lang w:val="en-US" w:eastAsia="zh-CN" w:bidi="ar"/>
              </w:rPr>
              <w:t>1.5</w:t>
            </w:r>
            <w:r>
              <w:rPr>
                <w:rStyle w:val="14"/>
                <w:lang w:val="en-US" w:eastAsia="zh-CN" w:bidi="ar"/>
              </w:rPr>
              <w:t>分）、</w:t>
            </w:r>
            <w:r>
              <w:rPr>
                <w:rStyle w:val="15"/>
                <w:rFonts w:eastAsia="等线"/>
                <w:lang w:val="en-US" w:eastAsia="zh-CN" w:bidi="ar"/>
              </w:rPr>
              <w:t>1</w:t>
            </w:r>
            <w:r>
              <w:rPr>
                <w:rStyle w:val="14"/>
                <w:lang w:val="en-US" w:eastAsia="zh-CN" w:bidi="ar"/>
              </w:rPr>
              <w:t>倍（含）至</w:t>
            </w:r>
            <w:r>
              <w:rPr>
                <w:rStyle w:val="15"/>
                <w:rFonts w:eastAsia="等线"/>
                <w:lang w:val="en-US" w:eastAsia="zh-CN" w:bidi="ar"/>
              </w:rPr>
              <w:t>2</w:t>
            </w:r>
            <w:r>
              <w:rPr>
                <w:rStyle w:val="14"/>
                <w:lang w:val="en-US" w:eastAsia="zh-CN" w:bidi="ar"/>
              </w:rPr>
              <w:t>倍（</w:t>
            </w:r>
            <w:r>
              <w:rPr>
                <w:rStyle w:val="15"/>
                <w:rFonts w:eastAsia="等线"/>
                <w:lang w:val="en-US" w:eastAsia="zh-CN" w:bidi="ar"/>
              </w:rPr>
              <w:t>1</w:t>
            </w:r>
            <w:r>
              <w:rPr>
                <w:rStyle w:val="14"/>
                <w:lang w:val="en-US" w:eastAsia="zh-CN" w:bidi="ar"/>
              </w:rPr>
              <w:t>分），赔款总金额低于农户自缴保费金额的（</w:t>
            </w:r>
            <w:r>
              <w:rPr>
                <w:rStyle w:val="15"/>
                <w:rFonts w:eastAsia="等线"/>
                <w:lang w:val="en-US" w:eastAsia="zh-CN" w:bidi="ar"/>
              </w:rPr>
              <w:t>0</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color w:val="000000"/>
                <w:sz w:val="24"/>
                <w:szCs w:val="24"/>
                <w:u w:val="none"/>
              </w:rPr>
            </w:pPr>
          </w:p>
        </w:tc>
        <w:tc>
          <w:tcPr>
            <w:tcW w:w="6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减少灾害损失</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抽取一定数量不同程度农户为样本，以样本农户保险赔款与成本损失之比，反映受灾农户成本损失补偿情况。损失补偿率</w:t>
            </w:r>
            <w:r>
              <w:rPr>
                <w:rStyle w:val="15"/>
                <w:rFonts w:eastAsia="等线"/>
                <w:lang w:val="en-US" w:eastAsia="zh-CN" w:bidi="ar"/>
              </w:rPr>
              <w:t>=</w:t>
            </w:r>
            <w:r>
              <w:rPr>
                <w:rStyle w:val="14"/>
                <w:lang w:val="en-US" w:eastAsia="zh-CN" w:bidi="ar"/>
              </w:rPr>
              <w:t>农户保险赔款金额</w:t>
            </w:r>
            <w:r>
              <w:rPr>
                <w:rStyle w:val="15"/>
                <w:rFonts w:eastAsia="等线"/>
                <w:lang w:val="en-US" w:eastAsia="zh-CN" w:bidi="ar"/>
              </w:rPr>
              <w:t>/</w:t>
            </w:r>
            <w:r>
              <w:rPr>
                <w:rStyle w:val="14"/>
                <w:lang w:val="en-US" w:eastAsia="zh-CN" w:bidi="ar"/>
              </w:rPr>
              <w:t>生产成本损失</w:t>
            </w:r>
            <w:r>
              <w:rPr>
                <w:rStyle w:val="15"/>
                <w:rFonts w:eastAsia="等线"/>
                <w:lang w:val="en-US" w:eastAsia="zh-CN" w:bidi="ar"/>
              </w:rPr>
              <w:t>*100%</w:t>
            </w:r>
            <w:r>
              <w:rPr>
                <w:rStyle w:val="14"/>
                <w:lang w:val="en-US" w:eastAsia="zh-CN" w:bidi="ar"/>
              </w:rPr>
              <w:t>。</w:t>
            </w:r>
          </w:p>
        </w:tc>
        <w:tc>
          <w:tcPr>
            <w:tcW w:w="1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受灾农户生产成本损失补偿率</w:t>
            </w:r>
            <w:r>
              <w:rPr>
                <w:rStyle w:val="15"/>
                <w:rFonts w:eastAsia="等线"/>
                <w:lang w:val="en-US" w:eastAsia="zh-CN" w:bidi="ar"/>
              </w:rPr>
              <w:t>90%</w:t>
            </w:r>
            <w:r>
              <w:rPr>
                <w:rStyle w:val="14"/>
                <w:lang w:val="en-US" w:eastAsia="zh-CN" w:bidi="ar"/>
              </w:rPr>
              <w:t>（含）以上（</w:t>
            </w:r>
            <w:r>
              <w:rPr>
                <w:rStyle w:val="15"/>
                <w:rFonts w:eastAsia="等线"/>
                <w:lang w:val="en-US" w:eastAsia="zh-CN" w:bidi="ar"/>
              </w:rPr>
              <w:t>3</w:t>
            </w:r>
            <w:r>
              <w:rPr>
                <w:rStyle w:val="14"/>
                <w:lang w:val="en-US" w:eastAsia="zh-CN" w:bidi="ar"/>
              </w:rPr>
              <w:t>分）、</w:t>
            </w:r>
            <w:r>
              <w:rPr>
                <w:rStyle w:val="15"/>
                <w:rFonts w:eastAsia="等线"/>
                <w:lang w:val="en-US" w:eastAsia="zh-CN" w:bidi="ar"/>
              </w:rPr>
              <w:t>70%</w:t>
            </w:r>
            <w:r>
              <w:rPr>
                <w:rStyle w:val="14"/>
                <w:lang w:val="en-US" w:eastAsia="zh-CN" w:bidi="ar"/>
              </w:rPr>
              <w:t>（含）至</w:t>
            </w:r>
            <w:r>
              <w:rPr>
                <w:rStyle w:val="15"/>
                <w:rFonts w:eastAsia="等线"/>
                <w:lang w:val="en-US" w:eastAsia="zh-CN" w:bidi="ar"/>
              </w:rPr>
              <w:t>90%</w:t>
            </w:r>
            <w:r>
              <w:rPr>
                <w:rStyle w:val="14"/>
                <w:lang w:val="en-US" w:eastAsia="zh-CN" w:bidi="ar"/>
              </w:rPr>
              <w:t>（</w:t>
            </w:r>
            <w:r>
              <w:rPr>
                <w:rStyle w:val="15"/>
                <w:rFonts w:eastAsia="等线"/>
                <w:lang w:val="en-US" w:eastAsia="zh-CN" w:bidi="ar"/>
              </w:rPr>
              <w:t>2</w:t>
            </w:r>
            <w:r>
              <w:rPr>
                <w:rStyle w:val="14"/>
                <w:lang w:val="en-US" w:eastAsia="zh-CN" w:bidi="ar"/>
              </w:rPr>
              <w:t>分）、</w:t>
            </w:r>
            <w:r>
              <w:rPr>
                <w:rStyle w:val="15"/>
                <w:rFonts w:eastAsia="等线"/>
                <w:lang w:val="en-US" w:eastAsia="zh-CN" w:bidi="ar"/>
              </w:rPr>
              <w:t>50%</w:t>
            </w:r>
            <w:r>
              <w:rPr>
                <w:rStyle w:val="14"/>
                <w:lang w:val="en-US" w:eastAsia="zh-CN" w:bidi="ar"/>
              </w:rPr>
              <w:t>（含）至</w:t>
            </w:r>
            <w:r>
              <w:rPr>
                <w:rStyle w:val="15"/>
                <w:rFonts w:eastAsia="等线"/>
                <w:lang w:val="en-US" w:eastAsia="zh-CN" w:bidi="ar"/>
              </w:rPr>
              <w:t>70%</w:t>
            </w:r>
            <w:r>
              <w:rPr>
                <w:rStyle w:val="14"/>
                <w:lang w:val="en-US" w:eastAsia="zh-CN" w:bidi="ar"/>
              </w:rPr>
              <w:t>（</w:t>
            </w:r>
            <w:r>
              <w:rPr>
                <w:rStyle w:val="15"/>
                <w:rFonts w:eastAsia="等线"/>
                <w:lang w:val="en-US" w:eastAsia="zh-CN" w:bidi="ar"/>
              </w:rPr>
              <w:t>1</w:t>
            </w:r>
            <w:r>
              <w:rPr>
                <w:rStyle w:val="14"/>
                <w:lang w:val="en-US" w:eastAsia="zh-CN" w:bidi="ar"/>
              </w:rPr>
              <w:t>分）、</w:t>
            </w:r>
            <w:r>
              <w:rPr>
                <w:rStyle w:val="15"/>
                <w:rFonts w:eastAsia="等线"/>
                <w:lang w:val="en-US" w:eastAsia="zh-CN" w:bidi="ar"/>
              </w:rPr>
              <w:t>50%</w:t>
            </w:r>
            <w:r>
              <w:rPr>
                <w:rStyle w:val="14"/>
                <w:lang w:val="en-US" w:eastAsia="zh-CN" w:bidi="ar"/>
              </w:rPr>
              <w:t>以下（</w:t>
            </w:r>
            <w:r>
              <w:rPr>
                <w:rStyle w:val="15"/>
                <w:rFonts w:eastAsia="等线"/>
                <w:lang w:val="en-US" w:eastAsia="zh-CN" w:bidi="ar"/>
              </w:rPr>
              <w:t>0</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color w:val="000000"/>
                <w:sz w:val="24"/>
                <w:szCs w:val="24"/>
                <w:u w:val="none"/>
              </w:rPr>
            </w:pPr>
          </w:p>
        </w:tc>
        <w:tc>
          <w:tcPr>
            <w:tcW w:w="6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促进生产集约化</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户均投保面积变化情况。</w:t>
            </w:r>
          </w:p>
        </w:tc>
        <w:tc>
          <w:tcPr>
            <w:tcW w:w="1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户均投保面积同比提高</w:t>
            </w:r>
            <w:r>
              <w:rPr>
                <w:rStyle w:val="15"/>
                <w:rFonts w:eastAsia="等线"/>
                <w:lang w:val="en-US" w:eastAsia="zh-CN" w:bidi="ar"/>
              </w:rPr>
              <w:t>3%</w:t>
            </w:r>
            <w:r>
              <w:rPr>
                <w:rStyle w:val="14"/>
                <w:lang w:val="en-US" w:eastAsia="zh-CN" w:bidi="ar"/>
              </w:rPr>
              <w:t>及以上（</w:t>
            </w:r>
            <w:r>
              <w:rPr>
                <w:rStyle w:val="15"/>
                <w:rFonts w:eastAsia="等线"/>
                <w:lang w:val="en-US" w:eastAsia="zh-CN" w:bidi="ar"/>
              </w:rPr>
              <w:t>3</w:t>
            </w:r>
            <w:r>
              <w:rPr>
                <w:rStyle w:val="14"/>
                <w:lang w:val="en-US" w:eastAsia="zh-CN" w:bidi="ar"/>
              </w:rPr>
              <w:t>分）、</w:t>
            </w:r>
            <w:r>
              <w:rPr>
                <w:rStyle w:val="15"/>
                <w:rFonts w:eastAsia="等线"/>
                <w:lang w:val="en-US" w:eastAsia="zh-CN" w:bidi="ar"/>
              </w:rPr>
              <w:t>2%</w:t>
            </w:r>
            <w:r>
              <w:rPr>
                <w:rStyle w:val="14"/>
                <w:lang w:val="en-US" w:eastAsia="zh-CN" w:bidi="ar"/>
              </w:rPr>
              <w:t>及以上（</w:t>
            </w:r>
            <w:r>
              <w:rPr>
                <w:rStyle w:val="15"/>
                <w:rFonts w:eastAsia="等线"/>
                <w:lang w:val="en-US" w:eastAsia="zh-CN" w:bidi="ar"/>
              </w:rPr>
              <w:t>2</w:t>
            </w:r>
            <w:r>
              <w:rPr>
                <w:rStyle w:val="14"/>
                <w:lang w:val="en-US" w:eastAsia="zh-CN" w:bidi="ar"/>
              </w:rPr>
              <w:t>分）、</w:t>
            </w:r>
            <w:r>
              <w:rPr>
                <w:rStyle w:val="15"/>
                <w:rFonts w:eastAsia="等线"/>
                <w:lang w:val="en-US" w:eastAsia="zh-CN" w:bidi="ar"/>
              </w:rPr>
              <w:t>1%</w:t>
            </w:r>
            <w:r>
              <w:rPr>
                <w:rStyle w:val="14"/>
                <w:lang w:val="en-US" w:eastAsia="zh-CN" w:bidi="ar"/>
              </w:rPr>
              <w:t>及以上（</w:t>
            </w:r>
            <w:r>
              <w:rPr>
                <w:rStyle w:val="15"/>
                <w:rFonts w:eastAsia="等线"/>
                <w:lang w:val="en-US" w:eastAsia="zh-CN" w:bidi="ar"/>
              </w:rPr>
              <w:t>1</w:t>
            </w:r>
            <w:r>
              <w:rPr>
                <w:rStyle w:val="14"/>
                <w:lang w:val="en-US" w:eastAsia="zh-CN" w:bidi="ar"/>
              </w:rPr>
              <w:t>分）</w:t>
            </w:r>
            <w:r>
              <w:rPr>
                <w:rStyle w:val="15"/>
                <w:rFonts w:eastAsia="等线"/>
                <w:lang w:val="en-US" w:eastAsia="zh-CN" w:bidi="ar"/>
              </w:rPr>
              <w:t>1%</w:t>
            </w:r>
            <w:r>
              <w:rPr>
                <w:rStyle w:val="14"/>
                <w:lang w:val="en-US" w:eastAsia="zh-CN" w:bidi="ar"/>
              </w:rPr>
              <w:t>以下（</w:t>
            </w:r>
            <w:r>
              <w:rPr>
                <w:rStyle w:val="15"/>
                <w:rFonts w:eastAsia="等线"/>
                <w:lang w:val="en-US" w:eastAsia="zh-CN" w:bidi="ar"/>
              </w:rPr>
              <w:t>0</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满意度</w:t>
            </w:r>
          </w:p>
        </w:tc>
        <w:tc>
          <w:tcPr>
            <w:tcW w:w="6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政策知晓率</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随机抽取一定数量的农户调查其对农业保险政策的知晓度。知晓度</w:t>
            </w:r>
            <w:r>
              <w:rPr>
                <w:rStyle w:val="15"/>
                <w:rFonts w:eastAsia="等线"/>
                <w:lang w:val="en-US" w:eastAsia="zh-CN" w:bidi="ar"/>
              </w:rPr>
              <w:t>=</w:t>
            </w:r>
            <w:r>
              <w:rPr>
                <w:rStyle w:val="14"/>
                <w:lang w:val="en-US" w:eastAsia="zh-CN" w:bidi="ar"/>
              </w:rPr>
              <w:t>知晓人数</w:t>
            </w:r>
            <w:r>
              <w:rPr>
                <w:rStyle w:val="15"/>
                <w:rFonts w:eastAsia="等线"/>
                <w:lang w:val="en-US" w:eastAsia="zh-CN" w:bidi="ar"/>
              </w:rPr>
              <w:t>/</w:t>
            </w:r>
            <w:r>
              <w:rPr>
                <w:rStyle w:val="14"/>
                <w:lang w:val="en-US" w:eastAsia="zh-CN" w:bidi="ar"/>
              </w:rPr>
              <w:t>调查总人数</w:t>
            </w:r>
            <w:r>
              <w:rPr>
                <w:rStyle w:val="15"/>
                <w:rFonts w:eastAsia="等线"/>
                <w:lang w:val="en-US" w:eastAsia="zh-CN" w:bidi="ar"/>
              </w:rPr>
              <w:t>*100%</w:t>
            </w:r>
            <w:r>
              <w:rPr>
                <w:rStyle w:val="14"/>
                <w:lang w:val="en-US" w:eastAsia="zh-CN" w:bidi="ar"/>
              </w:rPr>
              <w:t>。</w:t>
            </w:r>
          </w:p>
        </w:tc>
        <w:tc>
          <w:tcPr>
            <w:tcW w:w="1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知晓率</w:t>
            </w:r>
            <w:r>
              <w:rPr>
                <w:rStyle w:val="15"/>
                <w:rFonts w:eastAsia="等线"/>
                <w:lang w:val="en-US" w:eastAsia="zh-CN" w:bidi="ar"/>
              </w:rPr>
              <w:t>90%</w:t>
            </w:r>
            <w:r>
              <w:rPr>
                <w:rStyle w:val="14"/>
                <w:lang w:val="en-US" w:eastAsia="zh-CN" w:bidi="ar"/>
              </w:rPr>
              <w:t>（含）以上（</w:t>
            </w:r>
            <w:r>
              <w:rPr>
                <w:rStyle w:val="15"/>
                <w:rFonts w:eastAsia="等线"/>
                <w:lang w:val="en-US" w:eastAsia="zh-CN" w:bidi="ar"/>
              </w:rPr>
              <w:t>4</w:t>
            </w:r>
            <w:r>
              <w:rPr>
                <w:rStyle w:val="14"/>
                <w:lang w:val="en-US" w:eastAsia="zh-CN" w:bidi="ar"/>
              </w:rPr>
              <w:t>分）、</w:t>
            </w:r>
            <w:r>
              <w:rPr>
                <w:rStyle w:val="15"/>
                <w:rFonts w:eastAsia="等线"/>
                <w:lang w:val="en-US" w:eastAsia="zh-CN" w:bidi="ar"/>
              </w:rPr>
              <w:t>70%</w:t>
            </w:r>
            <w:r>
              <w:rPr>
                <w:rStyle w:val="14"/>
                <w:lang w:val="en-US" w:eastAsia="zh-CN" w:bidi="ar"/>
              </w:rPr>
              <w:t>（含）至</w:t>
            </w:r>
            <w:r>
              <w:rPr>
                <w:rStyle w:val="15"/>
                <w:rFonts w:eastAsia="等线"/>
                <w:lang w:val="en-US" w:eastAsia="zh-CN" w:bidi="ar"/>
              </w:rPr>
              <w:t>90%</w:t>
            </w:r>
            <w:r>
              <w:rPr>
                <w:rStyle w:val="14"/>
                <w:lang w:val="en-US" w:eastAsia="zh-CN" w:bidi="ar"/>
              </w:rPr>
              <w:t>（</w:t>
            </w:r>
            <w:r>
              <w:rPr>
                <w:rStyle w:val="15"/>
                <w:rFonts w:eastAsia="等线"/>
                <w:lang w:val="en-US" w:eastAsia="zh-CN" w:bidi="ar"/>
              </w:rPr>
              <w:t>3</w:t>
            </w:r>
            <w:r>
              <w:rPr>
                <w:rStyle w:val="14"/>
                <w:lang w:val="en-US" w:eastAsia="zh-CN" w:bidi="ar"/>
              </w:rPr>
              <w:t>分）、</w:t>
            </w:r>
            <w:r>
              <w:rPr>
                <w:rStyle w:val="15"/>
                <w:rFonts w:eastAsia="等线"/>
                <w:lang w:val="en-US" w:eastAsia="zh-CN" w:bidi="ar"/>
              </w:rPr>
              <w:t>50%</w:t>
            </w:r>
            <w:r>
              <w:rPr>
                <w:rStyle w:val="14"/>
                <w:lang w:val="en-US" w:eastAsia="zh-CN" w:bidi="ar"/>
              </w:rPr>
              <w:t>（含）至</w:t>
            </w:r>
            <w:r>
              <w:rPr>
                <w:rStyle w:val="15"/>
                <w:rFonts w:eastAsia="等线"/>
                <w:lang w:val="en-US" w:eastAsia="zh-CN" w:bidi="ar"/>
              </w:rPr>
              <w:t>70%</w:t>
            </w:r>
            <w:r>
              <w:rPr>
                <w:rStyle w:val="14"/>
                <w:lang w:val="en-US" w:eastAsia="zh-CN" w:bidi="ar"/>
              </w:rPr>
              <w:t>（</w:t>
            </w:r>
            <w:r>
              <w:rPr>
                <w:rStyle w:val="15"/>
                <w:rFonts w:eastAsia="等线"/>
                <w:lang w:val="en-US" w:eastAsia="zh-CN" w:bidi="ar"/>
              </w:rPr>
              <w:t>2</w:t>
            </w:r>
            <w:r>
              <w:rPr>
                <w:rStyle w:val="14"/>
                <w:lang w:val="en-US" w:eastAsia="zh-CN" w:bidi="ar"/>
              </w:rPr>
              <w:t>分）、</w:t>
            </w:r>
            <w:r>
              <w:rPr>
                <w:rStyle w:val="15"/>
                <w:rFonts w:eastAsia="等线"/>
                <w:lang w:val="en-US" w:eastAsia="zh-CN" w:bidi="ar"/>
              </w:rPr>
              <w:t>20%</w:t>
            </w:r>
            <w:r>
              <w:rPr>
                <w:rStyle w:val="14"/>
                <w:lang w:val="en-US" w:eastAsia="zh-CN" w:bidi="ar"/>
              </w:rPr>
              <w:t>（含）至</w:t>
            </w:r>
            <w:r>
              <w:rPr>
                <w:rStyle w:val="15"/>
                <w:rFonts w:eastAsia="等线"/>
                <w:lang w:val="en-US" w:eastAsia="zh-CN" w:bidi="ar"/>
              </w:rPr>
              <w:t>50%</w:t>
            </w:r>
            <w:r>
              <w:rPr>
                <w:rStyle w:val="14"/>
                <w:lang w:val="en-US" w:eastAsia="zh-CN" w:bidi="ar"/>
              </w:rPr>
              <w:t>（</w:t>
            </w:r>
            <w:r>
              <w:rPr>
                <w:rStyle w:val="15"/>
                <w:rFonts w:eastAsia="等线"/>
                <w:lang w:val="en-US" w:eastAsia="zh-CN" w:bidi="ar"/>
              </w:rPr>
              <w:t>1</w:t>
            </w:r>
            <w:r>
              <w:rPr>
                <w:rStyle w:val="14"/>
                <w:lang w:val="en-US" w:eastAsia="zh-CN" w:bidi="ar"/>
              </w:rPr>
              <w:t>分）、</w:t>
            </w:r>
            <w:r>
              <w:rPr>
                <w:rStyle w:val="15"/>
                <w:rFonts w:eastAsia="等线"/>
                <w:lang w:val="en-US" w:eastAsia="zh-CN" w:bidi="ar"/>
              </w:rPr>
              <w:t>20%</w:t>
            </w:r>
            <w:r>
              <w:rPr>
                <w:rStyle w:val="14"/>
                <w:lang w:val="en-US" w:eastAsia="zh-CN" w:bidi="ar"/>
              </w:rPr>
              <w:t>以下（</w:t>
            </w:r>
            <w:r>
              <w:rPr>
                <w:rStyle w:val="15"/>
                <w:rFonts w:eastAsia="等线"/>
                <w:lang w:val="en-US" w:eastAsia="zh-CN" w:bidi="ar"/>
              </w:rPr>
              <w:t>0</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8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color w:val="000000"/>
                <w:sz w:val="24"/>
                <w:szCs w:val="24"/>
                <w:u w:val="none"/>
              </w:rPr>
            </w:pPr>
          </w:p>
        </w:tc>
        <w:tc>
          <w:tcPr>
            <w:tcW w:w="93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color w:val="000000"/>
                <w:sz w:val="24"/>
                <w:szCs w:val="24"/>
                <w:u w:val="none"/>
              </w:rPr>
            </w:pPr>
          </w:p>
        </w:tc>
        <w:tc>
          <w:tcPr>
            <w:tcW w:w="6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14"/>
                <w:lang w:val="en-US" w:eastAsia="zh-CN" w:bidi="ar"/>
              </w:rPr>
              <w:t>满意率</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随机抽取一定数量的农户（其中投保未出险农户、投保出险农户各占</w:t>
            </w:r>
            <w:r>
              <w:rPr>
                <w:rStyle w:val="15"/>
                <w:rFonts w:eastAsia="等线"/>
                <w:lang w:val="en-US" w:eastAsia="zh-CN" w:bidi="ar"/>
              </w:rPr>
              <w:t>50%</w:t>
            </w:r>
            <w:r>
              <w:rPr>
                <w:rStyle w:val="14"/>
                <w:lang w:val="en-US" w:eastAsia="zh-CN" w:bidi="ar"/>
              </w:rPr>
              <w:t>），调查其对农业保险服务是否满意。满意率</w:t>
            </w:r>
            <w:r>
              <w:rPr>
                <w:rStyle w:val="15"/>
                <w:rFonts w:eastAsia="等线"/>
                <w:lang w:val="en-US" w:eastAsia="zh-CN" w:bidi="ar"/>
              </w:rPr>
              <w:t>=</w:t>
            </w:r>
            <w:r>
              <w:rPr>
                <w:rStyle w:val="14"/>
                <w:lang w:val="en-US" w:eastAsia="zh-CN" w:bidi="ar"/>
              </w:rPr>
              <w:t>满意人数</w:t>
            </w:r>
            <w:r>
              <w:rPr>
                <w:rStyle w:val="15"/>
                <w:rFonts w:eastAsia="等线"/>
                <w:lang w:val="en-US" w:eastAsia="zh-CN" w:bidi="ar"/>
              </w:rPr>
              <w:t>/</w:t>
            </w:r>
            <w:r>
              <w:rPr>
                <w:rStyle w:val="14"/>
                <w:lang w:val="en-US" w:eastAsia="zh-CN" w:bidi="ar"/>
              </w:rPr>
              <w:t>调查总人数</w:t>
            </w:r>
            <w:r>
              <w:rPr>
                <w:rStyle w:val="15"/>
                <w:rFonts w:eastAsia="等线"/>
                <w:lang w:val="en-US" w:eastAsia="zh-CN" w:bidi="ar"/>
              </w:rPr>
              <w:t>*100%</w:t>
            </w:r>
            <w:r>
              <w:rPr>
                <w:rStyle w:val="14"/>
                <w:lang w:val="en-US" w:eastAsia="zh-CN" w:bidi="ar"/>
              </w:rPr>
              <w:t>。</w:t>
            </w:r>
          </w:p>
        </w:tc>
        <w:tc>
          <w:tcPr>
            <w:tcW w:w="1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满意率</w:t>
            </w:r>
            <w:r>
              <w:rPr>
                <w:rStyle w:val="15"/>
                <w:rFonts w:eastAsia="等线"/>
                <w:lang w:val="en-US" w:eastAsia="zh-CN" w:bidi="ar"/>
              </w:rPr>
              <w:t>90%</w:t>
            </w:r>
            <w:r>
              <w:rPr>
                <w:rStyle w:val="14"/>
                <w:lang w:val="en-US" w:eastAsia="zh-CN" w:bidi="ar"/>
              </w:rPr>
              <w:t>（含）以上（</w:t>
            </w:r>
            <w:r>
              <w:rPr>
                <w:rStyle w:val="15"/>
                <w:rFonts w:eastAsia="等线"/>
                <w:lang w:val="en-US" w:eastAsia="zh-CN" w:bidi="ar"/>
              </w:rPr>
              <w:t>4</w:t>
            </w:r>
            <w:r>
              <w:rPr>
                <w:rStyle w:val="14"/>
                <w:lang w:val="en-US" w:eastAsia="zh-CN" w:bidi="ar"/>
              </w:rPr>
              <w:t>分）、</w:t>
            </w:r>
            <w:r>
              <w:rPr>
                <w:rStyle w:val="15"/>
                <w:rFonts w:eastAsia="等线"/>
                <w:lang w:val="en-US" w:eastAsia="zh-CN" w:bidi="ar"/>
              </w:rPr>
              <w:t>70%</w:t>
            </w:r>
            <w:r>
              <w:rPr>
                <w:rStyle w:val="14"/>
                <w:lang w:val="en-US" w:eastAsia="zh-CN" w:bidi="ar"/>
              </w:rPr>
              <w:t>（含）至</w:t>
            </w:r>
            <w:r>
              <w:rPr>
                <w:rStyle w:val="15"/>
                <w:rFonts w:eastAsia="等线"/>
                <w:lang w:val="en-US" w:eastAsia="zh-CN" w:bidi="ar"/>
              </w:rPr>
              <w:t>90%</w:t>
            </w:r>
            <w:r>
              <w:rPr>
                <w:rStyle w:val="14"/>
                <w:lang w:val="en-US" w:eastAsia="zh-CN" w:bidi="ar"/>
              </w:rPr>
              <w:t>（</w:t>
            </w:r>
            <w:r>
              <w:rPr>
                <w:rStyle w:val="15"/>
                <w:rFonts w:eastAsia="等线"/>
                <w:lang w:val="en-US" w:eastAsia="zh-CN" w:bidi="ar"/>
              </w:rPr>
              <w:t>3</w:t>
            </w:r>
            <w:r>
              <w:rPr>
                <w:rStyle w:val="14"/>
                <w:lang w:val="en-US" w:eastAsia="zh-CN" w:bidi="ar"/>
              </w:rPr>
              <w:t>分）、</w:t>
            </w:r>
            <w:r>
              <w:rPr>
                <w:rStyle w:val="15"/>
                <w:rFonts w:eastAsia="等线"/>
                <w:lang w:val="en-US" w:eastAsia="zh-CN" w:bidi="ar"/>
              </w:rPr>
              <w:t>50%</w:t>
            </w:r>
            <w:r>
              <w:rPr>
                <w:rStyle w:val="14"/>
                <w:lang w:val="en-US" w:eastAsia="zh-CN" w:bidi="ar"/>
              </w:rPr>
              <w:t>（含）至</w:t>
            </w:r>
            <w:r>
              <w:rPr>
                <w:rStyle w:val="15"/>
                <w:rFonts w:eastAsia="等线"/>
                <w:lang w:val="en-US" w:eastAsia="zh-CN" w:bidi="ar"/>
              </w:rPr>
              <w:t>70%</w:t>
            </w:r>
            <w:r>
              <w:rPr>
                <w:rStyle w:val="14"/>
                <w:lang w:val="en-US" w:eastAsia="zh-CN" w:bidi="ar"/>
              </w:rPr>
              <w:t>（</w:t>
            </w:r>
            <w:r>
              <w:rPr>
                <w:rStyle w:val="15"/>
                <w:rFonts w:eastAsia="等线"/>
                <w:lang w:val="en-US" w:eastAsia="zh-CN" w:bidi="ar"/>
              </w:rPr>
              <w:t>2</w:t>
            </w:r>
            <w:r>
              <w:rPr>
                <w:rStyle w:val="14"/>
                <w:lang w:val="en-US" w:eastAsia="zh-CN" w:bidi="ar"/>
              </w:rPr>
              <w:t>分）、</w:t>
            </w:r>
            <w:r>
              <w:rPr>
                <w:rStyle w:val="15"/>
                <w:rFonts w:eastAsia="等线"/>
                <w:lang w:val="en-US" w:eastAsia="zh-CN" w:bidi="ar"/>
              </w:rPr>
              <w:t>20%</w:t>
            </w:r>
            <w:r>
              <w:rPr>
                <w:rStyle w:val="14"/>
                <w:lang w:val="en-US" w:eastAsia="zh-CN" w:bidi="ar"/>
              </w:rPr>
              <w:t>（含）至</w:t>
            </w:r>
            <w:r>
              <w:rPr>
                <w:rStyle w:val="15"/>
                <w:rFonts w:eastAsia="等线"/>
                <w:lang w:val="en-US" w:eastAsia="zh-CN" w:bidi="ar"/>
              </w:rPr>
              <w:t>50%</w:t>
            </w:r>
            <w:r>
              <w:rPr>
                <w:rStyle w:val="14"/>
                <w:lang w:val="en-US" w:eastAsia="zh-CN" w:bidi="ar"/>
              </w:rPr>
              <w:t>（</w:t>
            </w:r>
            <w:r>
              <w:rPr>
                <w:rStyle w:val="15"/>
                <w:rFonts w:eastAsia="等线"/>
                <w:lang w:val="en-US" w:eastAsia="zh-CN" w:bidi="ar"/>
              </w:rPr>
              <w:t>1</w:t>
            </w:r>
            <w:r>
              <w:rPr>
                <w:rStyle w:val="14"/>
                <w:lang w:val="en-US" w:eastAsia="zh-CN" w:bidi="ar"/>
              </w:rPr>
              <w:t>分）、</w:t>
            </w:r>
            <w:r>
              <w:rPr>
                <w:rStyle w:val="15"/>
                <w:rFonts w:eastAsia="等线"/>
                <w:lang w:val="en-US" w:eastAsia="zh-CN" w:bidi="ar"/>
              </w:rPr>
              <w:t>20%</w:t>
            </w:r>
            <w:r>
              <w:rPr>
                <w:rStyle w:val="14"/>
                <w:lang w:val="en-US" w:eastAsia="zh-CN" w:bidi="ar"/>
              </w:rPr>
              <w:t>以下（</w:t>
            </w:r>
            <w:r>
              <w:rPr>
                <w:rStyle w:val="15"/>
                <w:rFonts w:eastAsia="等线"/>
                <w:lang w:val="en-US" w:eastAsia="zh-CN" w:bidi="ar"/>
              </w:rPr>
              <w:t>0</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减分项</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等线" w:cs="Times New Roman"/>
                <w:i w:val="0"/>
                <w:color w:val="000000"/>
                <w:sz w:val="24"/>
                <w:szCs w:val="24"/>
                <w:u w:val="none"/>
              </w:rPr>
            </w:pPr>
          </w:p>
        </w:tc>
        <w:tc>
          <w:tcPr>
            <w:tcW w:w="6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等线" w:cs="Times New Roman"/>
                <w:i w:val="0"/>
                <w:color w:val="000000"/>
                <w:sz w:val="24"/>
                <w:szCs w:val="24"/>
                <w:u w:val="none"/>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10</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反映提供材料的真实性，有效性以及相关工作合法合规情况。</w:t>
            </w:r>
          </w:p>
        </w:tc>
        <w:tc>
          <w:tcPr>
            <w:tcW w:w="1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4"/>
                <w:szCs w:val="24"/>
                <w:u w:val="none"/>
              </w:rPr>
            </w:pPr>
            <w:r>
              <w:rPr>
                <w:rStyle w:val="14"/>
                <w:lang w:val="en-US" w:eastAsia="zh-CN" w:bidi="ar"/>
              </w:rPr>
              <w:t>考核材料、数据中存在虚假信息的，或经有关部门监督检查发现问题的，视情节严重程度扣</w:t>
            </w:r>
            <w:r>
              <w:rPr>
                <w:rStyle w:val="15"/>
                <w:rFonts w:eastAsia="等线"/>
                <w:lang w:val="en-US" w:eastAsia="zh-CN" w:bidi="ar"/>
              </w:rPr>
              <w:t>1-10</w:t>
            </w:r>
            <w:r>
              <w:rPr>
                <w:rStyle w:val="14"/>
                <w:lang w:val="en-US" w:eastAsia="zh-CN" w:bidi="ar"/>
              </w:rPr>
              <w:t>分。</w:t>
            </w:r>
          </w:p>
        </w:tc>
        <w:tc>
          <w:tcPr>
            <w:tcW w:w="252" w:type="pct"/>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7"/>
            <w:tcBorders>
              <w:top w:val="nil"/>
              <w:left w:val="nil"/>
              <w:bottom w:val="nil"/>
              <w:right w:val="nil"/>
            </w:tcBorders>
            <w:noWrap/>
            <w:vAlign w:val="center"/>
          </w:tcPr>
          <w:p>
            <w:pPr>
              <w:rPr>
                <w:rFonts w:hint="eastAsia" w:ascii="方正仿宋_GBK" w:hAnsi="方正仿宋_GBK" w:eastAsia="方正仿宋_GBK" w:cs="方正仿宋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注：某区县承保机构绩效评价得分由各机构得分按照保费加权计算。</w:t>
            </w:r>
          </w:p>
        </w:tc>
      </w:tr>
    </w:tbl>
    <w:p>
      <w:pPr>
        <w:bidi w:val="0"/>
        <w:jc w:val="left"/>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16"/>
        <w:gridCol w:w="1075"/>
        <w:gridCol w:w="1075"/>
        <w:gridCol w:w="1075"/>
        <w:gridCol w:w="787"/>
        <w:gridCol w:w="787"/>
        <w:gridCol w:w="792"/>
        <w:gridCol w:w="843"/>
        <w:gridCol w:w="1210"/>
        <w:gridCol w:w="1177"/>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9" w:type="pct"/>
            <w:tcBorders>
              <w:top w:val="nil"/>
              <w:left w:val="nil"/>
              <w:bottom w:val="nil"/>
              <w:right w:val="nil"/>
            </w:tcBorders>
            <w:noWrap/>
            <w:vAlign w:val="center"/>
          </w:tcPr>
          <w:p>
            <w:pPr>
              <w:keepNext w:val="0"/>
              <w:keepLines w:val="0"/>
              <w:widowControl/>
              <w:suppressLineNumbers w:val="0"/>
              <w:jc w:val="left"/>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附件5-1</w:t>
            </w:r>
          </w:p>
        </w:tc>
        <w:tc>
          <w:tcPr>
            <w:tcW w:w="431" w:type="pct"/>
            <w:tcBorders>
              <w:top w:val="nil"/>
              <w:left w:val="nil"/>
              <w:bottom w:val="nil"/>
              <w:right w:val="nil"/>
            </w:tcBorders>
            <w:noWrap/>
            <w:vAlign w:val="center"/>
          </w:tcPr>
          <w:p>
            <w:pPr>
              <w:rPr>
                <w:rFonts w:hint="eastAsia" w:ascii="等线" w:hAnsi="等线" w:eastAsia="等线" w:cs="等线"/>
                <w:i w:val="0"/>
                <w:color w:val="000000"/>
                <w:sz w:val="22"/>
                <w:szCs w:val="22"/>
                <w:u w:val="none"/>
              </w:rPr>
            </w:pPr>
          </w:p>
        </w:tc>
        <w:tc>
          <w:tcPr>
            <w:tcW w:w="431" w:type="pct"/>
            <w:tcBorders>
              <w:top w:val="nil"/>
              <w:left w:val="nil"/>
              <w:bottom w:val="nil"/>
              <w:right w:val="nil"/>
            </w:tcBorders>
            <w:noWrap/>
            <w:vAlign w:val="center"/>
          </w:tcPr>
          <w:p>
            <w:pPr>
              <w:rPr>
                <w:rFonts w:hint="default" w:ascii="等线" w:hAnsi="等线" w:eastAsia="等线" w:cs="等线"/>
                <w:i w:val="0"/>
                <w:color w:val="000000"/>
                <w:sz w:val="22"/>
                <w:szCs w:val="22"/>
                <w:u w:val="none"/>
              </w:rPr>
            </w:pPr>
          </w:p>
        </w:tc>
        <w:tc>
          <w:tcPr>
            <w:tcW w:w="431" w:type="pct"/>
            <w:tcBorders>
              <w:top w:val="nil"/>
              <w:left w:val="nil"/>
              <w:bottom w:val="nil"/>
              <w:right w:val="nil"/>
            </w:tcBorders>
            <w:noWrap/>
            <w:vAlign w:val="center"/>
          </w:tcPr>
          <w:p>
            <w:pPr>
              <w:rPr>
                <w:rFonts w:hint="default" w:ascii="等线" w:hAnsi="等线" w:eastAsia="等线" w:cs="等线"/>
                <w:i w:val="0"/>
                <w:color w:val="000000"/>
                <w:sz w:val="22"/>
                <w:szCs w:val="22"/>
                <w:u w:val="none"/>
              </w:rPr>
            </w:pPr>
          </w:p>
        </w:tc>
        <w:tc>
          <w:tcPr>
            <w:tcW w:w="322" w:type="pct"/>
            <w:tcBorders>
              <w:top w:val="nil"/>
              <w:left w:val="nil"/>
              <w:bottom w:val="nil"/>
              <w:right w:val="nil"/>
            </w:tcBorders>
            <w:noWrap/>
            <w:vAlign w:val="center"/>
          </w:tcPr>
          <w:p>
            <w:pPr>
              <w:rPr>
                <w:rFonts w:hint="default" w:ascii="等线" w:hAnsi="等线" w:eastAsia="等线" w:cs="等线"/>
                <w:i w:val="0"/>
                <w:color w:val="000000"/>
                <w:sz w:val="22"/>
                <w:szCs w:val="22"/>
                <w:u w:val="none"/>
              </w:rPr>
            </w:pPr>
          </w:p>
        </w:tc>
        <w:tc>
          <w:tcPr>
            <w:tcW w:w="322" w:type="pct"/>
            <w:tcBorders>
              <w:top w:val="nil"/>
              <w:left w:val="nil"/>
              <w:bottom w:val="nil"/>
              <w:right w:val="nil"/>
            </w:tcBorders>
            <w:noWrap/>
            <w:vAlign w:val="center"/>
          </w:tcPr>
          <w:p>
            <w:pPr>
              <w:rPr>
                <w:rFonts w:hint="default" w:ascii="等线" w:hAnsi="等线" w:eastAsia="等线" w:cs="等线"/>
                <w:i w:val="0"/>
                <w:color w:val="000000"/>
                <w:sz w:val="22"/>
                <w:szCs w:val="22"/>
                <w:u w:val="none"/>
              </w:rPr>
            </w:pPr>
          </w:p>
        </w:tc>
        <w:tc>
          <w:tcPr>
            <w:tcW w:w="322" w:type="pct"/>
            <w:tcBorders>
              <w:top w:val="nil"/>
              <w:left w:val="nil"/>
              <w:bottom w:val="nil"/>
              <w:right w:val="nil"/>
            </w:tcBorders>
            <w:noWrap/>
            <w:vAlign w:val="center"/>
          </w:tcPr>
          <w:p>
            <w:pPr>
              <w:rPr>
                <w:rFonts w:hint="default" w:ascii="等线" w:hAnsi="等线" w:eastAsia="等线" w:cs="等线"/>
                <w:i w:val="0"/>
                <w:color w:val="000000"/>
                <w:sz w:val="22"/>
                <w:szCs w:val="22"/>
                <w:u w:val="none"/>
              </w:rPr>
            </w:pPr>
          </w:p>
        </w:tc>
        <w:tc>
          <w:tcPr>
            <w:tcW w:w="322" w:type="pct"/>
            <w:tcBorders>
              <w:top w:val="nil"/>
              <w:left w:val="nil"/>
              <w:bottom w:val="nil"/>
              <w:right w:val="nil"/>
            </w:tcBorders>
            <w:noWrap/>
            <w:vAlign w:val="center"/>
          </w:tcPr>
          <w:p>
            <w:pPr>
              <w:rPr>
                <w:rFonts w:hint="default" w:ascii="等线" w:hAnsi="等线" w:eastAsia="等线" w:cs="等线"/>
                <w:i w:val="0"/>
                <w:color w:val="000000"/>
                <w:sz w:val="22"/>
                <w:szCs w:val="22"/>
                <w:u w:val="none"/>
              </w:rPr>
            </w:pPr>
          </w:p>
        </w:tc>
        <w:tc>
          <w:tcPr>
            <w:tcW w:w="462" w:type="pct"/>
            <w:tcBorders>
              <w:top w:val="nil"/>
              <w:left w:val="nil"/>
              <w:bottom w:val="nil"/>
              <w:right w:val="nil"/>
            </w:tcBorders>
            <w:noWrap/>
            <w:vAlign w:val="center"/>
          </w:tcPr>
          <w:p>
            <w:pPr>
              <w:rPr>
                <w:rFonts w:hint="default" w:ascii="等线" w:hAnsi="等线" w:eastAsia="等线" w:cs="等线"/>
                <w:i w:val="0"/>
                <w:color w:val="000000"/>
                <w:sz w:val="22"/>
                <w:szCs w:val="22"/>
                <w:u w:val="none"/>
              </w:rPr>
            </w:pPr>
          </w:p>
        </w:tc>
        <w:tc>
          <w:tcPr>
            <w:tcW w:w="449" w:type="pct"/>
            <w:tcBorders>
              <w:top w:val="nil"/>
              <w:left w:val="nil"/>
              <w:bottom w:val="nil"/>
              <w:right w:val="nil"/>
            </w:tcBorders>
            <w:noWrap/>
            <w:vAlign w:val="center"/>
          </w:tcPr>
          <w:p>
            <w:pPr>
              <w:rPr>
                <w:rFonts w:hint="default" w:ascii="等线" w:hAnsi="等线" w:eastAsia="等线" w:cs="等线"/>
                <w:i w:val="0"/>
                <w:color w:val="000000"/>
                <w:sz w:val="22"/>
                <w:szCs w:val="22"/>
                <w:u w:val="none"/>
              </w:rPr>
            </w:pPr>
          </w:p>
        </w:tc>
        <w:tc>
          <w:tcPr>
            <w:tcW w:w="453" w:type="pct"/>
            <w:tcBorders>
              <w:top w:val="nil"/>
              <w:left w:val="nil"/>
              <w:bottom w:val="nil"/>
              <w:right w:val="nil"/>
            </w:tcBorders>
            <w:noWrap/>
            <w:vAlign w:val="center"/>
          </w:tcPr>
          <w:p>
            <w:pP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农业保险承保理赔情况汇总表（承保机构填报）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80" w:type="pct"/>
            <w:gridSpan w:val="2"/>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填报单位（公章）：</w:t>
            </w:r>
          </w:p>
        </w:tc>
        <w:tc>
          <w:tcPr>
            <w:tcW w:w="431" w:type="pct"/>
            <w:tcBorders>
              <w:top w:val="nil"/>
              <w:left w:val="nil"/>
              <w:bottom w:val="single" w:color="000000" w:sz="4" w:space="0"/>
              <w:right w:val="nil"/>
            </w:tcBorders>
            <w:shd w:val="clear" w:color="auto" w:fill="FFFFFF"/>
            <w:noWrap/>
            <w:vAlign w:val="center"/>
          </w:tcPr>
          <w:p>
            <w:pPr>
              <w:rPr>
                <w:rFonts w:hint="eastAsia" w:ascii="仿宋_GB2312" w:hAnsi="等线" w:eastAsia="仿宋_GB2312" w:cs="仿宋_GB2312"/>
                <w:i w:val="0"/>
                <w:color w:val="000000"/>
                <w:sz w:val="24"/>
                <w:szCs w:val="24"/>
                <w:u w:val="none"/>
              </w:rPr>
            </w:pPr>
          </w:p>
        </w:tc>
        <w:tc>
          <w:tcPr>
            <w:tcW w:w="1399" w:type="pct"/>
            <w:gridSpan w:val="4"/>
            <w:tcBorders>
              <w:top w:val="nil"/>
              <w:left w:val="nil"/>
              <w:bottom w:val="single" w:color="000000" w:sz="4" w:space="0"/>
              <w:right w:val="nil"/>
            </w:tcBorders>
            <w:shd w:val="clear" w:color="auto" w:fill="FFFFFF"/>
            <w:noWrap/>
            <w:vAlign w:val="center"/>
          </w:tcPr>
          <w:p>
            <w:pPr>
              <w:jc w:val="center"/>
              <w:rPr>
                <w:rFonts w:hint="default" w:ascii="仿宋_GB2312" w:hAnsi="等线" w:eastAsia="仿宋_GB2312" w:cs="仿宋_GB2312"/>
                <w:i w:val="0"/>
                <w:color w:val="000000"/>
                <w:sz w:val="24"/>
                <w:szCs w:val="24"/>
                <w:u w:val="none"/>
              </w:rPr>
            </w:pPr>
          </w:p>
        </w:tc>
        <w:tc>
          <w:tcPr>
            <w:tcW w:w="1687" w:type="pct"/>
            <w:gridSpan w:val="4"/>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单位：元/亩(头)，万亩，万头,万元，万户（次）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4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保险品种</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投保数量</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保障金额</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保费总额</w:t>
            </w:r>
          </w:p>
        </w:tc>
        <w:tc>
          <w:tcPr>
            <w:tcW w:w="1290"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保费总额承担情况</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投保户数</w:t>
            </w:r>
          </w:p>
        </w:tc>
        <w:tc>
          <w:tcPr>
            <w:tcW w:w="90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已决赔款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4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8"/>
                <w:szCs w:val="28"/>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8"/>
                <w:szCs w:val="28"/>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8"/>
                <w:szCs w:val="28"/>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8"/>
                <w:szCs w:val="28"/>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中央</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市级</w:t>
            </w:r>
          </w:p>
        </w:tc>
        <w:tc>
          <w:tcPr>
            <w:tcW w:w="322" w:type="pc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区县</w:t>
            </w:r>
          </w:p>
        </w:tc>
        <w:tc>
          <w:tcPr>
            <w:tcW w:w="322" w:type="pc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农户</w:t>
            </w: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8"/>
                <w:szCs w:val="2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赔款金额</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受益农户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一、中央补贴险种合计</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（一）种植业合计</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1.稻谷</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2.小麦</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3.玉米</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4.油菜</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5.大豆</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6.马铃薯</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7.稻谷制种</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8.玉米制种</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（二）养殖业合计</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方正楷体_GBK" w:hAnsi="方正楷体_GBK" w:eastAsia="方正楷体_GBK" w:cs="方正楷体_GBK"/>
                <w:b/>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9.能繁母猪</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10.育肥猪</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11.奶牛</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楷体_GBK" w:hAnsi="方正楷体_GBK" w:eastAsia="方正楷体_GBK" w:cs="方正楷体_GBK"/>
                <w:b/>
                <w:i w:val="0"/>
                <w:color w:val="000000"/>
                <w:sz w:val="24"/>
                <w:szCs w:val="24"/>
                <w:u w:val="none"/>
              </w:rPr>
            </w:pPr>
            <w:r>
              <w:rPr>
                <w:rFonts w:hint="eastAsia" w:ascii="方正楷体_GBK" w:hAnsi="方正楷体_GBK" w:eastAsia="方正楷体_GBK" w:cs="方正楷体_GBK"/>
                <w:b/>
                <w:i w:val="0"/>
                <w:color w:val="000000"/>
                <w:kern w:val="0"/>
                <w:sz w:val="24"/>
                <w:szCs w:val="24"/>
                <w:u w:val="none"/>
                <w:lang w:val="en-US" w:eastAsia="zh-CN" w:bidi="ar"/>
              </w:rPr>
              <w:t>（三）林业合计</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12.公益林</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13.商品林</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二、市级补贴险种合计</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14.柑橘成本保险</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15.生猪收益保险</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16.稻谷完全成本补充保险</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17.玉米完全成本补充保险</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18.马铃薯完全成本补充保险</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19.区县优势特色农产品保险</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楷体_GBK" w:hAnsi="方正楷体_GBK" w:eastAsia="方正楷体_GBK" w:cs="方正楷体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合计金额</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b/>
                <w:i w:val="0"/>
                <w:color w:val="000000"/>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b/>
                <w:i w:val="0"/>
                <w:color w:val="000000"/>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b/>
                <w:i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b/>
                <w:i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b/>
                <w:i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b/>
                <w:i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b/>
                <w:i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b/>
                <w:i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b/>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rPr>
                <w:rFonts w:hint="default" w:ascii="等线" w:hAnsi="等线" w:eastAsia="等线" w:cs="等线"/>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000" w:type="pct"/>
            <w:gridSpan w:val="11"/>
            <w:tcBorders>
              <w:top w:val="single" w:color="000000" w:sz="4"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注：1.表格中“投保数量”一栏保留4位小数，其他栏保留两位小数。</w:t>
            </w:r>
            <w:r>
              <w:rPr>
                <w:rFonts w:hint="eastAsia" w:ascii="方正楷体_GBK" w:hAnsi="方正楷体_GBK" w:eastAsia="方正楷体_GBK" w:cs="方正楷体_GBK"/>
                <w:i w:val="0"/>
                <w:color w:val="000000"/>
                <w:kern w:val="0"/>
                <w:sz w:val="22"/>
                <w:szCs w:val="22"/>
                <w:u w:val="none"/>
                <w:lang w:val="en-US" w:eastAsia="zh-CN" w:bidi="ar"/>
              </w:rPr>
              <w:br w:type="textWrapping"/>
            </w:r>
            <w:r>
              <w:rPr>
                <w:rFonts w:hint="eastAsia" w:ascii="方正楷体_GBK" w:hAnsi="方正楷体_GBK" w:eastAsia="方正楷体_GBK" w:cs="方正楷体_GBK"/>
                <w:i w:val="0"/>
                <w:color w:val="000000"/>
                <w:kern w:val="0"/>
                <w:sz w:val="22"/>
                <w:szCs w:val="22"/>
                <w:u w:val="none"/>
                <w:lang w:val="en-US" w:eastAsia="zh-CN" w:bidi="ar"/>
              </w:rPr>
              <w:t xml:space="preserve">        2.填报表内信息时，对未开展的补贴险种留空即可，不可直接删除该栏已有内容。</w:t>
            </w:r>
          </w:p>
        </w:tc>
      </w:tr>
    </w:tbl>
    <w:p>
      <w:pPr>
        <w:bidi w:val="0"/>
        <w:jc w:val="left"/>
      </w:pPr>
    </w:p>
    <w:tbl>
      <w:tblPr>
        <w:tblStyle w:val="9"/>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53"/>
        <w:gridCol w:w="1248"/>
        <w:gridCol w:w="1114"/>
        <w:gridCol w:w="1111"/>
        <w:gridCol w:w="1111"/>
        <w:gridCol w:w="902"/>
        <w:gridCol w:w="905"/>
        <w:gridCol w:w="902"/>
        <w:gridCol w:w="908"/>
        <w:gridCol w:w="1352"/>
        <w:gridCol w:w="1154"/>
        <w:gridCol w:w="1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11" w:type="pct"/>
            <w:tcBorders>
              <w:top w:val="nil"/>
              <w:left w:val="nil"/>
              <w:bottom w:val="nil"/>
              <w:right w:val="nil"/>
            </w:tcBorders>
            <w:noWrap/>
            <w:vAlign w:val="center"/>
          </w:tcPr>
          <w:p>
            <w:pPr>
              <w:keepNext w:val="0"/>
              <w:keepLines w:val="0"/>
              <w:widowControl/>
              <w:suppressLineNumbers w:val="0"/>
              <w:jc w:val="left"/>
              <w:textAlignment w:val="center"/>
              <w:rPr>
                <w:rFonts w:ascii="方正黑体_GBK" w:hAnsi="方正黑体_GBK" w:eastAsia="方正黑体_GBK" w:cs="方正黑体_GBK"/>
                <w:i w:val="0"/>
                <w:color w:val="000000"/>
                <w:sz w:val="30"/>
                <w:szCs w:val="30"/>
                <w:u w:val="none"/>
              </w:rPr>
            </w:pPr>
            <w:r>
              <w:rPr>
                <w:rFonts w:hint="eastAsia" w:ascii="方正黑体_GBK" w:hAnsi="方正黑体_GBK" w:eastAsia="方正黑体_GBK" w:cs="方正黑体_GBK"/>
                <w:i w:val="0"/>
                <w:color w:val="000000"/>
                <w:kern w:val="0"/>
                <w:sz w:val="30"/>
                <w:szCs w:val="30"/>
                <w:u w:val="none"/>
                <w:lang w:val="en-US" w:eastAsia="zh-CN" w:bidi="ar"/>
              </w:rPr>
              <w:t>附件5-2</w:t>
            </w:r>
          </w:p>
        </w:tc>
        <w:tc>
          <w:tcPr>
            <w:tcW w:w="472" w:type="pct"/>
            <w:tcBorders>
              <w:top w:val="nil"/>
              <w:left w:val="nil"/>
              <w:bottom w:val="nil"/>
              <w:right w:val="nil"/>
            </w:tcBorders>
            <w:noWrap/>
            <w:vAlign w:val="center"/>
          </w:tcPr>
          <w:p>
            <w:pPr>
              <w:rPr>
                <w:rFonts w:hint="eastAsia" w:ascii="方正黑体_GBK" w:hAnsi="方正黑体_GBK" w:eastAsia="方正黑体_GBK" w:cs="方正黑体_GBK"/>
                <w:i w:val="0"/>
                <w:color w:val="000000"/>
                <w:sz w:val="30"/>
                <w:szCs w:val="30"/>
                <w:u w:val="none"/>
              </w:rPr>
            </w:pPr>
          </w:p>
        </w:tc>
        <w:tc>
          <w:tcPr>
            <w:tcW w:w="420" w:type="pct"/>
            <w:tcBorders>
              <w:top w:val="nil"/>
              <w:left w:val="nil"/>
              <w:bottom w:val="nil"/>
              <w:right w:val="nil"/>
            </w:tcBorders>
            <w:noWrap/>
            <w:vAlign w:val="center"/>
          </w:tcPr>
          <w:p>
            <w:pPr>
              <w:rPr>
                <w:rFonts w:hint="eastAsia" w:ascii="等线" w:hAnsi="等线" w:eastAsia="等线" w:cs="等线"/>
                <w:i w:val="0"/>
                <w:color w:val="000000"/>
                <w:sz w:val="22"/>
                <w:szCs w:val="22"/>
                <w:u w:val="none"/>
              </w:rPr>
            </w:pPr>
          </w:p>
        </w:tc>
        <w:tc>
          <w:tcPr>
            <w:tcW w:w="420" w:type="pct"/>
            <w:tcBorders>
              <w:top w:val="nil"/>
              <w:left w:val="nil"/>
              <w:bottom w:val="nil"/>
              <w:right w:val="nil"/>
            </w:tcBorders>
            <w:noWrap/>
            <w:vAlign w:val="center"/>
          </w:tcPr>
          <w:p>
            <w:pPr>
              <w:rPr>
                <w:rFonts w:hint="default" w:ascii="等线" w:hAnsi="等线" w:eastAsia="等线" w:cs="等线"/>
                <w:i w:val="0"/>
                <w:color w:val="000000"/>
                <w:sz w:val="22"/>
                <w:szCs w:val="22"/>
                <w:u w:val="none"/>
              </w:rPr>
            </w:pPr>
          </w:p>
        </w:tc>
        <w:tc>
          <w:tcPr>
            <w:tcW w:w="420" w:type="pct"/>
            <w:tcBorders>
              <w:top w:val="nil"/>
              <w:left w:val="nil"/>
              <w:bottom w:val="nil"/>
              <w:right w:val="nil"/>
            </w:tcBorders>
            <w:noWrap/>
            <w:vAlign w:val="center"/>
          </w:tcPr>
          <w:p>
            <w:pPr>
              <w:rPr>
                <w:rFonts w:hint="default" w:ascii="等线" w:hAnsi="等线" w:eastAsia="等线" w:cs="等线"/>
                <w:i w:val="0"/>
                <w:color w:val="000000"/>
                <w:sz w:val="22"/>
                <w:szCs w:val="22"/>
                <w:u w:val="none"/>
              </w:rPr>
            </w:pPr>
          </w:p>
        </w:tc>
        <w:tc>
          <w:tcPr>
            <w:tcW w:w="341" w:type="pct"/>
            <w:tcBorders>
              <w:top w:val="nil"/>
              <w:left w:val="nil"/>
              <w:bottom w:val="nil"/>
              <w:right w:val="nil"/>
            </w:tcBorders>
            <w:noWrap/>
            <w:vAlign w:val="center"/>
          </w:tcPr>
          <w:p>
            <w:pPr>
              <w:rPr>
                <w:rFonts w:hint="default" w:ascii="等线" w:hAnsi="等线" w:eastAsia="等线" w:cs="等线"/>
                <w:i w:val="0"/>
                <w:color w:val="000000"/>
                <w:sz w:val="22"/>
                <w:szCs w:val="22"/>
                <w:u w:val="none"/>
              </w:rPr>
            </w:pPr>
          </w:p>
        </w:tc>
        <w:tc>
          <w:tcPr>
            <w:tcW w:w="341" w:type="pct"/>
            <w:tcBorders>
              <w:top w:val="nil"/>
              <w:left w:val="nil"/>
              <w:bottom w:val="nil"/>
              <w:right w:val="nil"/>
            </w:tcBorders>
            <w:noWrap/>
            <w:vAlign w:val="center"/>
          </w:tcPr>
          <w:p>
            <w:pPr>
              <w:rPr>
                <w:rFonts w:hint="default" w:ascii="等线" w:hAnsi="等线" w:eastAsia="等线" w:cs="等线"/>
                <w:i w:val="0"/>
                <w:color w:val="000000"/>
                <w:sz w:val="22"/>
                <w:szCs w:val="22"/>
                <w:u w:val="none"/>
              </w:rPr>
            </w:pPr>
          </w:p>
        </w:tc>
        <w:tc>
          <w:tcPr>
            <w:tcW w:w="341" w:type="pct"/>
            <w:tcBorders>
              <w:top w:val="nil"/>
              <w:left w:val="nil"/>
              <w:bottom w:val="nil"/>
              <w:right w:val="nil"/>
            </w:tcBorders>
            <w:noWrap/>
            <w:vAlign w:val="center"/>
          </w:tcPr>
          <w:p>
            <w:pPr>
              <w:rPr>
                <w:rFonts w:hint="default" w:ascii="等线" w:hAnsi="等线" w:eastAsia="等线" w:cs="等线"/>
                <w:i w:val="0"/>
                <w:color w:val="000000"/>
                <w:sz w:val="22"/>
                <w:szCs w:val="22"/>
                <w:u w:val="none"/>
              </w:rPr>
            </w:pPr>
          </w:p>
        </w:tc>
        <w:tc>
          <w:tcPr>
            <w:tcW w:w="342" w:type="pct"/>
            <w:tcBorders>
              <w:top w:val="nil"/>
              <w:left w:val="nil"/>
              <w:bottom w:val="nil"/>
              <w:right w:val="nil"/>
            </w:tcBorders>
            <w:noWrap/>
            <w:vAlign w:val="center"/>
          </w:tcPr>
          <w:p>
            <w:pPr>
              <w:rPr>
                <w:rFonts w:hint="default" w:ascii="等线" w:hAnsi="等线" w:eastAsia="等线" w:cs="等线"/>
                <w:i w:val="0"/>
                <w:color w:val="000000"/>
                <w:sz w:val="22"/>
                <w:szCs w:val="22"/>
                <w:u w:val="none"/>
              </w:rPr>
            </w:pPr>
          </w:p>
        </w:tc>
        <w:tc>
          <w:tcPr>
            <w:tcW w:w="511" w:type="pct"/>
            <w:tcBorders>
              <w:top w:val="nil"/>
              <w:left w:val="nil"/>
              <w:bottom w:val="nil"/>
              <w:right w:val="nil"/>
            </w:tcBorders>
            <w:noWrap/>
            <w:vAlign w:val="center"/>
          </w:tcPr>
          <w:p>
            <w:pPr>
              <w:rPr>
                <w:rFonts w:hint="default" w:ascii="等线" w:hAnsi="等线" w:eastAsia="等线" w:cs="等线"/>
                <w:i w:val="0"/>
                <w:color w:val="000000"/>
                <w:sz w:val="22"/>
                <w:szCs w:val="22"/>
                <w:u w:val="none"/>
              </w:rPr>
            </w:pPr>
          </w:p>
        </w:tc>
        <w:tc>
          <w:tcPr>
            <w:tcW w:w="436" w:type="pct"/>
            <w:tcBorders>
              <w:top w:val="nil"/>
              <w:left w:val="nil"/>
              <w:bottom w:val="nil"/>
              <w:right w:val="nil"/>
            </w:tcBorders>
            <w:noWrap/>
            <w:vAlign w:val="center"/>
          </w:tcPr>
          <w:p>
            <w:pPr>
              <w:rPr>
                <w:rFonts w:hint="default" w:ascii="等线" w:hAnsi="等线" w:eastAsia="等线" w:cs="等线"/>
                <w:i w:val="0"/>
                <w:color w:val="000000"/>
                <w:sz w:val="22"/>
                <w:szCs w:val="22"/>
                <w:u w:val="none"/>
              </w:rPr>
            </w:pPr>
          </w:p>
        </w:tc>
        <w:tc>
          <w:tcPr>
            <w:tcW w:w="440" w:type="pct"/>
            <w:tcBorders>
              <w:top w:val="nil"/>
              <w:left w:val="nil"/>
              <w:bottom w:val="nil"/>
              <w:right w:val="nil"/>
            </w:tcBorders>
            <w:noWrap/>
            <w:vAlign w:val="center"/>
          </w:tcPr>
          <w:p>
            <w:pP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000" w:type="pct"/>
            <w:gridSpan w:val="12"/>
            <w:tcBorders>
              <w:top w:val="nil"/>
              <w:left w:val="nil"/>
              <w:bottom w:val="nil"/>
              <w:right w:val="nil"/>
            </w:tcBorders>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农业保险承保理赔统计情况表—XX险种（承保机构填报）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04" w:type="pct"/>
            <w:gridSpan w:val="3"/>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填报单位（公章）:</w:t>
            </w:r>
          </w:p>
        </w:tc>
        <w:tc>
          <w:tcPr>
            <w:tcW w:w="420" w:type="pct"/>
            <w:tcBorders>
              <w:top w:val="nil"/>
              <w:left w:val="nil"/>
              <w:bottom w:val="single" w:color="000000" w:sz="4" w:space="0"/>
              <w:right w:val="nil"/>
            </w:tcBorders>
            <w:shd w:val="clear" w:color="auto" w:fill="FFFFFF"/>
            <w:noWrap/>
            <w:vAlign w:val="center"/>
          </w:tcPr>
          <w:p>
            <w:pPr>
              <w:rPr>
                <w:rFonts w:hint="eastAsia" w:ascii="方正楷体_GBK" w:hAnsi="方正楷体_GBK" w:eastAsia="方正楷体_GBK" w:cs="方正楷体_GBK"/>
                <w:i w:val="0"/>
                <w:color w:val="000000"/>
                <w:sz w:val="20"/>
                <w:szCs w:val="20"/>
                <w:u w:val="none"/>
              </w:rPr>
            </w:pPr>
          </w:p>
        </w:tc>
        <w:tc>
          <w:tcPr>
            <w:tcW w:w="420" w:type="pct"/>
            <w:tcBorders>
              <w:top w:val="nil"/>
              <w:left w:val="nil"/>
              <w:bottom w:val="single" w:color="000000" w:sz="4" w:space="0"/>
              <w:right w:val="nil"/>
            </w:tcBorders>
            <w:shd w:val="clear" w:color="auto" w:fill="FFFFFF"/>
            <w:noWrap/>
            <w:vAlign w:val="center"/>
          </w:tcPr>
          <w:p>
            <w:pPr>
              <w:rPr>
                <w:rFonts w:hint="eastAsia" w:ascii="方正楷体_GBK" w:hAnsi="方正楷体_GBK" w:eastAsia="方正楷体_GBK" w:cs="方正楷体_GBK"/>
                <w:i w:val="0"/>
                <w:color w:val="000000"/>
                <w:sz w:val="20"/>
                <w:szCs w:val="20"/>
                <w:u w:val="none"/>
              </w:rPr>
            </w:pPr>
          </w:p>
        </w:tc>
        <w:tc>
          <w:tcPr>
            <w:tcW w:w="683" w:type="pct"/>
            <w:gridSpan w:val="2"/>
            <w:tcBorders>
              <w:top w:val="nil"/>
              <w:left w:val="nil"/>
              <w:bottom w:val="single" w:color="000000" w:sz="4" w:space="0"/>
              <w:right w:val="nil"/>
            </w:tcBorders>
            <w:shd w:val="clear" w:color="auto" w:fill="FFFFFF"/>
            <w:noWrap/>
            <w:vAlign w:val="center"/>
          </w:tcPr>
          <w:p>
            <w:pPr>
              <w:jc w:val="center"/>
              <w:rPr>
                <w:rFonts w:hint="eastAsia" w:ascii="方正楷体_GBK" w:hAnsi="方正楷体_GBK" w:eastAsia="方正楷体_GBK" w:cs="方正楷体_GBK"/>
                <w:i w:val="0"/>
                <w:color w:val="000000"/>
                <w:sz w:val="20"/>
                <w:szCs w:val="20"/>
                <w:u w:val="none"/>
              </w:rPr>
            </w:pPr>
          </w:p>
        </w:tc>
        <w:tc>
          <w:tcPr>
            <w:tcW w:w="341" w:type="pct"/>
            <w:tcBorders>
              <w:top w:val="nil"/>
              <w:left w:val="nil"/>
              <w:bottom w:val="nil"/>
              <w:right w:val="nil"/>
            </w:tcBorders>
            <w:shd w:val="clear" w:color="auto" w:fill="FFFFFF"/>
            <w:noWrap/>
            <w:vAlign w:val="center"/>
          </w:tcPr>
          <w:p>
            <w:pPr>
              <w:rPr>
                <w:rFonts w:hint="eastAsia" w:ascii="方正楷体_GBK" w:hAnsi="方正楷体_GBK" w:eastAsia="方正楷体_GBK" w:cs="方正楷体_GBK"/>
                <w:i w:val="0"/>
                <w:color w:val="000000"/>
                <w:sz w:val="20"/>
                <w:szCs w:val="20"/>
                <w:u w:val="none"/>
              </w:rPr>
            </w:pPr>
          </w:p>
        </w:tc>
        <w:tc>
          <w:tcPr>
            <w:tcW w:w="342" w:type="pct"/>
            <w:tcBorders>
              <w:top w:val="nil"/>
              <w:left w:val="nil"/>
              <w:bottom w:val="single" w:color="000000" w:sz="4" w:space="0"/>
              <w:right w:val="nil"/>
            </w:tcBorders>
            <w:shd w:val="clear" w:color="auto" w:fill="FFFFFF"/>
            <w:noWrap/>
            <w:vAlign w:val="center"/>
          </w:tcPr>
          <w:p>
            <w:pPr>
              <w:rPr>
                <w:rFonts w:hint="eastAsia" w:ascii="方正楷体_GBK" w:hAnsi="方正楷体_GBK" w:eastAsia="方正楷体_GBK" w:cs="方正楷体_GBK"/>
                <w:i w:val="0"/>
                <w:color w:val="000000"/>
                <w:sz w:val="20"/>
                <w:szCs w:val="20"/>
                <w:u w:val="none"/>
              </w:rPr>
            </w:pPr>
          </w:p>
        </w:tc>
        <w:tc>
          <w:tcPr>
            <w:tcW w:w="1387" w:type="pct"/>
            <w:gridSpan w:val="3"/>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单位：万/亩（头）、万元、万户（次）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街镇</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投保数量</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保障金额</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保费总额</w:t>
            </w:r>
          </w:p>
        </w:tc>
        <w:tc>
          <w:tcPr>
            <w:tcW w:w="1367"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保费总额承担情况</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投保户数</w:t>
            </w:r>
          </w:p>
        </w:tc>
        <w:tc>
          <w:tcPr>
            <w:tcW w:w="87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理赔情况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8"/>
                <w:szCs w:val="2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8"/>
                <w:szCs w:val="2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8"/>
                <w:szCs w:val="2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8"/>
                <w:szCs w:val="28"/>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8"/>
                <w:szCs w:val="28"/>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中央</w:t>
            </w: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市级</w:t>
            </w: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区县</w:t>
            </w: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农户</w:t>
            </w: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8"/>
                <w:szCs w:val="2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赔款金额</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受益农户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合计</w:t>
            </w:r>
          </w:p>
        </w:tc>
        <w:tc>
          <w:tcPr>
            <w:tcW w:w="420" w:type="pct"/>
            <w:tcBorders>
              <w:top w:val="nil"/>
              <w:left w:val="nil"/>
              <w:bottom w:val="nil"/>
              <w:right w:val="single" w:color="000000" w:sz="4" w:space="0"/>
            </w:tcBorders>
            <w:shd w:val="clear" w:color="auto" w:fill="FFFFFF"/>
            <w:noWrap w:val="0"/>
            <w:vAlign w:val="center"/>
          </w:tcPr>
          <w:p>
            <w:pPr>
              <w:jc w:val="center"/>
              <w:rPr>
                <w:rFonts w:hint="eastAsia" w:ascii="宋体" w:hAnsi="宋体" w:eastAsia="宋体" w:cs="宋体"/>
                <w:b/>
                <w:i w:val="0"/>
                <w:color w:val="000000"/>
                <w:sz w:val="28"/>
                <w:szCs w:val="28"/>
                <w:u w:val="none"/>
              </w:rPr>
            </w:pPr>
          </w:p>
        </w:tc>
        <w:tc>
          <w:tcPr>
            <w:tcW w:w="420" w:type="pct"/>
            <w:tcBorders>
              <w:top w:val="nil"/>
              <w:left w:val="nil"/>
              <w:bottom w:val="nil"/>
              <w:right w:val="single" w:color="000000" w:sz="4" w:space="0"/>
            </w:tcBorders>
            <w:shd w:val="clear" w:color="auto" w:fill="FFFFFF"/>
            <w:noWrap w:val="0"/>
            <w:vAlign w:val="center"/>
          </w:tcPr>
          <w:p>
            <w:pPr>
              <w:jc w:val="center"/>
              <w:rPr>
                <w:rFonts w:hint="eastAsia" w:ascii="宋体" w:hAnsi="宋体" w:eastAsia="宋体" w:cs="宋体"/>
                <w:b/>
                <w:i w:val="0"/>
                <w:color w:val="000000"/>
                <w:sz w:val="28"/>
                <w:szCs w:val="28"/>
                <w:u w:val="none"/>
              </w:rPr>
            </w:pPr>
          </w:p>
        </w:tc>
        <w:tc>
          <w:tcPr>
            <w:tcW w:w="420" w:type="pct"/>
            <w:tcBorders>
              <w:top w:val="nil"/>
              <w:left w:val="nil"/>
              <w:bottom w:val="nil"/>
              <w:right w:val="single" w:color="000000" w:sz="4" w:space="0"/>
            </w:tcBorders>
            <w:shd w:val="clear" w:color="auto" w:fill="FFFFFF"/>
            <w:noWrap w:val="0"/>
            <w:vAlign w:val="center"/>
          </w:tcPr>
          <w:p>
            <w:pPr>
              <w:jc w:val="center"/>
              <w:rPr>
                <w:rFonts w:hint="eastAsia" w:ascii="宋体" w:hAnsi="宋体" w:eastAsia="宋体" w:cs="宋体"/>
                <w:b/>
                <w:i w:val="0"/>
                <w:color w:val="000000"/>
                <w:sz w:val="28"/>
                <w:szCs w:val="28"/>
                <w:u w:val="none"/>
              </w:rPr>
            </w:pPr>
          </w:p>
        </w:tc>
        <w:tc>
          <w:tcPr>
            <w:tcW w:w="341" w:type="pct"/>
            <w:tcBorders>
              <w:top w:val="nil"/>
              <w:left w:val="nil"/>
              <w:bottom w:val="nil"/>
              <w:right w:val="single" w:color="000000" w:sz="4" w:space="0"/>
            </w:tcBorders>
            <w:shd w:val="clear" w:color="auto" w:fill="FFFFFF"/>
            <w:noWrap w:val="0"/>
            <w:vAlign w:val="center"/>
          </w:tcPr>
          <w:p>
            <w:pPr>
              <w:jc w:val="center"/>
              <w:rPr>
                <w:rFonts w:hint="eastAsia" w:ascii="宋体" w:hAnsi="宋体" w:eastAsia="宋体" w:cs="宋体"/>
                <w:b/>
                <w:i w:val="0"/>
                <w:color w:val="000000"/>
                <w:sz w:val="28"/>
                <w:szCs w:val="28"/>
                <w:u w:val="none"/>
              </w:rPr>
            </w:pPr>
          </w:p>
        </w:tc>
        <w:tc>
          <w:tcPr>
            <w:tcW w:w="341" w:type="pct"/>
            <w:tcBorders>
              <w:top w:val="nil"/>
              <w:left w:val="nil"/>
              <w:bottom w:val="nil"/>
              <w:right w:val="single" w:color="000000" w:sz="4" w:space="0"/>
            </w:tcBorders>
            <w:shd w:val="clear" w:color="auto" w:fill="FFFFFF"/>
            <w:noWrap w:val="0"/>
            <w:vAlign w:val="center"/>
          </w:tcPr>
          <w:p>
            <w:pPr>
              <w:jc w:val="center"/>
              <w:rPr>
                <w:rFonts w:hint="eastAsia" w:ascii="宋体" w:hAnsi="宋体" w:eastAsia="宋体" w:cs="宋体"/>
                <w:b/>
                <w:i w:val="0"/>
                <w:color w:val="000000"/>
                <w:sz w:val="28"/>
                <w:szCs w:val="28"/>
                <w:u w:val="none"/>
              </w:rPr>
            </w:pPr>
          </w:p>
        </w:tc>
        <w:tc>
          <w:tcPr>
            <w:tcW w:w="341" w:type="pct"/>
            <w:tcBorders>
              <w:top w:val="nil"/>
              <w:left w:val="nil"/>
              <w:bottom w:val="nil"/>
              <w:right w:val="single" w:color="000000" w:sz="4" w:space="0"/>
            </w:tcBorders>
            <w:shd w:val="clear" w:color="auto" w:fill="FFFFFF"/>
            <w:noWrap w:val="0"/>
            <w:vAlign w:val="center"/>
          </w:tcPr>
          <w:p>
            <w:pPr>
              <w:jc w:val="center"/>
              <w:rPr>
                <w:rFonts w:hint="eastAsia" w:ascii="宋体" w:hAnsi="宋体" w:eastAsia="宋体" w:cs="宋体"/>
                <w:b/>
                <w:i w:val="0"/>
                <w:color w:val="000000"/>
                <w:sz w:val="28"/>
                <w:szCs w:val="28"/>
                <w:u w:val="none"/>
              </w:rPr>
            </w:pPr>
          </w:p>
        </w:tc>
        <w:tc>
          <w:tcPr>
            <w:tcW w:w="342" w:type="pct"/>
            <w:tcBorders>
              <w:top w:val="nil"/>
              <w:left w:val="nil"/>
              <w:bottom w:val="nil"/>
              <w:right w:val="single" w:color="000000" w:sz="4" w:space="0"/>
            </w:tcBorders>
            <w:shd w:val="clear" w:color="auto" w:fill="FFFFFF"/>
            <w:noWrap w:val="0"/>
            <w:vAlign w:val="center"/>
          </w:tcPr>
          <w:p>
            <w:pPr>
              <w:jc w:val="center"/>
              <w:rPr>
                <w:rFonts w:hint="eastAsia" w:ascii="宋体" w:hAnsi="宋体" w:eastAsia="宋体" w:cs="宋体"/>
                <w:b/>
                <w:i w:val="0"/>
                <w:color w:val="000000"/>
                <w:sz w:val="28"/>
                <w:szCs w:val="28"/>
                <w:u w:val="none"/>
              </w:rPr>
            </w:pPr>
          </w:p>
        </w:tc>
        <w:tc>
          <w:tcPr>
            <w:tcW w:w="511" w:type="pct"/>
            <w:tcBorders>
              <w:top w:val="nil"/>
              <w:left w:val="nil"/>
              <w:bottom w:val="nil"/>
              <w:right w:val="single" w:color="000000" w:sz="4" w:space="0"/>
            </w:tcBorders>
            <w:shd w:val="clear" w:color="auto" w:fill="FFFFFF"/>
            <w:noWrap w:val="0"/>
            <w:vAlign w:val="center"/>
          </w:tcPr>
          <w:p>
            <w:pPr>
              <w:jc w:val="center"/>
              <w:rPr>
                <w:rFonts w:hint="eastAsia" w:ascii="宋体" w:hAnsi="宋体" w:eastAsia="宋体" w:cs="宋体"/>
                <w:b/>
                <w:i w:val="0"/>
                <w:color w:val="000000"/>
                <w:sz w:val="28"/>
                <w:szCs w:val="28"/>
                <w:u w:val="none"/>
              </w:rPr>
            </w:pPr>
          </w:p>
        </w:tc>
        <w:tc>
          <w:tcPr>
            <w:tcW w:w="436" w:type="pct"/>
            <w:tcBorders>
              <w:top w:val="nil"/>
              <w:left w:val="nil"/>
              <w:bottom w:val="nil"/>
              <w:right w:val="single" w:color="000000" w:sz="4" w:space="0"/>
            </w:tcBorders>
            <w:shd w:val="clear" w:color="auto" w:fill="FFFFFF"/>
            <w:noWrap w:val="0"/>
            <w:vAlign w:val="center"/>
          </w:tcPr>
          <w:p>
            <w:pPr>
              <w:jc w:val="center"/>
              <w:rPr>
                <w:rFonts w:hint="eastAsia" w:ascii="宋体" w:hAnsi="宋体" w:eastAsia="宋体" w:cs="宋体"/>
                <w:b/>
                <w:i w:val="0"/>
                <w:color w:val="000000"/>
                <w:sz w:val="28"/>
                <w:szCs w:val="28"/>
                <w:u w:val="none"/>
              </w:rPr>
            </w:pPr>
          </w:p>
        </w:tc>
        <w:tc>
          <w:tcPr>
            <w:tcW w:w="440" w:type="pct"/>
            <w:tcBorders>
              <w:top w:val="nil"/>
              <w:left w:val="nil"/>
              <w:bottom w:val="nil"/>
              <w:right w:val="single" w:color="000000" w:sz="4" w:space="0"/>
            </w:tcBorders>
            <w:shd w:val="clear" w:color="auto" w:fill="FFFFFF"/>
            <w:noWrap w:val="0"/>
            <w:vAlign w:val="center"/>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8"/>
                <w:szCs w:val="2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8"/>
                <w:szCs w:val="28"/>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等线" w:eastAsia="仿宋_GB2312" w:cs="仿宋_GB2312"/>
                <w:b/>
                <w:i w:val="0"/>
                <w:color w:val="000000"/>
                <w:sz w:val="28"/>
                <w:szCs w:val="28"/>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_GB2312" w:hAnsi="等线" w:eastAsia="仿宋_GB2312" w:cs="仿宋_GB2312"/>
                <w:i w:val="0"/>
                <w:color w:val="000000"/>
                <w:sz w:val="28"/>
                <w:szCs w:val="28"/>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_GB2312" w:hAnsi="等线" w:eastAsia="仿宋_GB2312" w:cs="仿宋_GB2312"/>
                <w:i w:val="0"/>
                <w:color w:val="000000"/>
                <w:sz w:val="28"/>
                <w:szCs w:val="28"/>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_GB2312" w:hAnsi="等线" w:eastAsia="仿宋_GB2312" w:cs="仿宋_GB2312"/>
                <w:i w:val="0"/>
                <w:color w:val="000000"/>
                <w:sz w:val="28"/>
                <w:szCs w:val="28"/>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_GB2312" w:hAnsi="等线" w:eastAsia="仿宋_GB2312" w:cs="仿宋_GB2312"/>
                <w:i w:val="0"/>
                <w:color w:val="000000"/>
                <w:sz w:val="28"/>
                <w:szCs w:val="28"/>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_GB2312" w:hAnsi="等线" w:eastAsia="仿宋_GB2312" w:cs="仿宋_GB2312"/>
                <w:i w:val="0"/>
                <w:color w:val="000000"/>
                <w:sz w:val="28"/>
                <w:szCs w:val="28"/>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_GB2312" w:hAnsi="等线" w:eastAsia="仿宋_GB2312" w:cs="仿宋_GB2312"/>
                <w:i w:val="0"/>
                <w:color w:val="000000"/>
                <w:sz w:val="28"/>
                <w:szCs w:val="2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_GB2312" w:hAnsi="等线" w:eastAsia="仿宋_GB2312" w:cs="仿宋_GB2312"/>
                <w:i w:val="0"/>
                <w:color w:val="000000"/>
                <w:sz w:val="28"/>
                <w:szCs w:val="2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_GB2312" w:hAnsi="等线" w:eastAsia="仿宋_GB2312" w:cs="仿宋_GB2312"/>
                <w:i w:val="0"/>
                <w:color w:val="000000"/>
                <w:sz w:val="28"/>
                <w:szCs w:val="2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8"/>
                <w:szCs w:val="2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8"/>
                <w:szCs w:val="28"/>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_GB2312" w:hAnsi="等线" w:eastAsia="仿宋_GB2312" w:cs="仿宋_GB2312"/>
                <w:b/>
                <w:i w:val="0"/>
                <w:color w:val="000000"/>
                <w:sz w:val="28"/>
                <w:szCs w:val="28"/>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_GB2312" w:hAnsi="等线" w:eastAsia="仿宋_GB2312" w:cs="仿宋_GB2312"/>
                <w:i w:val="0"/>
                <w:color w:val="000000"/>
                <w:sz w:val="28"/>
                <w:szCs w:val="28"/>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_GB2312" w:hAnsi="等线" w:eastAsia="仿宋_GB2312" w:cs="仿宋_GB2312"/>
                <w:i w:val="0"/>
                <w:color w:val="000000"/>
                <w:sz w:val="28"/>
                <w:szCs w:val="28"/>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_GB2312" w:hAnsi="等线" w:eastAsia="仿宋_GB2312" w:cs="仿宋_GB2312"/>
                <w:i w:val="0"/>
                <w:color w:val="000000"/>
                <w:sz w:val="28"/>
                <w:szCs w:val="28"/>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_GB2312" w:hAnsi="等线" w:eastAsia="仿宋_GB2312" w:cs="仿宋_GB2312"/>
                <w:i w:val="0"/>
                <w:color w:val="000000"/>
                <w:sz w:val="28"/>
                <w:szCs w:val="28"/>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_GB2312" w:hAnsi="等线" w:eastAsia="仿宋_GB2312" w:cs="仿宋_GB2312"/>
                <w:i w:val="0"/>
                <w:color w:val="000000"/>
                <w:sz w:val="28"/>
                <w:szCs w:val="28"/>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_GB2312" w:hAnsi="等线" w:eastAsia="仿宋_GB2312" w:cs="仿宋_GB2312"/>
                <w:i w:val="0"/>
                <w:color w:val="000000"/>
                <w:sz w:val="28"/>
                <w:szCs w:val="2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_GB2312" w:hAnsi="等线" w:eastAsia="仿宋_GB2312" w:cs="仿宋_GB2312"/>
                <w:i w:val="0"/>
                <w:color w:val="000000"/>
                <w:sz w:val="28"/>
                <w:szCs w:val="2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_GB2312" w:hAnsi="等线" w:eastAsia="仿宋_GB2312" w:cs="仿宋_GB2312"/>
                <w:i w:val="0"/>
                <w:color w:val="000000"/>
                <w:sz w:val="28"/>
                <w:szCs w:val="2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仿宋_GB2312" w:hAnsi="等线"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5000" w:type="pct"/>
            <w:gridSpan w:val="12"/>
            <w:tcBorders>
              <w:top w:val="single" w:color="000000" w:sz="4"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注：1.填报数据中“投保数量”栏保留4位小数，其他栏保留2位小数。</w:t>
            </w:r>
            <w:r>
              <w:rPr>
                <w:rFonts w:hint="eastAsia" w:ascii="方正楷体_GBK" w:hAnsi="方正楷体_GBK" w:eastAsia="方正楷体_GBK" w:cs="方正楷体_GBK"/>
                <w:i w:val="0"/>
                <w:color w:val="000000"/>
                <w:kern w:val="0"/>
                <w:sz w:val="22"/>
                <w:szCs w:val="22"/>
                <w:u w:val="none"/>
                <w:lang w:val="en-US" w:eastAsia="zh-CN" w:bidi="ar"/>
              </w:rPr>
              <w:br w:type="textWrapping"/>
            </w:r>
            <w:r>
              <w:rPr>
                <w:rFonts w:hint="eastAsia" w:ascii="方正楷体_GBK" w:hAnsi="方正楷体_GBK" w:eastAsia="方正楷体_GBK" w:cs="方正楷体_GBK"/>
                <w:i w:val="0"/>
                <w:color w:val="000000"/>
                <w:kern w:val="0"/>
                <w:sz w:val="22"/>
                <w:szCs w:val="22"/>
                <w:u w:val="none"/>
                <w:lang w:val="en-US" w:eastAsia="zh-CN" w:bidi="ar"/>
              </w:rPr>
              <w:t xml:space="preserve">        2.根据中央、市级补贴险种排序，逐一填报。</w:t>
            </w:r>
            <w:r>
              <w:rPr>
                <w:rFonts w:hint="eastAsia" w:ascii="方正楷体_GBK" w:hAnsi="方正楷体_GBK" w:eastAsia="方正楷体_GBK" w:cs="方正楷体_GBK"/>
                <w:i w:val="0"/>
                <w:color w:val="000000"/>
                <w:kern w:val="0"/>
                <w:sz w:val="22"/>
                <w:szCs w:val="22"/>
                <w:u w:val="none"/>
                <w:lang w:val="en-US" w:eastAsia="zh-CN" w:bidi="ar"/>
              </w:rPr>
              <w:br w:type="textWrapping"/>
            </w:r>
            <w:r>
              <w:rPr>
                <w:rFonts w:hint="eastAsia" w:ascii="方正楷体_GBK" w:hAnsi="方正楷体_GBK" w:eastAsia="方正楷体_GBK" w:cs="方正楷体_GBK"/>
                <w:i w:val="0"/>
                <w:color w:val="000000"/>
                <w:kern w:val="0"/>
                <w:sz w:val="22"/>
                <w:szCs w:val="22"/>
                <w:u w:val="none"/>
                <w:lang w:val="en-US" w:eastAsia="zh-CN" w:bidi="ar"/>
              </w:rPr>
              <w:t xml:space="preserve">        3.填报表内信息时，对未经营业务的区县留空即可，不可直接删除该栏已有内容。</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pPr>
    </w:p>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简体">
    <w:altName w:val="方正黑体_GBK"/>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w:t>
    </w:r>
    <w:r>
      <w:rPr>
        <w:rFonts w:hint="eastAsia" w:ascii="宋体" w:hAnsi="宋体" w:eastAsia="宋体" w:cs="宋体"/>
        <w:b/>
        <w:bCs/>
        <w:color w:val="005192"/>
        <w:sz w:val="28"/>
        <w:szCs w:val="44"/>
        <w:lang w:val="en-US" w:eastAsia="zh-CN"/>
      </w:rPr>
      <w:t xml:space="preserve">财政局发布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438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重庆市长寿区财政局发布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财政局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3360;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重庆市长寿区财政局行政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037924"/>
    <w:multiLevelType w:val="singleLevel"/>
    <w:tmpl w:val="9C03792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0FA74B1D"/>
    <w:rsid w:val="13582C04"/>
    <w:rsid w:val="152D2DCA"/>
    <w:rsid w:val="187168EA"/>
    <w:rsid w:val="196673CA"/>
    <w:rsid w:val="1A6D1382"/>
    <w:rsid w:val="1B2F4AEE"/>
    <w:rsid w:val="1CF734C9"/>
    <w:rsid w:val="1DEC284C"/>
    <w:rsid w:val="1E6523AC"/>
    <w:rsid w:val="22440422"/>
    <w:rsid w:val="22BB4BBB"/>
    <w:rsid w:val="2AEB3417"/>
    <w:rsid w:val="31A15F24"/>
    <w:rsid w:val="32182B06"/>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character" w:customStyle="1" w:styleId="14">
    <w:name w:val="font51"/>
    <w:basedOn w:val="10"/>
    <w:qFormat/>
    <w:uiPriority w:val="0"/>
    <w:rPr>
      <w:rFonts w:hint="eastAsia" w:ascii="方正仿宋_GBK" w:hAnsi="方正仿宋_GBK" w:eastAsia="方正仿宋_GBK" w:cs="方正仿宋_GBK"/>
      <w:color w:val="000000"/>
      <w:sz w:val="24"/>
      <w:szCs w:val="24"/>
      <w:u w:val="none"/>
    </w:rPr>
  </w:style>
  <w:style w:type="character" w:customStyle="1" w:styleId="15">
    <w:name w:val="font11"/>
    <w:basedOn w:val="1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5275</Words>
  <Characters>5588</Characters>
  <Lines>1</Lines>
  <Paragraphs>1</Paragraphs>
  <TotalTime>4</TotalTime>
  <ScaleCrop>false</ScaleCrop>
  <LinksUpToDate>false</LinksUpToDate>
  <CharactersWithSpaces>5949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2023-10-26T09:48:08Z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38252653830243A781CAC77049AC96C3_13</vt:lpwstr>
  </property>
</Properties>
</file>